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51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129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53" w:lineRule="auto"/>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Jon I. Madorsky Revocable Trust dated</w:t>
        </w:r>
      </w:hyperlink>
      <w:r>
        <w:rPr>
          <w:rFonts w:ascii="Times New Roman" w:cs="Times New Roman" w:eastAsia="Times New Roman" w:hAnsi="Times New Roman"/>
          <w:sz w:val="20"/>
          <w:szCs w:val="20"/>
          <w:u w:val="single" w:color="auto"/>
          <w:color w:val="0000EE"/>
        </w:rPr>
        <w:t xml:space="preserve"> </w:t>
      </w:r>
      <w:hyperlink r:id="rId12">
        <w:r>
          <w:rPr>
            <w:rFonts w:ascii="Times New Roman" w:cs="Times New Roman" w:eastAsia="Times New Roman" w:hAnsi="Times New Roman"/>
            <w:sz w:val="20"/>
            <w:szCs w:val="20"/>
            <w:u w:val="single" w:color="auto"/>
            <w:color w:val="0000EE"/>
          </w:rPr>
          <w:t>December 1, 2008</w:t>
        </w:r>
      </w:hyperlink>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1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5"/>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 P10, INC.</w:t>
            </w:r>
          </w:p>
        </w:tc>
        <w:tc>
          <w:tcPr>
            <w:tcW w:w="13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55"/>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460" w:type="dxa"/>
            <w:vAlign w:val="bottom"/>
          </w:tcPr>
          <w:p>
            <w:pPr>
              <w:spacing w:after="0"/>
              <w:rPr>
                <w:sz w:val="22"/>
                <w:szCs w:val="22"/>
                <w:color w:val="auto"/>
              </w:rPr>
            </w:pPr>
          </w:p>
        </w:tc>
      </w:tr>
      <w:tr>
        <w:trPr>
          <w:trHeight w:val="423"/>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6"/>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DALLAS</w:t>
            </w:r>
          </w:p>
        </w:tc>
        <w:tc>
          <w:tcPr>
            <w:tcW w:w="13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rPr>
              <w:t>75205</w:t>
            </w:r>
          </w:p>
        </w:tc>
      </w:tr>
      <w:tr>
        <w:trPr>
          <w:trHeight w:val="461"/>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1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40" w:type="dxa"/>
            <w:vAlign w:val="bottom"/>
          </w:tcPr>
          <w:p>
            <w:pPr>
              <w:spacing w:after="0"/>
              <w:rPr>
                <w:sz w:val="3"/>
                <w:szCs w:val="3"/>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3"/>
                <w:szCs w:val="3"/>
                <w:color w:val="auto"/>
              </w:rPr>
            </w:pP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60" w:type="dxa"/>
            <w:vAlign w:val="bottom"/>
          </w:tcPr>
          <w:p>
            <w:pPr>
              <w:ind w:left="58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40" w:type="dxa"/>
            <w:vAlign w:val="bottom"/>
            <w:tcBorders>
              <w:bottom w:val="single" w:sz="8" w:color="2C2C2C"/>
            </w:tcBorders>
          </w:tcPr>
          <w:p>
            <w:pPr>
              <w:spacing w:after="0"/>
              <w:rPr>
                <w:sz w:val="7"/>
                <w:szCs w:val="7"/>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460" w:type="dxa"/>
            <w:vAlign w:val="bottom"/>
            <w:vMerge w:val="continue"/>
          </w:tcPr>
          <w:p>
            <w:pPr>
              <w:spacing w:after="0"/>
              <w:rPr>
                <w:sz w:val="7"/>
                <w:szCs w:val="7"/>
                <w:color w:val="auto"/>
              </w:rPr>
            </w:pP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212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12/13/2022</w:t>
            </w:r>
          </w:p>
        </w:tc>
        <w:tc>
          <w:tcPr>
            <w:tcW w:w="212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840" w:type="dxa"/>
            <w:vAlign w:val="bottom"/>
            <w:gridSpan w:val="4"/>
            <w:vMerge w:val="continue"/>
          </w:tcPr>
          <w:p>
            <w:pPr>
              <w:spacing w:after="0"/>
              <w:rPr>
                <w:sz w:val="7"/>
                <w:szCs w:val="7"/>
                <w:color w:val="auto"/>
              </w:rPr>
            </w:pPr>
          </w:p>
        </w:tc>
        <w:tc>
          <w:tcPr>
            <w:tcW w:w="1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6"/>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3320" w:space="5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8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(2)(3)</w:t>
            </w:r>
          </w:p>
        </w:tc>
        <w:tc>
          <w:tcPr>
            <w:tcW w:w="1080" w:type="dxa"/>
            <w:vAlign w:val="bottom"/>
          </w:tcPr>
          <w:p>
            <w:pPr>
              <w:jc w:val="right"/>
              <w:ind w:right="181"/>
              <w:spacing w:after="0" w:line="147" w:lineRule="exact"/>
              <w:rPr>
                <w:sz w:val="20"/>
                <w:szCs w:val="20"/>
                <w:color w:val="auto"/>
              </w:rPr>
            </w:pPr>
            <w:r>
              <w:rPr>
                <w:rFonts w:ascii="Times New Roman" w:cs="Times New Roman" w:eastAsia="Times New Roman" w:hAnsi="Times New Roman"/>
                <w:sz w:val="13"/>
                <w:szCs w:val="13"/>
                <w:color w:val="0000FF"/>
              </w:rPr>
              <w:t>12/13/2022</w:t>
            </w:r>
          </w:p>
        </w:tc>
        <w:tc>
          <w:tcPr>
            <w:tcW w:w="1060" w:type="dxa"/>
            <w:vAlign w:val="bottom"/>
          </w:tcPr>
          <w:p>
            <w:pPr>
              <w:spacing w:after="0"/>
              <w:rPr>
                <w:sz w:val="12"/>
                <w:szCs w:val="12"/>
                <w:color w:val="auto"/>
              </w:rPr>
            </w:pPr>
          </w:p>
        </w:tc>
        <w:tc>
          <w:tcPr>
            <w:tcW w:w="800" w:type="dxa"/>
            <w:vAlign w:val="bottom"/>
          </w:tcPr>
          <w:p>
            <w:pPr>
              <w:ind w:left="180"/>
              <w:spacing w:after="0" w:line="147" w:lineRule="exact"/>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ind w:left="360"/>
              <w:spacing w:after="0" w:line="147" w:lineRule="exact"/>
              <w:rPr>
                <w:sz w:val="20"/>
                <w:szCs w:val="20"/>
                <w:color w:val="auto"/>
              </w:rPr>
            </w:pPr>
            <w:r>
              <w:rPr>
                <w:rFonts w:ascii="Times New Roman" w:cs="Times New Roman" w:eastAsia="Times New Roman" w:hAnsi="Times New Roman"/>
                <w:sz w:val="13"/>
                <w:szCs w:val="13"/>
                <w:color w:val="0000FF"/>
              </w:rPr>
              <w:t>300,000</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(2)(3)</w:t>
            </w: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008000"/>
              </w:rPr>
              <w:t>(2)(3)</w:t>
            </w:r>
          </w:p>
        </w:tc>
        <w:tc>
          <w:tcPr>
            <w:tcW w:w="68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9.6876</w:t>
            </w:r>
          </w:p>
        </w:tc>
        <w:tc>
          <w:tcPr>
            <w:tcW w:w="920" w:type="dxa"/>
            <w:vAlign w:val="bottom"/>
          </w:tcPr>
          <w:p>
            <w:pPr>
              <w:ind w:left="200"/>
              <w:spacing w:after="0" w:line="147" w:lineRule="exact"/>
              <w:rPr>
                <w:sz w:val="20"/>
                <w:szCs w:val="20"/>
                <w:color w:val="auto"/>
              </w:rPr>
            </w:pPr>
            <w:r>
              <w:rPr>
                <w:rFonts w:ascii="Times New Roman" w:cs="Times New Roman" w:eastAsia="Times New Roman" w:hAnsi="Times New Roman"/>
                <w:sz w:val="13"/>
                <w:szCs w:val="13"/>
                <w:color w:val="0000FF"/>
              </w:rPr>
              <w:t>3,961,939</w:t>
            </w: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4" w:lineRule="exact"/>
        <w:rPr>
          <w:sz w:val="20"/>
          <w:szCs w:val="20"/>
          <w:color w:val="auto"/>
        </w:rPr>
      </w:pPr>
    </w:p>
    <w:p>
      <w:pPr>
        <w:ind w:left="40" w:right="3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Jon I. Madorsky Revocable Trust dated December 1, 2008 (the "Madorsky Trust"). Jon I. Madorsky, as trustee of the Madorsky Trust, may be deemed to beneficially own the shares of Class B Common Stock owned directly by the Madorsky Trust.</w:t>
      </w:r>
    </w:p>
    <w:p>
      <w:pPr>
        <w:spacing w:after="0" w:line="19" w:lineRule="exact"/>
        <w:rPr>
          <w:rFonts w:ascii="Times New Roman" w:cs="Times New Roman" w:eastAsia="Times New Roman" w:hAnsi="Times New Roman"/>
          <w:sz w:val="13"/>
          <w:szCs w:val="13"/>
          <w:color w:val="008000"/>
        </w:rPr>
      </w:pPr>
    </w:p>
    <w:p>
      <w:pPr>
        <w:ind w:left="40" w:right="3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19" w:lineRule="exact"/>
        <w:rPr>
          <w:rFonts w:ascii="Times New Roman" w:cs="Times New Roman" w:eastAsia="Times New Roman" w:hAnsi="Times New Roman"/>
          <w:sz w:val="13"/>
          <w:szCs w:val="13"/>
          <w:color w:val="008000"/>
        </w:rPr>
      </w:pPr>
    </w:p>
    <w:p>
      <w:pPr>
        <w:ind w:left="40" w:right="160"/>
        <w:spacing w:after="0" w:line="23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40" w:right="260"/>
        <w:spacing w:after="0" w:line="250" w:lineRule="auto"/>
        <w:rPr>
          <w:sz w:val="20"/>
          <w:szCs w:val="20"/>
          <w:color w:val="auto"/>
        </w:rPr>
      </w:pPr>
      <w:r>
        <w:rPr>
          <w:rFonts w:ascii="Times New Roman" w:cs="Times New Roman" w:eastAsia="Times New Roman" w:hAnsi="Times New Roman"/>
          <w:sz w:val="13"/>
          <w:szCs w:val="13"/>
          <w:color w:val="008000"/>
        </w:rPr>
        <w:t>The reporting person may be deemed to be a member of a Section 13(d) group that collectively owns more than 10% of the Issuer's Common Stock. The securities reported herein do not include securities held by any group member other than the reporting person, as such securities are being reported in separate Form 4 filings.</w:t>
      </w:r>
    </w:p>
    <w:p>
      <w:pPr>
        <w:spacing w:after="0" w:line="4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992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6"/>
          <w:szCs w:val="16"/>
          <w:color w:val="0000FF"/>
        </w:rPr>
        <w:t>12/15/2022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732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95437"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2022-12-16T16:00:52Z</dcterms:created>
  <dcterms:modified xsi:type="dcterms:W3CDTF">2022-12-16T16:00:52Z</dcterms:modified>
</cp:coreProperties>
</file>