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53"/>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153"/>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747"/>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367"/>
        <w:spacing w:after="0"/>
        <w:rPr>
          <w:sz w:val="20"/>
          <w:szCs w:val="20"/>
          <w:color w:val="auto"/>
        </w:rPr>
      </w:pPr>
      <w:r>
        <w:rPr>
          <w:rFonts w:ascii="Courier New" w:cs="Courier New" w:eastAsia="Courier New" w:hAnsi="Courier New"/>
          <w:sz w:val="18"/>
          <w:szCs w:val="18"/>
          <w:color w:val="auto"/>
        </w:rPr>
        <w:t>Under the Securities Exchange Act of 1934</w:t>
      </w:r>
    </w:p>
    <w:p>
      <w:pPr>
        <w:ind w:left="2427"/>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627"/>
        <w:spacing w:after="0"/>
        <w:rPr>
          <w:sz w:val="20"/>
          <w:szCs w:val="20"/>
          <w:color w:val="auto"/>
        </w:rPr>
      </w:pPr>
      <w:r>
        <w:rPr>
          <w:rFonts w:ascii="Courier New" w:cs="Courier New" w:eastAsia="Courier New" w:hAnsi="Courier New"/>
          <w:sz w:val="18"/>
          <w:szCs w:val="18"/>
          <w:color w:val="auto"/>
        </w:rPr>
        <w:t>Active Power, Inc.</w:t>
      </w:r>
    </w:p>
    <w:p>
      <w:pPr>
        <w:ind w:left="1587"/>
        <w:spacing w:after="0" w:line="238" w:lineRule="auto"/>
        <w:rPr>
          <w:sz w:val="20"/>
          <w:szCs w:val="20"/>
          <w:color w:val="auto"/>
        </w:rPr>
      </w:pPr>
      <w:r>
        <w:rPr>
          <w:rFonts w:ascii="Courier New" w:cs="Courier New" w:eastAsia="Courier New" w:hAnsi="Courier New"/>
          <w:sz w:val="18"/>
          <w:szCs w:val="18"/>
          <w:color w:val="auto"/>
        </w:rPr>
        <w:t>-----------------------------------------</w:t>
      </w:r>
    </w:p>
    <w:p>
      <w:pPr>
        <w:ind w:left="2527"/>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207"/>
        <w:spacing w:after="0"/>
        <w:rPr>
          <w:sz w:val="20"/>
          <w:szCs w:val="20"/>
          <w:color w:val="auto"/>
        </w:rPr>
      </w:pPr>
      <w:r>
        <w:rPr>
          <w:rFonts w:ascii="Courier New" w:cs="Courier New" w:eastAsia="Courier New" w:hAnsi="Courier New"/>
          <w:sz w:val="18"/>
          <w:szCs w:val="18"/>
          <w:color w:val="auto"/>
        </w:rPr>
        <w:t>Common Stock, $0.001 par value</w:t>
      </w:r>
    </w:p>
    <w:p>
      <w:pPr>
        <w:ind w:left="1587"/>
        <w:spacing w:after="0" w:line="238" w:lineRule="auto"/>
        <w:rPr>
          <w:sz w:val="20"/>
          <w:szCs w:val="20"/>
          <w:color w:val="auto"/>
        </w:rPr>
      </w:pPr>
      <w:r>
        <w:rPr>
          <w:rFonts w:ascii="Courier New" w:cs="Courier New" w:eastAsia="Courier New" w:hAnsi="Courier New"/>
          <w:sz w:val="18"/>
          <w:szCs w:val="18"/>
          <w:color w:val="auto"/>
        </w:rPr>
        <w:t>-----------------------------------------</w:t>
      </w:r>
    </w:p>
    <w:p>
      <w:pPr>
        <w:ind w:left="2327"/>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047"/>
        <w:spacing w:after="0"/>
        <w:rPr>
          <w:sz w:val="20"/>
          <w:szCs w:val="20"/>
          <w:color w:val="auto"/>
        </w:rPr>
      </w:pPr>
      <w:r>
        <w:rPr>
          <w:rFonts w:ascii="Courier New" w:cs="Courier New" w:eastAsia="Courier New" w:hAnsi="Courier New"/>
          <w:sz w:val="18"/>
          <w:szCs w:val="18"/>
          <w:color w:val="auto"/>
        </w:rPr>
        <w:t>00504W100</w:t>
      </w:r>
    </w:p>
    <w:p>
      <w:pPr>
        <w:ind w:left="1687"/>
        <w:spacing w:after="0" w:line="238" w:lineRule="auto"/>
        <w:rPr>
          <w:sz w:val="20"/>
          <w:szCs w:val="20"/>
          <w:color w:val="auto"/>
        </w:rPr>
      </w:pPr>
      <w:r>
        <w:rPr>
          <w:rFonts w:ascii="Courier New" w:cs="Courier New" w:eastAsia="Courier New" w:hAnsi="Courier New"/>
          <w:sz w:val="18"/>
          <w:szCs w:val="18"/>
          <w:color w:val="auto"/>
        </w:rPr>
        <w:t>-----------------------------------------</w:t>
      </w:r>
    </w:p>
    <w:p>
      <w:pPr>
        <w:ind w:left="2747"/>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2847"/>
        <w:spacing w:after="0"/>
        <w:rPr>
          <w:sz w:val="20"/>
          <w:szCs w:val="20"/>
          <w:color w:val="auto"/>
        </w:rPr>
      </w:pPr>
      <w:r>
        <w:rPr>
          <w:rFonts w:ascii="Courier New" w:cs="Courier New" w:eastAsia="Courier New" w:hAnsi="Courier New"/>
          <w:sz w:val="18"/>
          <w:szCs w:val="18"/>
          <w:color w:val="auto"/>
        </w:rPr>
        <w:t>December 31, 2010</w:t>
      </w:r>
    </w:p>
    <w:p>
      <w:pPr>
        <w:ind w:left="1687"/>
        <w:spacing w:after="0" w:line="238" w:lineRule="auto"/>
        <w:rPr>
          <w:sz w:val="20"/>
          <w:szCs w:val="20"/>
          <w:color w:val="auto"/>
        </w:rPr>
      </w:pPr>
      <w:r>
        <w:rPr>
          <w:rFonts w:ascii="Courier New" w:cs="Courier New" w:eastAsia="Courier New" w:hAnsi="Courier New"/>
          <w:sz w:val="18"/>
          <w:szCs w:val="18"/>
          <w:color w:val="auto"/>
        </w:rPr>
        <w:t>-----------------------------------------</w:t>
      </w:r>
    </w:p>
    <w:p>
      <w:pPr>
        <w:ind w:left="1047"/>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7" w:right="261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27" w:right="7679" w:firstLine="5"/>
        <w:spacing w:after="0" w:line="536" w:lineRule="auto"/>
        <w:tabs>
          <w:tab w:leader="none" w:pos="83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847" w:hanging="215"/>
        <w:spacing w:after="0"/>
        <w:tabs>
          <w:tab w:leader="none" w:pos="84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left="7" w:right="2199" w:firstLine="632"/>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left="7" w:right="2199" w:firstLine="632"/>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3587"/>
        <w:spacing w:after="0"/>
        <w:rPr>
          <w:sz w:val="20"/>
          <w:szCs w:val="20"/>
          <w:color w:val="auto"/>
        </w:rPr>
      </w:pPr>
      <w:r>
        <w:rPr>
          <w:rFonts w:ascii="Courier New" w:cs="Courier New" w:eastAsia="Courier New" w:hAnsi="Courier New"/>
          <w:sz w:val="18"/>
          <w:szCs w:val="18"/>
          <w:color w:val="auto"/>
        </w:rPr>
        <w:t>CUSIP No. 00504W100</w:t>
      </w:r>
    </w:p>
    <w:p>
      <w:pPr>
        <w:spacing w:after="0" w:line="200" w:lineRule="exact"/>
        <w:rPr>
          <w:sz w:val="24"/>
          <w:szCs w:val="24"/>
          <w:color w:val="auto"/>
        </w:rPr>
      </w:pPr>
    </w:p>
    <w:p>
      <w:pPr>
        <w:spacing w:after="0" w:line="204" w:lineRule="exact"/>
        <w:rPr>
          <w:sz w:val="24"/>
          <w:szCs w:val="24"/>
          <w:color w:val="auto"/>
        </w:rPr>
      </w:pPr>
    </w:p>
    <w:p>
      <w:pPr>
        <w:ind w:left="527" w:hanging="527"/>
        <w:spacing w:after="0"/>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27"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Rho Management Partners L.P.</w:t>
      </w:r>
    </w:p>
    <w:p>
      <w:pPr>
        <w:spacing w:after="0" w:line="209" w:lineRule="exact"/>
        <w:rPr>
          <w:sz w:val="24"/>
          <w:szCs w:val="24"/>
          <w:color w:val="auto"/>
        </w:rPr>
      </w:pPr>
    </w:p>
    <w:p>
      <w:pPr>
        <w:ind w:left="7"/>
        <w:spacing w:after="0"/>
        <w:tabs>
          <w:tab w:leader="none" w:pos="506"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5787"/>
        <w:spacing w:after="0"/>
        <w:tabs>
          <w:tab w:leader="none" w:pos="6506"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87"/>
        <w:spacing w:after="0"/>
        <w:tabs>
          <w:tab w:leader="none" w:pos="6506"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527" w:hanging="527"/>
        <w:spacing w:after="0"/>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ind w:left="7"/>
        <w:spacing w:after="0"/>
        <w:tabs>
          <w:tab w:leader="none" w:pos="506"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106"/>
          </w:cols>
          <w:pgMar w:left="353" w:top="1257" w:right="1440" w:bottom="0" w:gutter="0" w:footer="0" w:header="0"/>
        </w:sectPr>
      </w:pPr>
    </w:p>
    <w:bookmarkStart w:id="1" w:name="page2"/>
    <w:bookmarkEnd w:id="1"/>
    <w:p>
      <w:pPr>
        <w:ind w:left="527"/>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pacing w:after="0" w:line="204" w:lineRule="exact"/>
        <w:rPr>
          <w:sz w:val="20"/>
          <w:szCs w:val="20"/>
          <w:color w:val="auto"/>
        </w:rPr>
      </w:pPr>
    </w:p>
    <w:p>
      <w:pPr>
        <w:ind w:left="527"/>
        <w:spacing w:after="0"/>
        <w:rPr>
          <w:sz w:val="20"/>
          <w:szCs w:val="20"/>
          <w:color w:val="auto"/>
        </w:rPr>
      </w:pPr>
      <w:r>
        <w:rPr>
          <w:rFonts w:ascii="Courier New" w:cs="Courier New" w:eastAsia="Courier New" w:hAnsi="Courier New"/>
          <w:sz w:val="18"/>
          <w:szCs w:val="18"/>
          <w:color w:val="auto"/>
        </w:rPr>
        <w:t>NUMBER OF SHARES BENEFICIALLY OWNED BY</w:t>
      </w:r>
    </w:p>
    <w:p>
      <w:pPr>
        <w:ind w:left="527"/>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267" w:hanging="635"/>
        <w:spacing w:after="0"/>
        <w:tabs>
          <w:tab w:leader="none" w:pos="126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7" w:right="6839" w:hanging="635"/>
        <w:spacing w:after="0" w:line="470" w:lineRule="auto"/>
        <w:tabs>
          <w:tab w:leader="none" w:pos="126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267" w:right="6519" w:hanging="635"/>
        <w:spacing w:after="0" w:line="558" w:lineRule="auto"/>
        <w:tabs>
          <w:tab w:leader="none" w:pos="126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3,431,037 Shares</w:t>
      </w:r>
    </w:p>
    <w:p>
      <w:pPr>
        <w:spacing w:after="0" w:line="170" w:lineRule="exact"/>
        <w:rPr>
          <w:sz w:val="20"/>
          <w:szCs w:val="20"/>
          <w:color w:val="auto"/>
        </w:rPr>
      </w:pPr>
    </w:p>
    <w:p>
      <w:pPr>
        <w:ind w:left="1267" w:right="6319" w:hanging="635"/>
        <w:spacing w:after="0" w:line="470" w:lineRule="auto"/>
        <w:tabs>
          <w:tab w:leader="none" w:pos="126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527" w:right="3259" w:hanging="527"/>
        <w:spacing w:after="0" w:line="470"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3,431,037 Shares</w:t>
      </w:r>
    </w:p>
    <w:p>
      <w:pPr>
        <w:spacing w:after="0" w:line="214" w:lineRule="exact"/>
        <w:rPr>
          <w:sz w:val="20"/>
          <w:szCs w:val="20"/>
          <w:color w:val="auto"/>
        </w:rPr>
      </w:pPr>
    </w:p>
    <w:p>
      <w:pPr>
        <w:ind w:left="627" w:right="2319" w:hanging="627"/>
        <w:spacing w:after="0" w:line="235" w:lineRule="auto"/>
        <w:tabs>
          <w:tab w:leader="none" w:pos="6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27" w:right="4619" w:hanging="527"/>
        <w:spacing w:after="0" w:line="470"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4.3%</w:t>
      </w:r>
    </w:p>
    <w:p>
      <w:pPr>
        <w:spacing w:after="0" w:line="214" w:lineRule="exact"/>
        <w:rPr>
          <w:rFonts w:ascii="Courier New" w:cs="Courier New" w:eastAsia="Courier New" w:hAnsi="Courier New"/>
          <w:sz w:val="18"/>
          <w:szCs w:val="18"/>
          <w:color w:val="auto"/>
        </w:rPr>
      </w:pPr>
    </w:p>
    <w:p>
      <w:pPr>
        <w:ind w:left="527" w:right="5059" w:hanging="527"/>
        <w:spacing w:after="0" w:line="470"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PN/IA</w:t>
      </w:r>
    </w:p>
    <w:p>
      <w:pPr>
        <w:sectPr>
          <w:pgSz w:w="11900" w:h="16838" w:orient="portrait"/>
          <w:cols w:equalWidth="0" w:num="1">
            <w:col w:w="10106"/>
          </w:cols>
          <w:pgMar w:left="353" w:top="339" w:right="1440" w:bottom="1440" w:gutter="0" w:footer="0" w:header="0"/>
        </w:sectPr>
      </w:pPr>
    </w:p>
    <w:bookmarkStart w:id="2" w:name="page3"/>
    <w:bookmarkEnd w:id="2"/>
    <w:p>
      <w:pPr>
        <w:ind w:left="3587"/>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527" w:hanging="527"/>
        <w:spacing w:after="0"/>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27"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Atlas Capital Corp.</w:t>
      </w:r>
    </w:p>
    <w:p>
      <w:pPr>
        <w:spacing w:after="0" w:line="209" w:lineRule="exact"/>
        <w:rPr>
          <w:sz w:val="20"/>
          <w:szCs w:val="20"/>
          <w:color w:val="auto"/>
        </w:rPr>
      </w:pPr>
    </w:p>
    <w:p>
      <w:pPr>
        <w:ind w:left="7"/>
        <w:spacing w:after="0"/>
        <w:tabs>
          <w:tab w:leader="none" w:pos="506"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5787"/>
        <w:spacing w:after="0"/>
        <w:tabs>
          <w:tab w:leader="none" w:pos="6506"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87"/>
        <w:spacing w:after="0"/>
        <w:tabs>
          <w:tab w:leader="none" w:pos="6506"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527" w:hanging="527"/>
        <w:spacing w:after="0"/>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527" w:right="5779" w:hanging="527"/>
        <w:spacing w:after="0" w:line="470"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9" w:lineRule="exact"/>
        <w:rPr>
          <w:sz w:val="20"/>
          <w:szCs w:val="20"/>
          <w:color w:val="auto"/>
        </w:rPr>
      </w:pPr>
    </w:p>
    <w:p>
      <w:pPr>
        <w:ind w:left="527"/>
        <w:spacing w:after="0"/>
        <w:rPr>
          <w:sz w:val="20"/>
          <w:szCs w:val="20"/>
          <w:color w:val="auto"/>
        </w:rPr>
      </w:pPr>
      <w:r>
        <w:rPr>
          <w:rFonts w:ascii="Courier New" w:cs="Courier New" w:eastAsia="Courier New" w:hAnsi="Courier New"/>
          <w:sz w:val="18"/>
          <w:szCs w:val="18"/>
          <w:color w:val="auto"/>
        </w:rPr>
        <w:t>NUMBER OF SHARES BENEFICIALLY OWNED BY</w:t>
      </w:r>
    </w:p>
    <w:p>
      <w:pPr>
        <w:ind w:left="527"/>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267" w:hanging="635"/>
        <w:spacing w:after="0"/>
        <w:tabs>
          <w:tab w:leader="none" w:pos="126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67"/>
        <w:spacing w:after="0"/>
        <w:rPr>
          <w:sz w:val="20"/>
          <w:szCs w:val="20"/>
          <w:color w:val="auto"/>
        </w:rPr>
      </w:pPr>
      <w:r>
        <w:rPr>
          <w:rFonts w:ascii="Courier New" w:cs="Courier New" w:eastAsia="Courier New" w:hAnsi="Courier New"/>
          <w:sz w:val="18"/>
          <w:szCs w:val="18"/>
          <w:color w:val="auto"/>
        </w:rPr>
        <w:t>3,442,603 Shares</w:t>
      </w:r>
    </w:p>
    <w:p>
      <w:pPr>
        <w:spacing w:after="0" w:line="207" w:lineRule="exact"/>
        <w:rPr>
          <w:sz w:val="20"/>
          <w:szCs w:val="20"/>
          <w:color w:val="auto"/>
        </w:rPr>
      </w:pPr>
    </w:p>
    <w:p>
      <w:pPr>
        <w:ind w:left="1267" w:right="6839" w:hanging="635"/>
        <w:spacing w:after="0" w:line="470" w:lineRule="auto"/>
        <w:tabs>
          <w:tab w:leader="none" w:pos="126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267" w:right="6519" w:hanging="635"/>
        <w:spacing w:after="0" w:line="558" w:lineRule="auto"/>
        <w:tabs>
          <w:tab w:leader="none" w:pos="126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3,442,603 Shares</w:t>
      </w:r>
    </w:p>
    <w:p>
      <w:pPr>
        <w:spacing w:after="0" w:line="170" w:lineRule="exact"/>
        <w:rPr>
          <w:sz w:val="20"/>
          <w:szCs w:val="20"/>
          <w:color w:val="auto"/>
        </w:rPr>
      </w:pPr>
    </w:p>
    <w:p>
      <w:pPr>
        <w:ind w:left="1267" w:right="6319" w:hanging="635"/>
        <w:spacing w:after="0" w:line="470" w:lineRule="auto"/>
        <w:tabs>
          <w:tab w:leader="none" w:pos="126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627" w:right="3259" w:hanging="627"/>
        <w:spacing w:after="0" w:line="470" w:lineRule="auto"/>
        <w:tabs>
          <w:tab w:leader="none" w:pos="5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3,442,603 Shares</w:t>
      </w:r>
    </w:p>
    <w:p>
      <w:pPr>
        <w:spacing w:after="0" w:line="214" w:lineRule="exact"/>
        <w:rPr>
          <w:sz w:val="20"/>
          <w:szCs w:val="20"/>
          <w:color w:val="auto"/>
        </w:rPr>
      </w:pPr>
    </w:p>
    <w:p>
      <w:pPr>
        <w:ind w:left="627" w:right="2319" w:hanging="627"/>
        <w:spacing w:after="0" w:line="235" w:lineRule="auto"/>
        <w:tabs>
          <w:tab w:leader="none" w:pos="6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27" w:right="4619" w:hanging="527"/>
        <w:spacing w:after="0" w:line="470"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4.3%</w:t>
      </w:r>
    </w:p>
    <w:p>
      <w:pPr>
        <w:spacing w:after="0" w:line="214" w:lineRule="exact"/>
        <w:rPr>
          <w:rFonts w:ascii="Courier New" w:cs="Courier New" w:eastAsia="Courier New" w:hAnsi="Courier New"/>
          <w:sz w:val="18"/>
          <w:szCs w:val="18"/>
          <w:color w:val="auto"/>
        </w:rPr>
      </w:pPr>
    </w:p>
    <w:p>
      <w:pPr>
        <w:ind w:left="527" w:right="5059" w:hanging="527"/>
        <w:spacing w:after="0" w:line="470"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CO/IA</w:t>
      </w:r>
    </w:p>
    <w:p>
      <w:pPr>
        <w:sectPr>
          <w:pgSz w:w="11900" w:h="16838" w:orient="portrait"/>
          <w:cols w:equalWidth="0" w:num="1">
            <w:col w:w="10106"/>
          </w:cols>
          <w:pgMar w:left="353" w:top="717" w:right="1440" w:bottom="1440" w:gutter="0" w:footer="0" w:header="0"/>
        </w:sectPr>
      </w:pPr>
    </w:p>
    <w:bookmarkStart w:id="3" w:name="page4"/>
    <w:bookmarkEnd w:id="3"/>
    <w:p>
      <w:pPr>
        <w:ind w:left="3587"/>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527" w:hanging="527"/>
        <w:spacing w:after="0"/>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27"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Joshua Ruch</w:t>
      </w:r>
    </w:p>
    <w:p>
      <w:pPr>
        <w:spacing w:after="0" w:line="209" w:lineRule="exact"/>
        <w:rPr>
          <w:sz w:val="20"/>
          <w:szCs w:val="20"/>
          <w:color w:val="auto"/>
        </w:rPr>
      </w:pPr>
    </w:p>
    <w:p>
      <w:pPr>
        <w:ind w:left="7"/>
        <w:spacing w:after="0"/>
        <w:tabs>
          <w:tab w:leader="none" w:pos="506"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5787"/>
        <w:spacing w:after="0"/>
        <w:tabs>
          <w:tab w:leader="none" w:pos="6506"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87"/>
        <w:spacing w:after="0"/>
        <w:tabs>
          <w:tab w:leader="none" w:pos="6506"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527" w:hanging="527"/>
        <w:spacing w:after="0"/>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ind w:left="527" w:hanging="527"/>
        <w:spacing w:after="0"/>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5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of America and Republic of South Africa</w:t>
      </w:r>
    </w:p>
    <w:p>
      <w:pPr>
        <w:spacing w:after="0" w:line="200" w:lineRule="exact"/>
        <w:rPr>
          <w:sz w:val="20"/>
          <w:szCs w:val="20"/>
          <w:color w:val="auto"/>
        </w:rPr>
      </w:pPr>
    </w:p>
    <w:p>
      <w:pPr>
        <w:spacing w:after="0" w:line="204" w:lineRule="exact"/>
        <w:rPr>
          <w:sz w:val="20"/>
          <w:szCs w:val="20"/>
          <w:color w:val="auto"/>
        </w:rPr>
      </w:pPr>
    </w:p>
    <w:p>
      <w:pPr>
        <w:ind w:left="527"/>
        <w:spacing w:after="0"/>
        <w:rPr>
          <w:sz w:val="20"/>
          <w:szCs w:val="20"/>
          <w:color w:val="auto"/>
        </w:rPr>
      </w:pPr>
      <w:r>
        <w:rPr>
          <w:rFonts w:ascii="Courier New" w:cs="Courier New" w:eastAsia="Courier New" w:hAnsi="Courier New"/>
          <w:sz w:val="18"/>
          <w:szCs w:val="18"/>
          <w:color w:val="auto"/>
        </w:rPr>
        <w:t>NUMBER OF SHARES BENEFICIALLY OWNED BY</w:t>
      </w:r>
    </w:p>
    <w:p>
      <w:pPr>
        <w:ind w:left="527"/>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7" w:lineRule="exact"/>
        <w:rPr>
          <w:sz w:val="20"/>
          <w:szCs w:val="20"/>
          <w:color w:val="auto"/>
        </w:rPr>
      </w:pPr>
    </w:p>
    <w:p>
      <w:pPr>
        <w:ind w:left="1267" w:right="7059" w:hanging="635"/>
        <w:spacing w:after="0" w:line="536" w:lineRule="auto"/>
        <w:tabs>
          <w:tab w:leader="none" w:pos="126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5,032,908 Shares</w:t>
      </w:r>
    </w:p>
    <w:p>
      <w:pPr>
        <w:spacing w:after="0" w:line="1" w:lineRule="exact"/>
        <w:rPr>
          <w:sz w:val="20"/>
          <w:szCs w:val="20"/>
          <w:color w:val="auto"/>
        </w:rPr>
      </w:pPr>
    </w:p>
    <w:p>
      <w:pPr>
        <w:ind w:left="1267" w:right="6839" w:hanging="635"/>
        <w:spacing w:after="0" w:line="470" w:lineRule="auto"/>
        <w:tabs>
          <w:tab w:leader="none" w:pos="126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267" w:right="6519" w:hanging="635"/>
        <w:spacing w:after="0" w:line="558" w:lineRule="auto"/>
        <w:tabs>
          <w:tab w:leader="none" w:pos="126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5,032,908 Shares</w:t>
      </w:r>
    </w:p>
    <w:p>
      <w:pPr>
        <w:spacing w:after="0" w:line="170" w:lineRule="exact"/>
        <w:rPr>
          <w:sz w:val="20"/>
          <w:szCs w:val="20"/>
          <w:color w:val="auto"/>
        </w:rPr>
      </w:pPr>
    </w:p>
    <w:p>
      <w:pPr>
        <w:ind w:left="1267" w:right="6319" w:hanging="635"/>
        <w:spacing w:after="0" w:line="470" w:lineRule="auto"/>
        <w:tabs>
          <w:tab w:leader="none" w:pos="126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527" w:right="3259" w:hanging="527"/>
        <w:spacing w:after="0" w:line="470"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5,032,908 Shares</w:t>
      </w:r>
    </w:p>
    <w:p>
      <w:pPr>
        <w:spacing w:after="0" w:line="200" w:lineRule="exact"/>
        <w:rPr>
          <w:sz w:val="20"/>
          <w:szCs w:val="20"/>
          <w:color w:val="auto"/>
        </w:rPr>
      </w:pPr>
    </w:p>
    <w:p>
      <w:pPr>
        <w:spacing w:after="0" w:line="217" w:lineRule="exact"/>
        <w:rPr>
          <w:sz w:val="20"/>
          <w:szCs w:val="20"/>
          <w:color w:val="auto"/>
        </w:rPr>
      </w:pPr>
    </w:p>
    <w:p>
      <w:pPr>
        <w:ind w:left="627" w:right="2319" w:hanging="627"/>
        <w:spacing w:after="0" w:line="235" w:lineRule="auto"/>
        <w:tabs>
          <w:tab w:leader="none" w:pos="6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27" w:right="4619" w:hanging="527"/>
        <w:spacing w:after="0" w:line="470" w:lineRule="auto"/>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208" w:lineRule="exact"/>
        <w:rPr>
          <w:rFonts w:ascii="Courier New" w:cs="Courier New" w:eastAsia="Courier New" w:hAnsi="Courier New"/>
          <w:sz w:val="18"/>
          <w:szCs w:val="18"/>
          <w:color w:val="auto"/>
        </w:rPr>
      </w:pPr>
    </w:p>
    <w:p>
      <w:pPr>
        <w:ind w:left="527" w:hanging="527"/>
        <w:spacing w:after="0"/>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627"/>
        <w:spacing w:after="0"/>
        <w:rPr>
          <w:sz w:val="20"/>
          <w:szCs w:val="20"/>
          <w:color w:val="auto"/>
        </w:rPr>
      </w:pPr>
      <w:r>
        <w:rPr>
          <w:rFonts w:ascii="Courier New" w:cs="Courier New" w:eastAsia="Courier New" w:hAnsi="Courier New"/>
          <w:sz w:val="18"/>
          <w:szCs w:val="18"/>
          <w:color w:val="auto"/>
        </w:rPr>
        <w:t>IN</w:t>
      </w:r>
    </w:p>
    <w:p>
      <w:pPr>
        <w:sectPr>
          <w:pgSz w:w="11900" w:h="16838" w:orient="portrait"/>
          <w:cols w:equalWidth="0" w:num="1">
            <w:col w:w="10106"/>
          </w:cols>
          <w:pgMar w:left="353" w:top="1325" w:right="1440" w:bottom="1440" w:gutter="0" w:footer="0" w:header="0"/>
        </w:sectPr>
      </w:pPr>
    </w:p>
    <w:bookmarkStart w:id="4" w:name="page5"/>
    <w:bookmarkEnd w:id="4"/>
    <w:p>
      <w:pPr>
        <w:ind w:right="2199" w:firstLine="527"/>
        <w:spacing w:after="0" w:line="237" w:lineRule="auto"/>
        <w:rPr>
          <w:sz w:val="20"/>
          <w:szCs w:val="20"/>
          <w:color w:val="auto"/>
        </w:rPr>
      </w:pPr>
      <w:r>
        <w:rPr>
          <w:rFonts w:ascii="Courier New" w:cs="Courier New" w:eastAsia="Courier New" w:hAnsi="Courier New"/>
          <w:sz w:val="18"/>
          <w:szCs w:val="18"/>
          <w:color w:val="auto"/>
        </w:rPr>
        <w:t>This Amendment No. 2 to Schedule 13G for Active Power, Inc., a Delaware corporation (the "Company"), amends a Schedule 13G, originally dated as of June 20, 2008, as amended as of December 31, 2008, relating to the Company's shares of Common Stock (the "Shares"), $0.001 par value per share, beneficially owned by Rho Management Partners L.P., Atlas Capital Corp., and Joshua Ruch. This Amendment No. 2 to the statement on Schedule 13G amends and restates the previously filed statement in its entirety, as follows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Item 1(a) Name of issuer: Active Power, Inc., a Delaware corporation.</w:t>
      </w:r>
    </w:p>
    <w:p>
      <w:pPr>
        <w:spacing w:after="0" w:line="203" w:lineRule="exact"/>
        <w:rPr>
          <w:sz w:val="20"/>
          <w:szCs w:val="20"/>
          <w:color w:val="auto"/>
        </w:rPr>
      </w:pPr>
    </w:p>
    <w:p>
      <w:pPr>
        <w:ind w:left="520"/>
        <w:spacing w:after="0"/>
        <w:tabs>
          <w:tab w:leader="none" w:pos="16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 2128 W.</w:t>
      </w:r>
    </w:p>
    <w:p>
      <w:pPr>
        <w:spacing w:after="0" w:line="238" w:lineRule="auto"/>
        <w:rPr>
          <w:sz w:val="20"/>
          <w:szCs w:val="20"/>
          <w:color w:val="auto"/>
        </w:rPr>
      </w:pPr>
      <w:r>
        <w:rPr>
          <w:rFonts w:ascii="Courier New" w:cs="Courier New" w:eastAsia="Courier New" w:hAnsi="Courier New"/>
          <w:sz w:val="18"/>
          <w:szCs w:val="18"/>
          <w:color w:val="auto"/>
        </w:rPr>
        <w:t>Braker Lane, BK 12, Austin, Texas 78578.</w:t>
      </w:r>
    </w:p>
    <w:p>
      <w:pPr>
        <w:spacing w:after="0" w:line="200" w:lineRule="exact"/>
        <w:rPr>
          <w:sz w:val="20"/>
          <w:szCs w:val="20"/>
          <w:color w:val="auto"/>
        </w:rPr>
      </w:pPr>
    </w:p>
    <w:p>
      <w:pPr>
        <w:spacing w:after="0" w:line="204" w:lineRule="exact"/>
        <w:rPr>
          <w:sz w:val="20"/>
          <w:szCs w:val="20"/>
          <w:color w:val="auto"/>
        </w:rPr>
      </w:pPr>
    </w:p>
    <w:p>
      <w:pPr>
        <w:ind w:left="520"/>
        <w:spacing w:after="0"/>
        <w:tabs>
          <w:tab w:leader="none" w:pos="14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of Persons Filing.</w:t>
      </w:r>
    </w:p>
    <w:p>
      <w:pPr>
        <w:spacing w:after="0" w:line="207" w:lineRule="exact"/>
        <w:rPr>
          <w:sz w:val="20"/>
          <w:szCs w:val="20"/>
          <w:color w:val="auto"/>
        </w:rPr>
      </w:pPr>
    </w:p>
    <w:p>
      <w:pPr>
        <w:ind w:right="2199" w:firstLine="520"/>
        <w:spacing w:after="0" w:line="270" w:lineRule="auto"/>
        <w:tabs>
          <w:tab w:leader="none" w:pos="105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is being filed by Rho Management Partners L.P. ("RMP"), a Delaware limited partnership, Atlas Capital Corp. ("Atlas"), a Delaware corporation, and Joshua Ruch, an individual resident of the United States. RMP serves as investment advisor to or general partner of various investment vehicles, and as such may be deemed to exercise investment and voting control over Shares registered in the names of such vehicles. As general partner of RMP, Atlas may be deemed to exercise investment and voting control over the Shares deemed beneficially owned by RMP. As the sole shareholder of Atlas, Joshua Ruch may be deemed to exercise investment and voting authority over the Shares deemed beneficially owned by Atlas.</w:t>
      </w:r>
    </w:p>
    <w:p>
      <w:pPr>
        <w:spacing w:after="0" w:line="189"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(b)-(c) Rho Management Partners L.P. is a Delaware limited partnership with its address at 4 Dune Road, East Quogue, New York 11942.</w:t>
      </w:r>
    </w:p>
    <w:p>
      <w:pPr>
        <w:spacing w:after="0" w:line="17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Atlas Capital Corp. is a Delaware corporation, with its address at 4 Dune Road, East Quogue, New York 11942.</w:t>
      </w:r>
    </w:p>
    <w:p>
      <w:pPr>
        <w:spacing w:after="0" w:line="208"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Mr. Ruch is a citizen of the United States of America and of the Republic of South Africa, with his business address at 152 West 57th Street, 23rd Floor, New York, New York 10019</w:t>
      </w:r>
    </w:p>
    <w:p>
      <w:pPr>
        <w:spacing w:after="0" w:line="203" w:lineRule="exact"/>
        <w:rPr>
          <w:sz w:val="20"/>
          <w:szCs w:val="20"/>
          <w:color w:val="auto"/>
        </w:rPr>
      </w:pPr>
    </w:p>
    <w:p>
      <w:pPr>
        <w:ind w:left="520"/>
        <w:spacing w:after="0"/>
        <w:tabs>
          <w:tab w:leader="none" w:pos="1140" w:val="left"/>
        </w:tabs>
        <w:rPr>
          <w:sz w:val="20"/>
          <w:szCs w:val="20"/>
          <w:color w:val="auto"/>
        </w:rPr>
      </w:pPr>
      <w:r>
        <w:rPr>
          <w:rFonts w:ascii="Courier New" w:cs="Courier New" w:eastAsia="Courier New" w:hAnsi="Courier New"/>
          <w:sz w:val="18"/>
          <w:szCs w:val="18"/>
          <w:color w:val="auto"/>
        </w:rPr>
        <w:t>2(d)</w:t>
        <w:tab/>
        <w:t>Title of class of securities: Common Stock</w:t>
      </w:r>
    </w:p>
    <w:p>
      <w:pPr>
        <w:spacing w:after="0" w:line="201" w:lineRule="exact"/>
        <w:rPr>
          <w:sz w:val="20"/>
          <w:szCs w:val="20"/>
          <w:color w:val="auto"/>
        </w:rPr>
      </w:pPr>
    </w:p>
    <w:p>
      <w:pPr>
        <w:ind w:left="520"/>
        <w:spacing w:after="0"/>
        <w:tabs>
          <w:tab w:leader="none" w:pos="1140" w:val="left"/>
          <w:tab w:leader="none" w:pos="2500" w:val="left"/>
        </w:tabs>
        <w:rPr>
          <w:sz w:val="20"/>
          <w:szCs w:val="20"/>
          <w:color w:val="auto"/>
        </w:rPr>
      </w:pPr>
      <w:r>
        <w:rPr>
          <w:rFonts w:ascii="Courier New" w:cs="Courier New" w:eastAsia="Courier New" w:hAnsi="Courier New"/>
          <w:sz w:val="18"/>
          <w:szCs w:val="18"/>
          <w:color w:val="auto"/>
        </w:rPr>
        <w:t>2(e)</w:t>
        <w:tab/>
        <w:t>CUSIP No.:</w:t>
      </w:r>
      <w:r>
        <w:rPr>
          <w:sz w:val="20"/>
          <w:szCs w:val="20"/>
          <w:color w:val="auto"/>
        </w:rPr>
        <w:tab/>
      </w:r>
      <w:r>
        <w:rPr>
          <w:rFonts w:ascii="Courier New" w:cs="Courier New" w:eastAsia="Courier New" w:hAnsi="Courier New"/>
          <w:sz w:val="16"/>
          <w:szCs w:val="16"/>
          <w:color w:val="auto"/>
        </w:rPr>
        <w:t>00504W100</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Rule 13d-2(b) or (c), check whether the person filing is a:</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 [ ] Broker or dealer registered under Section 15 of the Exchange</w:t>
      </w:r>
    </w:p>
    <w:p>
      <w:pPr>
        <w:spacing w:after="0" w:line="238" w:lineRule="auto"/>
        <w:rPr>
          <w:sz w:val="20"/>
          <w:szCs w:val="20"/>
          <w:color w:val="auto"/>
        </w:rPr>
      </w:pPr>
      <w:r>
        <w:rPr>
          <w:rFonts w:ascii="Courier New" w:cs="Courier New" w:eastAsia="Courier New" w:hAnsi="Courier New"/>
          <w:sz w:val="18"/>
          <w:szCs w:val="18"/>
          <w:color w:val="auto"/>
        </w:rPr>
        <w:t>Act.</w:t>
      </w:r>
    </w:p>
    <w:p>
      <w:pPr>
        <w:spacing w:after="0" w:line="202" w:lineRule="exact"/>
        <w:rPr>
          <w:sz w:val="20"/>
          <w:szCs w:val="20"/>
          <w:color w:val="auto"/>
        </w:rPr>
      </w:pPr>
    </w:p>
    <w:p>
      <w:pPr>
        <w:ind w:left="940" w:hanging="420"/>
        <w:spacing w:after="0"/>
        <w:tabs>
          <w:tab w:leader="none" w:pos="9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right="2939" w:firstLine="520"/>
        <w:spacing w:after="0" w:line="235"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right="3259" w:firstLine="520"/>
        <w:spacing w:after="0" w:line="235"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940" w:hanging="420"/>
        <w:spacing w:after="0"/>
        <w:tabs>
          <w:tab w:leader="none" w:pos="9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w:t>
      </w:r>
    </w:p>
    <w:p>
      <w:pPr>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7" w:lineRule="exact"/>
        <w:rPr>
          <w:sz w:val="20"/>
          <w:szCs w:val="20"/>
          <w:color w:val="auto"/>
        </w:rPr>
      </w:pPr>
    </w:p>
    <w:p>
      <w:pPr>
        <w:ind w:right="2319" w:firstLine="520"/>
        <w:spacing w:after="0" w:line="235"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right="2319" w:firstLine="520"/>
        <w:spacing w:after="0" w:line="235"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right="2839" w:firstLine="520"/>
        <w:spacing w:after="0" w:line="235"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w:t>
      </w:r>
    </w:p>
    <w:p>
      <w:pPr>
        <w:spacing w:after="0" w:line="208" w:lineRule="exact"/>
        <w:rPr>
          <w:sz w:val="20"/>
          <w:szCs w:val="20"/>
          <w:color w:val="auto"/>
        </w:rPr>
      </w:pPr>
    </w:p>
    <w:p>
      <w:pPr>
        <w:ind w:right="2519" w:firstLine="520"/>
        <w:spacing w:after="0" w:line="290" w:lineRule="auto"/>
        <w:tabs>
          <w:tab w:leader="none" w:pos="94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ectPr>
          <w:pgSz w:w="11900" w:h="16838" w:orient="portrait"/>
          <w:cols w:equalWidth="0" w:num="1">
            <w:col w:w="10099"/>
          </w:cols>
          <w:pgMar w:left="360" w:top="1330" w:right="1440" w:bottom="0" w:gutter="0" w:footer="0" w:header="0"/>
        </w:sectPr>
      </w:pPr>
    </w:p>
    <w:bookmarkStart w:id="5" w:name="page6"/>
    <w:bookmarkEnd w:id="5"/>
    <w:p>
      <w:pPr>
        <w:ind w:left="520"/>
        <w:spacing w:after="0"/>
        <w:rPr>
          <w:sz w:val="20"/>
          <w:szCs w:val="20"/>
          <w:color w:val="auto"/>
        </w:rPr>
      </w:pPr>
      <w:r>
        <w:rPr>
          <w:rFonts w:ascii="Courier New" w:cs="Courier New" w:eastAsia="Courier New" w:hAnsi="Courier New"/>
          <w:sz w:val="18"/>
          <w:szCs w:val="18"/>
          <w:color w:val="auto"/>
        </w:rPr>
        <w:t>(j) [ ] Group, in accordance with Rule 13d-1(b)(1)(ii)(J).</w:t>
      </w: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If this statement is filed pursuant to Rule 13d-1(c), check this box.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4" w:lineRule="exact"/>
        <w:rPr>
          <w:sz w:val="20"/>
          <w:szCs w:val="20"/>
          <w:color w:val="auto"/>
        </w:rPr>
      </w:pPr>
    </w:p>
    <w:p>
      <w:pPr>
        <w:ind w:left="620"/>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See cover page for each reporting person.</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3,430,385 of the Shares reported hereby are registered in the names of investment vehicles over which RMP has sole voting and investment control. An additional 652 Shares are registered in the name of RMP directly. RMP may accordingly be deemed, for purposes of Rule 13d-3 under the Securities Exchange Act of 1934, as amended, to be the beneficial owner of an aggregate of 3,431,037 Shares, constituting 4.3% of the Company's shares outstanding as of the date of the Company's most recently filed Form 10-Q.</w:t>
      </w:r>
    </w:p>
    <w:p>
      <w:pPr>
        <w:spacing w:after="0" w:line="212"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Atlas, as sole general partner of RMP, may be deemed, for purposes of Rule 13d-3 under the Securities Exchange Act of 1934, as amended, to be the beneficial owner, with sole voting and investment authority, of the 3,431,037 Shares deemed beneficially owned by RMP hereunder. When such number of Shares is aggregated with an additional 11,566 Shares registered in the name of Atlas directly, Atlas may be deemed to own beneficially an aggregate of 3,442,603 Shares, constituting 4.3% of the Company's shares outstanding as of the date of the Company's most recently filed Form 10-Q.</w:t>
      </w:r>
    </w:p>
    <w:p>
      <w:pPr>
        <w:spacing w:after="0" w:line="18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Joshua Ruch, as sole shareholder of Atlas, may be deemed, for purposes of Rule 13d-3 under the Securities Exchange Act of 1934, as amended, to be the beneficial owner of the 3,442,603 Shares reported by Atlas hereunder. When such number of Shares is taken together with Shares held by Joshua Ruch, and certain other family or foundation vehicles over which he exercises sole investment and voting control, Joshua Ruch may be deemed to own beneficially an aggregate of 5,032,908 Shares, constituting 6.3% of the Company's shares outstanding as of the date of the Company's most recently filed Form 10-Q.</w:t>
      </w:r>
    </w:p>
    <w:p>
      <w:pPr>
        <w:spacing w:after="0" w:line="200" w:lineRule="exact"/>
        <w:rPr>
          <w:sz w:val="20"/>
          <w:szCs w:val="20"/>
          <w:color w:val="auto"/>
        </w:rPr>
      </w:pPr>
    </w:p>
    <w:p>
      <w:pPr>
        <w:spacing w:after="0" w:line="210" w:lineRule="exact"/>
        <w:rPr>
          <w:sz w:val="20"/>
          <w:szCs w:val="20"/>
          <w:color w:val="auto"/>
        </w:rPr>
      </w:pPr>
    </w:p>
    <w:p>
      <w:pPr>
        <w:ind w:left="620"/>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ind w:left="520"/>
        <w:spacing w:after="0"/>
        <w:tabs>
          <w:tab w:leader="none" w:pos="14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520"/>
        <w:spacing w:after="0"/>
        <w:tabs>
          <w:tab w:leader="none" w:pos="14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520"/>
        <w:spacing w:after="0"/>
        <w:tabs>
          <w:tab w:leader="none" w:pos="14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099"/>
          </w:cols>
          <w:pgMar w:left="360" w:top="339" w:right="1440" w:bottom="540" w:gutter="0" w:footer="0" w:header="0"/>
        </w:sectPr>
      </w:pPr>
    </w:p>
    <w:bookmarkStart w:id="6" w:name="page7"/>
    <w:bookmarkEnd w:id="6"/>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RHO MANAGEMENT PARTNERS L.P.</w:t>
      </w:r>
    </w:p>
    <w:p>
      <w:pPr>
        <w:spacing w:after="0" w:line="238" w:lineRule="auto"/>
        <w:rPr>
          <w:sz w:val="20"/>
          <w:szCs w:val="20"/>
          <w:color w:val="auto"/>
        </w:rPr>
      </w:pPr>
      <w:r>
        <w:rPr>
          <w:rFonts w:ascii="Courier New" w:cs="Courier New" w:eastAsia="Courier New" w:hAnsi="Courier New"/>
          <w:sz w:val="18"/>
          <w:szCs w:val="18"/>
          <w:color w:val="auto"/>
        </w:rPr>
        <w:t>By: ATLAS CAPITAL CORP.</w:t>
      </w:r>
    </w:p>
    <w:p>
      <w:pPr>
        <w:ind w:left="4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Joshua Ruch</w:t>
      </w:r>
    </w:p>
    <w:p>
      <w:pPr>
        <w:spacing w:after="0" w:line="237" w:lineRule="auto"/>
        <w:rPr>
          <w:sz w:val="20"/>
          <w:szCs w:val="20"/>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ATLAS CAPITAL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Joshua Ruch</w:t>
      </w:r>
    </w:p>
    <w:p>
      <w:pPr>
        <w:spacing w:after="0" w:line="237" w:lineRule="auto"/>
        <w:tabs>
          <w:tab w:leader="none" w:pos="820" w:val="left"/>
        </w:tabs>
        <w:rPr>
          <w:sz w:val="20"/>
          <w:szCs w:val="20"/>
          <w:color w:val="auto"/>
        </w:rPr>
      </w:pPr>
      <w:r>
        <w:rPr>
          <w:rFonts w:ascii="Courier New" w:cs="Courier New" w:eastAsia="Courier New" w:hAnsi="Courier New"/>
          <w:sz w:val="18"/>
          <w:szCs w:val="18"/>
          <w:color w:val="auto"/>
        </w:rPr>
        <w:t>Title:</w:t>
        <w:tab/>
        <w:t>President and CEO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JOSHUA RUCH</w:t>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Joshua Ruch</w:t>
      </w:r>
    </w:p>
    <w:p>
      <w:pPr>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099"/>
      </w:cols>
      <w:pgMar w:left="36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5"/>
      <w:numFmt w:val="bullet"/>
      <w:start w:val="1"/>
    </w:lvl>
  </w:abstractNum>
  <w:abstractNum w:abstractNumId="4">
    <w:nsid w:val="431BD7B7"/>
    <w:multiLevelType w:val="hybridMultilevel"/>
    <w:lvl w:ilvl="0">
      <w:lvlJc w:val="left"/>
      <w:lvlText w:val="6"/>
      <w:numFmt w:val="bullet"/>
      <w:start w:val="1"/>
    </w:lvl>
  </w:abstractNum>
  <w:abstractNum w:abstractNumId="5">
    <w:nsid w:val="3F2DBA31"/>
    <w:multiLevelType w:val="hybridMultilevel"/>
    <w:lvl w:ilvl="0">
      <w:lvlJc w:val="left"/>
      <w:lvlText w:val="7"/>
      <w:numFmt w:val="bullet"/>
      <w:start w:val="1"/>
    </w:lvl>
  </w:abstractNum>
  <w:abstractNum w:abstractNumId="6">
    <w:nsid w:val="7C83E458"/>
    <w:multiLevelType w:val="hybridMultilevel"/>
    <w:lvl w:ilvl="0">
      <w:lvlJc w:val="left"/>
      <w:lvlText w:val="8"/>
      <w:numFmt w:val="bullet"/>
      <w:start w:val="1"/>
    </w:lvl>
  </w:abstractNum>
  <w:abstractNum w:abstractNumId="7">
    <w:nsid w:val="257130A3"/>
    <w:multiLevelType w:val="hybridMultilevel"/>
    <w:lvl w:ilvl="0">
      <w:lvlJc w:val="left"/>
      <w:lvlText w:val="9"/>
      <w:numFmt w:val="bullet"/>
      <w:start w:val="1"/>
    </w:lvl>
  </w:abstractNum>
  <w:abstractNum w:abstractNumId="8">
    <w:nsid w:val="62BBD95A"/>
    <w:multiLevelType w:val="hybridMultilevel"/>
    <w:lvl w:ilvl="0">
      <w:lvlJc w:val="left"/>
      <w:lvlText w:val="%1"/>
      <w:numFmt w:val="decimal"/>
      <w:start w:val="10"/>
    </w:lvl>
  </w:abstractNum>
  <w:abstractNum w:abstractNumId="9">
    <w:nsid w:val="436C6125"/>
    <w:multiLevelType w:val="hybridMultilevel"/>
    <w:lvl w:ilvl="0">
      <w:lvlJc w:val="left"/>
      <w:lvlText w:val="1"/>
      <w:numFmt w:val="bullet"/>
      <w:start w:val="1"/>
    </w:lvl>
  </w:abstractNum>
  <w:abstractNum w:abstractNumId="10">
    <w:nsid w:val="628C895D"/>
    <w:multiLevelType w:val="hybridMultilevel"/>
    <w:lvl w:ilvl="0">
      <w:lvlJc w:val="left"/>
      <w:lvlText w:val="3"/>
      <w:numFmt w:val="bullet"/>
      <w:start w:val="1"/>
    </w:lvl>
  </w:abstractNum>
  <w:abstractNum w:abstractNumId="11">
    <w:nsid w:val="333AB105"/>
    <w:multiLevelType w:val="hybridMultilevel"/>
    <w:lvl w:ilvl="0">
      <w:lvlJc w:val="left"/>
      <w:lvlText w:val="4"/>
      <w:numFmt w:val="bullet"/>
      <w:start w:val="1"/>
    </w:lvl>
  </w:abstractNum>
  <w:abstractNum w:abstractNumId="12">
    <w:nsid w:val="721DA317"/>
    <w:multiLevelType w:val="hybridMultilevel"/>
    <w:lvl w:ilvl="0">
      <w:lvlJc w:val="left"/>
      <w:lvlText w:val="5"/>
      <w:numFmt w:val="bullet"/>
      <w:start w:val="1"/>
    </w:lvl>
  </w:abstractNum>
  <w:abstractNum w:abstractNumId="13">
    <w:nsid w:val="2443A858"/>
    <w:multiLevelType w:val="hybridMultilevel"/>
    <w:lvl w:ilvl="0">
      <w:lvlJc w:val="left"/>
      <w:lvlText w:val="6"/>
      <w:numFmt w:val="bullet"/>
      <w:start w:val="1"/>
    </w:lvl>
  </w:abstractNum>
  <w:abstractNum w:abstractNumId="14">
    <w:nsid w:val="2D1D5AE9"/>
    <w:multiLevelType w:val="hybridMultilevel"/>
    <w:lvl w:ilvl="0">
      <w:lvlJc w:val="left"/>
      <w:lvlText w:val="7"/>
      <w:numFmt w:val="bullet"/>
      <w:start w:val="1"/>
    </w:lvl>
  </w:abstractNum>
  <w:abstractNum w:abstractNumId="15">
    <w:nsid w:val="6763845E"/>
    <w:multiLevelType w:val="hybridMultilevel"/>
    <w:lvl w:ilvl="0">
      <w:lvlJc w:val="left"/>
      <w:lvlText w:val="8"/>
      <w:numFmt w:val="bullet"/>
      <w:start w:val="1"/>
    </w:lvl>
  </w:abstractNum>
  <w:abstractNum w:abstractNumId="16">
    <w:nsid w:val="75A2A8D4"/>
    <w:multiLevelType w:val="hybridMultilevel"/>
    <w:lvl w:ilvl="0">
      <w:lvlJc w:val="left"/>
      <w:lvlText w:val="9"/>
      <w:numFmt w:val="bullet"/>
      <w:start w:val="1"/>
    </w:lvl>
  </w:abstractNum>
  <w:abstractNum w:abstractNumId="17">
    <w:nsid w:val="8EDBDAB"/>
    <w:multiLevelType w:val="hybridMultilevel"/>
    <w:lvl w:ilvl="0">
      <w:lvlJc w:val="left"/>
      <w:lvlText w:val="%1"/>
      <w:numFmt w:val="decimal"/>
      <w:start w:val="10"/>
    </w:lvl>
  </w:abstractNum>
  <w:abstractNum w:abstractNumId="18">
    <w:nsid w:val="79838CB2"/>
    <w:multiLevelType w:val="hybridMultilevel"/>
    <w:lvl w:ilvl="0">
      <w:lvlJc w:val="left"/>
      <w:lvlText w:val="1"/>
      <w:numFmt w:val="bullet"/>
      <w:start w:val="1"/>
    </w:lvl>
  </w:abstractNum>
  <w:abstractNum w:abstractNumId="19">
    <w:nsid w:val="4353D0CD"/>
    <w:multiLevelType w:val="hybridMultilevel"/>
    <w:lvl w:ilvl="0">
      <w:lvlJc w:val="left"/>
      <w:lvlText w:val="3"/>
      <w:numFmt w:val="bullet"/>
      <w:start w:val="1"/>
    </w:lvl>
  </w:abstractNum>
  <w:abstractNum w:abstractNumId="20">
    <w:nsid w:val="B03E0C6"/>
    <w:multiLevelType w:val="hybridMultilevel"/>
    <w:lvl w:ilvl="0">
      <w:lvlJc w:val="left"/>
      <w:lvlText w:val="4"/>
      <w:numFmt w:val="bullet"/>
      <w:start w:val="1"/>
    </w:lvl>
  </w:abstractNum>
  <w:abstractNum w:abstractNumId="21">
    <w:nsid w:val="189A769B"/>
    <w:multiLevelType w:val="hybridMultilevel"/>
    <w:lvl w:ilvl="0">
      <w:lvlJc w:val="left"/>
      <w:lvlText w:val="5"/>
      <w:numFmt w:val="bullet"/>
      <w:start w:val="1"/>
    </w:lvl>
  </w:abstractNum>
  <w:abstractNum w:abstractNumId="22">
    <w:nsid w:val="54E49EB4"/>
    <w:multiLevelType w:val="hybridMultilevel"/>
    <w:lvl w:ilvl="0">
      <w:lvlJc w:val="left"/>
      <w:lvlText w:val="6"/>
      <w:numFmt w:val="bullet"/>
      <w:start w:val="1"/>
    </w:lvl>
  </w:abstractNum>
  <w:abstractNum w:abstractNumId="23">
    <w:nsid w:val="71F32454"/>
    <w:multiLevelType w:val="hybridMultilevel"/>
    <w:lvl w:ilvl="0">
      <w:lvlJc w:val="left"/>
      <w:lvlText w:val="7"/>
      <w:numFmt w:val="bullet"/>
      <w:start w:val="1"/>
    </w:lvl>
  </w:abstractNum>
  <w:abstractNum w:abstractNumId="24">
    <w:nsid w:val="2CA88611"/>
    <w:multiLevelType w:val="hybridMultilevel"/>
    <w:lvl w:ilvl="0">
      <w:lvlJc w:val="left"/>
      <w:lvlText w:val="8"/>
      <w:numFmt w:val="bullet"/>
      <w:start w:val="1"/>
    </w:lvl>
  </w:abstractNum>
  <w:abstractNum w:abstractNumId="25">
    <w:nsid w:val="836C40E"/>
    <w:multiLevelType w:val="hybridMultilevel"/>
    <w:lvl w:ilvl="0">
      <w:lvlJc w:val="left"/>
      <w:lvlText w:val="9"/>
      <w:numFmt w:val="bullet"/>
      <w:start w:val="1"/>
    </w:lvl>
  </w:abstractNum>
  <w:abstractNum w:abstractNumId="26">
    <w:nsid w:val="2901D82"/>
    <w:multiLevelType w:val="hybridMultilevel"/>
    <w:lvl w:ilvl="0">
      <w:lvlJc w:val="left"/>
      <w:lvlText w:val="%1"/>
      <w:numFmt w:val="decimal"/>
      <w:start w:val="10"/>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lowerLetter"/>
      <w:start w:val="6"/>
    </w:lvl>
  </w:abstractNum>
  <w:abstractNum w:abstractNumId="30">
    <w:nsid w:val="7C3DBD3D"/>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2019-12-10T17:25:07Z</dcterms:created>
  <dcterms:modified xsi:type="dcterms:W3CDTF">2019-12-10T17:25:07Z</dcterms:modified>
</cp:coreProperties>
</file>