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2020" w:type="dxa"/>
        <w:tblCellMar>
          <w:top w:w="0" w:type="dxa"/>
          <w:left w:w="0" w:type="dxa"/>
          <w:bottom w:w="0" w:type="dxa"/>
          <w:right w:w="0" w:type="dxa"/>
        </w:tblCellMar>
      </w:tblPr>
      <w:tr>
        <w:trPr>
          <w:trHeight w:val="220"/>
        </w:trPr>
        <w:tc>
          <w:tcPr>
            <w:tcW w:w="3860" w:type="dxa"/>
            <w:vAlign w:val="bottom"/>
          </w:tcPr>
          <w:p>
            <w:pPr>
              <w:jc w:val="center"/>
              <w:ind w:right="2086"/>
              <w:spacing w:after="0"/>
              <w:rPr>
                <w:sz w:val="20"/>
                <w:szCs w:val="20"/>
                <w:color w:val="auto"/>
              </w:rPr>
            </w:pPr>
            <w:r>
              <w:rPr>
                <w:rFonts w:ascii="Arial" w:cs="Arial" w:eastAsia="Arial" w:hAnsi="Arial"/>
                <w:sz w:val="18"/>
                <w:szCs w:val="18"/>
                <w:b w:val="1"/>
                <w:bCs w:val="1"/>
                <w:color w:val="auto"/>
                <w:w w:val="88"/>
              </w:rPr>
              <w:t>Delaware</w:t>
            </w:r>
          </w:p>
        </w:tc>
        <w:tc>
          <w:tcPr>
            <w:tcW w:w="3460" w:type="dxa"/>
            <w:vAlign w:val="bottom"/>
          </w:tcPr>
          <w:p>
            <w:pPr>
              <w:jc w:val="center"/>
              <w:ind w:left="206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3860" w:type="dxa"/>
            <w:vAlign w:val="bottom"/>
          </w:tcPr>
          <w:p>
            <w:pPr>
              <w:jc w:val="center"/>
              <w:ind w:right="2086"/>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3460" w:type="dxa"/>
            <w:vAlign w:val="bottom"/>
          </w:tcPr>
          <w:p>
            <w:pPr>
              <w:jc w:val="center"/>
              <w:ind w:left="2086"/>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3860" w:type="dxa"/>
            <w:vAlign w:val="bottom"/>
          </w:tcPr>
          <w:p>
            <w:pPr>
              <w:jc w:val="center"/>
              <w:ind w:right="2086"/>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3460" w:type="dxa"/>
            <w:vAlign w:val="bottom"/>
          </w:tcPr>
          <w:p>
            <w:pPr>
              <w:jc w:val="center"/>
              <w:ind w:left="2086"/>
              <w:spacing w:after="0"/>
              <w:rPr>
                <w:sz w:val="20"/>
                <w:szCs w:val="20"/>
                <w:color w:val="auto"/>
              </w:rPr>
            </w:pPr>
            <w:r>
              <w:rPr>
                <w:rFonts w:ascii="Arial" w:cs="Arial" w:eastAsia="Arial" w:hAnsi="Arial"/>
                <w:sz w:val="14"/>
                <w:szCs w:val="14"/>
                <w:b w:val="1"/>
                <w:bCs w:val="1"/>
                <w:i w:val="1"/>
                <w:iCs w:val="1"/>
                <w:color w:val="auto"/>
                <w:w w:val="87"/>
              </w:rPr>
              <w:t>Identification Number)</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w:t>
      </w:r>
    </w:p>
    <w:p>
      <w:pPr>
        <w:jc w:val="center"/>
        <w:spacing w:after="0"/>
        <w:rPr>
          <w:sz w:val="20"/>
          <w:szCs w:val="20"/>
          <w:color w:val="auto"/>
        </w:rPr>
      </w:pPr>
      <w:r>
        <w:rPr>
          <w:rFonts w:ascii="Arial" w:cs="Arial" w:eastAsia="Arial" w:hAnsi="Arial"/>
          <w:sz w:val="14"/>
          <w:szCs w:val="14"/>
          <w:b w:val="1"/>
          <w:bCs w:val="1"/>
          <w:color w:val="auto"/>
        </w:rPr>
        <w:t>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179705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STOCK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A. Clishem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L. Willis,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 South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TX 78746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gridSpan w:val="2"/>
          </w:tcPr>
          <w:p>
            <w:pPr>
              <w:spacing w:after="0"/>
              <w:rPr>
                <w:sz w:val="20"/>
                <w:szCs w:val="20"/>
                <w:color w:val="auto"/>
              </w:rPr>
            </w:pPr>
            <w:r>
              <w:rPr>
                <w:rFonts w:ascii="Arial" w:cs="Arial" w:eastAsia="Arial" w:hAnsi="Arial"/>
                <w:sz w:val="18"/>
                <w:szCs w:val="18"/>
                <w:color w:val="auto"/>
                <w:w w:val="97"/>
              </w:rPr>
              <w:t>Large accelerated filer</w:t>
            </w:r>
          </w:p>
        </w:tc>
        <w:tc>
          <w:tcPr>
            <w:tcW w:w="20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080" w:type="dxa"/>
            <w:vAlign w:val="bottom"/>
          </w:tcPr>
          <w:p>
            <w:pPr>
              <w:spacing w:after="0"/>
              <w:rPr>
                <w:sz w:val="23"/>
                <w:szCs w:val="23"/>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90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60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00" w:type="dxa"/>
            <w:vAlign w:val="bottom"/>
            <w:gridSpan w:val="3"/>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3"/>
              <w:spacing w:after="0" w:line="117" w:lineRule="exact"/>
              <w:rPr>
                <w:sz w:val="20"/>
                <w:szCs w:val="20"/>
                <w:color w:val="auto"/>
              </w:rPr>
            </w:pPr>
            <w:r>
              <w:rPr>
                <w:rFonts w:ascii="Arial" w:cs="Arial" w:eastAsia="Arial" w:hAnsi="Arial"/>
                <w:sz w:val="12"/>
                <w:szCs w:val="12"/>
                <w:b w:val="1"/>
                <w:bCs w:val="1"/>
                <w:color w:val="auto"/>
              </w:rPr>
              <w:t>Proposed Maximum</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Amount of Shares to</w:t>
            </w:r>
          </w:p>
        </w:tc>
        <w:tc>
          <w:tcPr>
            <w:tcW w:w="16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60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74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w w:val="95"/>
              </w:rPr>
              <w:t>Title of Securities to be Registered</w:t>
            </w:r>
          </w:p>
        </w:tc>
        <w:tc>
          <w:tcPr>
            <w:tcW w:w="13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be Registered (1)(2)</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6"/>
              </w:rPr>
              <w:t>Share (3)</w:t>
            </w:r>
          </w:p>
        </w:tc>
        <w:tc>
          <w:tcPr>
            <w:tcW w:w="160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c>
          <w:tcPr>
            <w:tcW w:w="220" w:type="dxa"/>
            <w:vAlign w:val="bottom"/>
            <w:tcBorders>
              <w:bottom w:val="single" w:sz="8" w:color="auto"/>
            </w:tcBorders>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50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1"/>
              </w:rPr>
              <w:t>2000 Stock Incentive Plan Common Stock, $0.001 par value (options</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available for future grant)</w:t>
            </w:r>
          </w:p>
        </w:tc>
        <w:tc>
          <w:tcPr>
            <w:tcW w:w="13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1,080,000</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7"/>
              </w:rPr>
              <w:t>$0.575</w:t>
            </w:r>
          </w:p>
        </w:tc>
        <w:tc>
          <w:tcPr>
            <w:tcW w:w="160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8"/>
                <w:szCs w:val="18"/>
                <w:color w:val="auto"/>
                <w:w w:val="87"/>
              </w:rPr>
              <w:t>$621,000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$24.41</w:t>
            </w:r>
          </w:p>
        </w:tc>
        <w:tc>
          <w:tcPr>
            <w:tcW w:w="2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shall also cover any additional shares of Common Stock which become issuable under the 2000 Stock Incentive Plan by reason of any stock dividend, stock split, recapitalization or any other similar transaction effected without the receipt of consideration that results in an increase in the number of the Registrant’s outstanding shares of Common Stock.</w:t>
      </w:r>
    </w:p>
    <w:p>
      <w:pPr>
        <w:ind w:left="460" w:right="3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is accompanied by a preferred share purchase right pursuant to the Rights Agreement, dated as of December 13, 2001, as may be amended from time to time, between Active Power and EquiServe Trust N.A., as Rights Agent.</w:t>
      </w:r>
    </w:p>
    <w:p>
      <w:pPr>
        <w:ind w:left="460" w:hanging="452"/>
        <w:spacing w:after="0" w:line="331"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proposed maximum offering price per share has been estimated in accordance with Rule 457(c) under the Securities Act of 1933, as amended (the “Securities Act”), as to the 1,080,000 additional shares of Common Stock authorized for issuance pursuant to the 2000 Stock Incentive Plan, solely for the purpose of calculating the registration fee. No options have been granted with respect to such shares. The computation is based upon the average of the high</w:t>
      </w:r>
    </w:p>
    <w:p>
      <w:pPr>
        <w:sectPr>
          <w:pgSz w:w="11900" w:h="16838" w:orient="portrait"/>
          <w:cols w:equalWidth="0" w:num="1">
            <w:col w:w="11420"/>
          </w:cols>
          <w:pgMar w:left="240" w:top="230" w:right="239" w:bottom="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and low prices of the Common Stock as reported on the Nasdaq Global Market on February 27, 2009, because the price at which the options to be granted in the future may be exercised is not currently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54610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88900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700" w:top="131"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r>
      <w:tr>
        <w:trPr>
          <w:trHeight w:val="399"/>
        </w:trPr>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II</w:t>
              </w:r>
            </w:hyperlink>
          </w:p>
        </w:tc>
        <w:tc>
          <w:tcPr>
            <w:tcW w:w="4180" w:type="dxa"/>
            <w:vAlign w:val="bottom"/>
            <w:gridSpan w:val="9"/>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760" w:type="dxa"/>
            <w:vAlign w:val="bottom"/>
          </w:tcPr>
          <w:p>
            <w:pPr>
              <w:ind w:left="4500"/>
              <w:spacing w:after="0"/>
              <w:rPr>
                <w:sz w:val="20"/>
                <w:szCs w:val="20"/>
                <w:color w:val="auto"/>
              </w:rPr>
            </w:pPr>
            <w:r>
              <w:rPr>
                <w:rFonts w:ascii="Arial" w:cs="Arial" w:eastAsia="Arial" w:hAnsi="Arial"/>
                <w:sz w:val="18"/>
                <w:szCs w:val="18"/>
                <w:color w:val="auto"/>
                <w:w w:val="92"/>
              </w:rPr>
              <w:t>II-2</w:t>
            </w:r>
          </w:p>
        </w:tc>
      </w:tr>
      <w:tr>
        <w:trPr>
          <w:trHeight w:val="196"/>
        </w:trPr>
        <w:tc>
          <w:tcPr>
            <w:tcW w:w="4780" w:type="dxa"/>
            <w:vAlign w:val="bottom"/>
            <w:gridSpan w:val="10"/>
          </w:tcPr>
          <w:p>
            <w:pPr>
              <w:ind w:left="30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4">
              <w:r>
                <w:rPr>
                  <w:rFonts w:ascii="Arial" w:cs="Arial" w:eastAsia="Arial" w:hAnsi="Arial"/>
                  <w:sz w:val="18"/>
                  <w:szCs w:val="18"/>
                  <w:color w:val="0000EE"/>
                </w:rPr>
                <w:t>Incorporation of Documents by Reference</w:t>
              </w:r>
            </w:hyperlink>
          </w:p>
        </w:tc>
        <w:tc>
          <w:tcPr>
            <w:tcW w:w="1880" w:type="dxa"/>
            <w:vAlign w:val="bottom"/>
          </w:tcPr>
          <w:p>
            <w:pPr>
              <w:spacing w:after="0"/>
              <w:rPr>
                <w:sz w:val="17"/>
                <w:szCs w:val="17"/>
                <w:color w:val="auto"/>
              </w:rPr>
            </w:pPr>
          </w:p>
        </w:tc>
        <w:tc>
          <w:tcPr>
            <w:tcW w:w="4760" w:type="dxa"/>
            <w:vAlign w:val="bottom"/>
          </w:tcPr>
          <w:p>
            <w:pPr>
              <w:ind w:left="4500"/>
              <w:spacing w:after="0" w:line="196" w:lineRule="exact"/>
              <w:rPr>
                <w:sz w:val="20"/>
                <w:szCs w:val="20"/>
                <w:color w:val="auto"/>
              </w:rPr>
            </w:pPr>
            <w:r>
              <w:rPr>
                <w:rFonts w:ascii="Arial" w:cs="Arial" w:eastAsia="Arial" w:hAnsi="Arial"/>
                <w:sz w:val="18"/>
                <w:szCs w:val="18"/>
                <w:color w:val="auto"/>
                <w:w w:val="92"/>
              </w:rPr>
              <w:t>II-2</w:t>
            </w:r>
          </w:p>
        </w:tc>
      </w:tr>
      <w:tr>
        <w:trPr>
          <w:trHeight w:val="20"/>
        </w:trPr>
        <w:tc>
          <w:tcPr>
            <w:tcW w:w="8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10"/>
          </w:tcPr>
          <w:p>
            <w:pPr>
              <w:ind w:left="30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5. </w:t>
            </w:r>
            <w:hyperlink w:anchor="page4">
              <w:r>
                <w:rPr>
                  <w:rFonts w:ascii="Arial" w:cs="Arial" w:eastAsia="Arial" w:hAnsi="Arial"/>
                  <w:sz w:val="18"/>
                  <w:szCs w:val="18"/>
                  <w:color w:val="0000EE"/>
                </w:rPr>
                <w:t>Interests of Named Experts and Counsel</w:t>
              </w:r>
            </w:hyperlink>
          </w:p>
        </w:tc>
        <w:tc>
          <w:tcPr>
            <w:tcW w:w="1880" w:type="dxa"/>
            <w:vAlign w:val="bottom"/>
          </w:tcPr>
          <w:p>
            <w:pPr>
              <w:spacing w:after="0"/>
              <w:rPr>
                <w:sz w:val="17"/>
                <w:szCs w:val="17"/>
                <w:color w:val="auto"/>
              </w:rPr>
            </w:pPr>
          </w:p>
        </w:tc>
        <w:tc>
          <w:tcPr>
            <w:tcW w:w="4760" w:type="dxa"/>
            <w:vAlign w:val="bottom"/>
          </w:tcPr>
          <w:p>
            <w:pPr>
              <w:ind w:left="4500"/>
              <w:spacing w:after="0" w:line="196" w:lineRule="exact"/>
              <w:rPr>
                <w:sz w:val="20"/>
                <w:szCs w:val="20"/>
                <w:color w:val="auto"/>
              </w:rPr>
            </w:pPr>
            <w:r>
              <w:rPr>
                <w:rFonts w:ascii="Arial" w:cs="Arial" w:eastAsia="Arial" w:hAnsi="Arial"/>
                <w:sz w:val="18"/>
                <w:szCs w:val="18"/>
                <w:color w:val="auto"/>
                <w:w w:val="92"/>
              </w:rPr>
              <w:t>II-2</w:t>
            </w:r>
          </w:p>
        </w:tc>
      </w:tr>
      <w:tr>
        <w:trPr>
          <w:trHeight w:val="20"/>
        </w:trPr>
        <w:tc>
          <w:tcPr>
            <w:tcW w:w="8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10"/>
          </w:tcPr>
          <w:p>
            <w:pPr>
              <w:ind w:left="30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6. </w:t>
            </w:r>
            <w:hyperlink w:anchor="page5">
              <w:r>
                <w:rPr>
                  <w:rFonts w:ascii="Arial" w:cs="Arial" w:eastAsia="Arial" w:hAnsi="Arial"/>
                  <w:sz w:val="18"/>
                  <w:szCs w:val="18"/>
                  <w:color w:val="0000EE"/>
                </w:rPr>
                <w:t>Indemnification of Directors and Officers</w:t>
              </w:r>
            </w:hyperlink>
          </w:p>
        </w:tc>
        <w:tc>
          <w:tcPr>
            <w:tcW w:w="1880" w:type="dxa"/>
            <w:vAlign w:val="bottom"/>
          </w:tcPr>
          <w:p>
            <w:pPr>
              <w:spacing w:after="0"/>
              <w:rPr>
                <w:sz w:val="17"/>
                <w:szCs w:val="17"/>
                <w:color w:val="auto"/>
              </w:rPr>
            </w:pPr>
          </w:p>
        </w:tc>
        <w:tc>
          <w:tcPr>
            <w:tcW w:w="4760" w:type="dxa"/>
            <w:vAlign w:val="bottom"/>
          </w:tcPr>
          <w:p>
            <w:pPr>
              <w:ind w:left="4500"/>
              <w:spacing w:after="0" w:line="196" w:lineRule="exact"/>
              <w:rPr>
                <w:sz w:val="20"/>
                <w:szCs w:val="20"/>
                <w:color w:val="auto"/>
              </w:rPr>
            </w:pPr>
            <w:r>
              <w:rPr>
                <w:rFonts w:ascii="Arial" w:cs="Arial" w:eastAsia="Arial" w:hAnsi="Arial"/>
                <w:sz w:val="18"/>
                <w:szCs w:val="18"/>
                <w:color w:val="auto"/>
                <w:w w:val="92"/>
              </w:rPr>
              <w:t>II-3</w:t>
            </w:r>
          </w:p>
        </w:tc>
      </w:tr>
      <w:tr>
        <w:trPr>
          <w:trHeight w:val="20"/>
        </w:trPr>
        <w:tc>
          <w:tcPr>
            <w:tcW w:w="8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10"/>
          </w:tcPr>
          <w:p>
            <w:pPr>
              <w:ind w:left="30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8. </w:t>
            </w:r>
            <w:hyperlink w:anchor="page5">
              <w:r>
                <w:rPr>
                  <w:rFonts w:ascii="Arial" w:cs="Arial" w:eastAsia="Arial" w:hAnsi="Arial"/>
                  <w:sz w:val="18"/>
                  <w:szCs w:val="18"/>
                  <w:color w:val="0000EE"/>
                </w:rPr>
                <w:t>Exhibits</w:t>
              </w:r>
            </w:hyperlink>
          </w:p>
        </w:tc>
        <w:tc>
          <w:tcPr>
            <w:tcW w:w="1880" w:type="dxa"/>
            <w:vAlign w:val="bottom"/>
          </w:tcPr>
          <w:p>
            <w:pPr>
              <w:spacing w:after="0"/>
              <w:rPr>
                <w:sz w:val="17"/>
                <w:szCs w:val="17"/>
                <w:color w:val="auto"/>
              </w:rPr>
            </w:pPr>
          </w:p>
        </w:tc>
        <w:tc>
          <w:tcPr>
            <w:tcW w:w="4760" w:type="dxa"/>
            <w:vAlign w:val="bottom"/>
          </w:tcPr>
          <w:p>
            <w:pPr>
              <w:ind w:left="4500"/>
              <w:spacing w:after="0" w:line="196" w:lineRule="exact"/>
              <w:rPr>
                <w:sz w:val="20"/>
                <w:szCs w:val="20"/>
                <w:color w:val="auto"/>
              </w:rPr>
            </w:pPr>
            <w:r>
              <w:rPr>
                <w:rFonts w:ascii="Arial" w:cs="Arial" w:eastAsia="Arial" w:hAnsi="Arial"/>
                <w:sz w:val="18"/>
                <w:szCs w:val="18"/>
                <w:color w:val="auto"/>
                <w:w w:val="92"/>
              </w:rPr>
              <w:t>II-3</w:t>
            </w:r>
          </w:p>
        </w:tc>
      </w:tr>
      <w:tr>
        <w:trPr>
          <w:trHeight w:val="20"/>
        </w:trPr>
        <w:tc>
          <w:tcPr>
            <w:tcW w:w="8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10"/>
          </w:tcPr>
          <w:p>
            <w:pPr>
              <w:ind w:left="30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9. </w:t>
            </w:r>
            <w:hyperlink w:anchor="page5">
              <w:r>
                <w:rPr>
                  <w:rFonts w:ascii="Arial" w:cs="Arial" w:eastAsia="Arial" w:hAnsi="Arial"/>
                  <w:sz w:val="18"/>
                  <w:szCs w:val="18"/>
                  <w:color w:val="0000EE"/>
                </w:rPr>
                <w:t>Undertakings</w:t>
              </w:r>
            </w:hyperlink>
          </w:p>
        </w:tc>
        <w:tc>
          <w:tcPr>
            <w:tcW w:w="1880" w:type="dxa"/>
            <w:vAlign w:val="bottom"/>
          </w:tcPr>
          <w:p>
            <w:pPr>
              <w:spacing w:after="0"/>
              <w:rPr>
                <w:sz w:val="17"/>
                <w:szCs w:val="17"/>
                <w:color w:val="auto"/>
              </w:rPr>
            </w:pPr>
          </w:p>
        </w:tc>
        <w:tc>
          <w:tcPr>
            <w:tcW w:w="4760" w:type="dxa"/>
            <w:vAlign w:val="bottom"/>
          </w:tcPr>
          <w:p>
            <w:pPr>
              <w:ind w:left="4500"/>
              <w:spacing w:after="0" w:line="196" w:lineRule="exact"/>
              <w:rPr>
                <w:sz w:val="20"/>
                <w:szCs w:val="20"/>
                <w:color w:val="auto"/>
              </w:rPr>
            </w:pPr>
            <w:r>
              <w:rPr>
                <w:rFonts w:ascii="Arial" w:cs="Arial" w:eastAsia="Arial" w:hAnsi="Arial"/>
                <w:sz w:val="18"/>
                <w:szCs w:val="18"/>
                <w:color w:val="auto"/>
                <w:w w:val="92"/>
              </w:rPr>
              <w:t>II-3</w:t>
            </w:r>
          </w:p>
        </w:tc>
      </w:tr>
      <w:tr>
        <w:trPr>
          <w:trHeight w:val="20"/>
        </w:trPr>
        <w:tc>
          <w:tcPr>
            <w:tcW w:w="8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SIGNATURES</w:t>
              </w:r>
            </w:hyperlink>
          </w:p>
        </w:tc>
        <w:tc>
          <w:tcPr>
            <w:tcW w:w="1880" w:type="dxa"/>
            <w:vAlign w:val="bottom"/>
          </w:tcPr>
          <w:p>
            <w:pPr>
              <w:spacing w:after="0"/>
              <w:rPr>
                <w:sz w:val="17"/>
                <w:szCs w:val="17"/>
                <w:color w:val="auto"/>
              </w:rPr>
            </w:pPr>
          </w:p>
        </w:tc>
        <w:tc>
          <w:tcPr>
            <w:tcW w:w="4760" w:type="dxa"/>
            <w:vAlign w:val="bottom"/>
          </w:tcPr>
          <w:p>
            <w:pPr>
              <w:ind w:left="4500"/>
              <w:spacing w:after="0" w:line="196" w:lineRule="exact"/>
              <w:rPr>
                <w:sz w:val="20"/>
                <w:szCs w:val="20"/>
                <w:color w:val="auto"/>
              </w:rPr>
            </w:pPr>
            <w:r>
              <w:rPr>
                <w:rFonts w:ascii="Arial" w:cs="Arial" w:eastAsia="Arial" w:hAnsi="Arial"/>
                <w:sz w:val="18"/>
                <w:szCs w:val="18"/>
                <w:color w:val="auto"/>
                <w:w w:val="92"/>
              </w:rPr>
              <w:t>II-5</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Opinion/Consent of Counsel</w:t>
            </w:r>
          </w:p>
        </w:tc>
        <w:tc>
          <w:tcPr>
            <w:tcW w:w="2760" w:type="dxa"/>
            <w:vAlign w:val="bottom"/>
            <w:gridSpan w:val="4"/>
          </w:tcPr>
          <w:p>
            <w:pPr>
              <w:spacing w:after="0"/>
              <w:rPr>
                <w:sz w:val="17"/>
                <w:szCs w:val="17"/>
                <w:color w:val="auto"/>
              </w:rPr>
            </w:pPr>
          </w:p>
        </w:tc>
        <w:tc>
          <w:tcPr>
            <w:tcW w:w="188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196"/>
        </w:trPr>
        <w:tc>
          <w:tcPr>
            <w:tcW w:w="4780" w:type="dxa"/>
            <w:vAlign w:val="bottom"/>
            <w:gridSpan w:val="10"/>
          </w:tcPr>
          <w:p>
            <w:pPr>
              <w:spacing w:after="0" w:line="196" w:lineRule="exact"/>
              <w:rPr>
                <w:sz w:val="20"/>
                <w:szCs w:val="20"/>
                <w:color w:val="auto"/>
              </w:rPr>
            </w:pPr>
            <w:r>
              <w:rPr>
                <w:rFonts w:ascii="Arial" w:cs="Arial" w:eastAsia="Arial" w:hAnsi="Arial"/>
                <w:sz w:val="18"/>
                <w:szCs w:val="18"/>
                <w:color w:val="0000EE"/>
              </w:rPr>
              <w:t>Consent of Independent Registered Public Accounting Firm</w:t>
            </w:r>
          </w:p>
        </w:tc>
        <w:tc>
          <w:tcPr>
            <w:tcW w:w="188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REGISTRATION STATEMENT ON FORM S-8</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STATEMENT UNDER GENERAL INSTRUCTION E — REGISTRATION OF ADDITIONAL SECURITIES</w:t>
      </w:r>
    </w:p>
    <w:p>
      <w:pPr>
        <w:spacing w:after="0" w:line="171"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This Registration Statement on Form S-8 (this “Registration Statement”) is being filed for the purpose of registering an additional 1,080,000 shares of Active Power, Inc.’s (the “Registrant”) Common Stock to be issued pursuant to the Registrant’s 2000 Stock Incentive Plan (the “Plan”). The contents of (i) the Registrant’s Form S-8 Registration Statement filed with the Securities and Exchange Commission (the “Commission”) on April 28, 2008 (File No. 333-150481) relating to the Plan, (ii) the Registrant’s Form S-8 Registration Statement filed with the Commission on July 23, 2007 (File No. 333-144782) relating to the Plan,</w:t>
      </w:r>
    </w:p>
    <w:p>
      <w:pPr>
        <w:spacing w:after="0" w:line="3" w:lineRule="exact"/>
        <w:rPr>
          <w:sz w:val="20"/>
          <w:szCs w:val="20"/>
          <w:color w:val="auto"/>
        </w:rPr>
      </w:pPr>
    </w:p>
    <w:p>
      <w:pPr>
        <w:ind w:firstLine="8"/>
        <w:spacing w:after="0" w:line="287"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Form S-8 Registration Statement filed with the Commission on March 29, 2006 (File No. 333-132792) relating to the Plan, (iv) the Registrant’s Form S-8 Registration Statement filed with the Commission on March 25, 2005 (File No. 333-123587) relating to the Plan, (v) the Registrant’s Form S-8 Registration Statement filed with the Commission on April 30, 2004 (File No. 333-115039) relating to the Plan, (vi) the Registrant’s Form S-8 Registration Statement filed with the Commission on April 24, 2003 (File No. 333-104725) relating to the Plan, (vii) the Registrant’s Form S-8 Registration Statement filed with the Commission on February 23, 2001 (File No. 333-56122) relating to the Plan, and (viii) the Registrant’s Form S-8 Registration Statement filed with the Commission on August 8, 2000 (File No. 333-43248) relating to the Plan (collectively, the “Filed Form S-8s”), including periodic filings updating or amending the contents of the Filed Form S-8s, are incorporated by reference into this Registration Statement pursuant to General Instruction E of Form S-8. The reports the Registrant has most recently filed with the Commission are listed below in Part II, Item 3.</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INFORMATION REQUIRED IN REGISTRATION STATEMENT</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into this Registration Statement:</w:t>
      </w:r>
    </w:p>
    <w:p>
      <w:pPr>
        <w:spacing w:after="0" w:line="113" w:lineRule="exact"/>
        <w:rPr>
          <w:sz w:val="20"/>
          <w:szCs w:val="20"/>
          <w:color w:val="auto"/>
        </w:rPr>
      </w:pPr>
    </w:p>
    <w:p>
      <w:pPr>
        <w:ind w:right="140" w:firstLine="464"/>
        <w:spacing w:after="0" w:line="268" w:lineRule="auto"/>
        <w:tabs>
          <w:tab w:leader="none" w:pos="6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2008, filed with the Commission on March 3, 2009 pursuant to Section 13 of the Securities Exchange Act of 1934, as amended (the “Exchange Act”);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 on Form 8-K filed January 30, 2009;</w:t>
      </w:r>
    </w:p>
    <w:p>
      <w:pPr>
        <w:spacing w:after="0" w:line="17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the terms, rights and provisions applicable to the Registrant’s Common Stock are described; and</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December 14, 2001, in which the terms, rights and provisions applicable to the Registrant’s Preferred Share Purchase Rights are described.</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documents subsequently filed by the Registrant pursuant to Section 13(a), 13(c), 14 or 15(d) of the Exchange Act on or after the date of this Registration Statement and prior to the filing of a post-effective amendment, which indicates that all securities offered have been sold or which deregisters all securities then remaining unsold, shall be deemed to be incorporated by reference into this Registration Statement and to be part hereof from the date of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Delaware General Corporation Law (the “DGCL”) provides, in effect, that any person made a party to any action by reason of the fact that he is or was a director, officer, employee or agent of the Registrant may and, in some cases, must be indemnified by the Registrant against, in the case of a non-derivative action, judgments, fines, amounts paid in settlement and reasonable expenses (including attorneys’ fees) incurred by him as a result of such action, and in the case of a derivative action, against expenses (including attorneys’ fees), if in either type of action he acted in good faith and in a manner he reasonably believed to be in or not opposed to the best interests of the Registrant. This indemnification does not apply, in a derivative action, to matters as to which it is adjudged that the director, officer, employee or agent is liable to the Registrant,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no reasonable cause to believe his conduct was unlawful.</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Registrant’s certificate of incorporation provides that no director shall be liable to the Registrant or its stockholders for monetary damages for breach of fiduciary duty as a director to the fullest extent permitted by the DGCL. The Registrant’s bylaws require it to indemnify its directors and executive officers to the fullest extent permitted by Delaware law. The Registrant has entered into indemnification agreements with all of its directors and executive officers and has purchased directors’ and officers’ liability insurance.</w:t>
      </w:r>
    </w:p>
    <w:p>
      <w:pPr>
        <w:spacing w:after="0" w:line="14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Reference is made to the underwriting agreement filed as Exhibit 1.1 to Registrant’s Registration Statement No. 333-36946, pursuant to which the underwriters have agreed to indemnify the Registrant’s officers and directors against certain liabilities under the Securities Act.</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on the accompanying Index to Exhibits are filed as part of, or incorporated by reference into, this Registration Statement.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ind w:right="20" w:firstLine="1492"/>
        <w:spacing w:after="0" w:line="291" w:lineRule="auto"/>
        <w:tabs>
          <w:tab w:leader="none" w:pos="1742"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260" w:firstLine="1492"/>
        <w:spacing w:after="0" w:line="268" w:lineRule="auto"/>
        <w:tabs>
          <w:tab w:leader="none" w:pos="1791"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32"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921"/>
        <w:spacing w:after="0" w:line="259" w:lineRule="auto"/>
        <w:tabs>
          <w:tab w:leader="none" w:pos="1162"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right="760" w:firstLine="921"/>
        <w:spacing w:after="0" w:line="268" w:lineRule="auto"/>
        <w:tabs>
          <w:tab w:leader="none" w:pos="116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12" w:lineRule="exact"/>
        <w:rPr>
          <w:rFonts w:ascii="Arial" w:cs="Arial" w:eastAsia="Arial" w:hAnsi="Arial"/>
          <w:sz w:val="16"/>
          <w:szCs w:val="16"/>
          <w:color w:val="auto"/>
        </w:rPr>
      </w:pPr>
    </w:p>
    <w:p>
      <w:pPr>
        <w:ind w:firstLine="464"/>
        <w:spacing w:after="0" w:line="290"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Active Power, Inc., certifies that it has reasonable grounds to believe that it meets all of the requirements for filing on Form S-8 and has duly caused this Registration Statement to be signed on its behalf by the undersigned, thereunto duly authorized, in the City of Austin, State of Texas, on March 3,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w:t>
      </w:r>
      <w:r>
        <w:rPr>
          <w:rFonts w:ascii="Arial" w:cs="Arial" w:eastAsia="Arial" w:hAnsi="Arial"/>
          <w:sz w:val="14"/>
          <w:szCs w:val="14"/>
          <w:color w:val="auto"/>
        </w:rPr>
        <w:t>AMES</w:t>
      </w:r>
      <w:r>
        <w:rPr>
          <w:rFonts w:ascii="Arial" w:cs="Arial" w:eastAsia="Arial" w:hAnsi="Arial"/>
          <w:sz w:val="18"/>
          <w:szCs w:val="18"/>
          <w:color w:val="auto"/>
        </w:rPr>
        <w:t xml:space="preserve"> A. C</w:t>
      </w:r>
      <w:r>
        <w:rPr>
          <w:rFonts w:ascii="Arial" w:cs="Arial" w:eastAsia="Arial" w:hAnsi="Arial"/>
          <w:sz w:val="14"/>
          <w:szCs w:val="14"/>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Clishem and John Penver, and each of them, his attorneys-in-fact, each with the power of substitution, for him and in his name, place and stead, in any and all capacities, to sign any and all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such attorneys-in-fact and agents or any of them, or his or their substitute or substitutes, may lawfully do or cause to be done by virtue hereof.</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w:t>
            </w:r>
            <w:r>
              <w:rPr>
                <w:rFonts w:ascii="Arial" w:cs="Arial" w:eastAsia="Arial" w:hAnsi="Arial"/>
                <w:sz w:val="14"/>
                <w:szCs w:val="14"/>
                <w:color w:val="auto"/>
                <w:w w:val="97"/>
              </w:rPr>
              <w:t>AMES</w:t>
            </w:r>
            <w:r>
              <w:rPr>
                <w:rFonts w:ascii="Arial" w:cs="Arial" w:eastAsia="Arial" w:hAnsi="Arial"/>
                <w:sz w:val="18"/>
                <w:szCs w:val="18"/>
                <w:color w:val="auto"/>
                <w:w w:val="97"/>
              </w:rPr>
              <w:t xml:space="preserve"> A. C</w:t>
            </w:r>
            <w:r>
              <w:rPr>
                <w:rFonts w:ascii="Arial" w:cs="Arial" w:eastAsia="Arial" w:hAnsi="Arial"/>
                <w:sz w:val="14"/>
                <w:szCs w:val="14"/>
                <w:color w:val="auto"/>
                <w:w w:val="97"/>
              </w:rPr>
              <w:t>LISHEM</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Chief Executive Officer, President and Director (Principal Executive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3, 2009</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James A. Clishem</w:t>
            </w:r>
          </w:p>
        </w:tc>
        <w:tc>
          <w:tcPr>
            <w:tcW w:w="220" w:type="dxa"/>
            <w:vAlign w:val="bottom"/>
          </w:tcPr>
          <w:p>
            <w:pPr>
              <w:spacing w:after="0"/>
              <w:rPr>
                <w:sz w:val="19"/>
                <w:szCs w:val="19"/>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w:t>
            </w:r>
            <w:r>
              <w:rPr>
                <w:rFonts w:ascii="Arial" w:cs="Arial" w:eastAsia="Arial" w:hAnsi="Arial"/>
                <w:sz w:val="14"/>
                <w:szCs w:val="14"/>
                <w:color w:val="auto"/>
                <w:w w:val="95"/>
              </w:rPr>
              <w:t>OHN</w:t>
            </w:r>
            <w:r>
              <w:rPr>
                <w:rFonts w:ascii="Arial" w:cs="Arial" w:eastAsia="Arial" w:hAnsi="Arial"/>
                <w:sz w:val="18"/>
                <w:szCs w:val="18"/>
                <w:color w:val="auto"/>
                <w:w w:val="95"/>
              </w:rPr>
              <w:t xml:space="preserve"> K. P</w:t>
            </w:r>
            <w:r>
              <w:rPr>
                <w:rFonts w:ascii="Arial" w:cs="Arial" w:eastAsia="Arial" w:hAnsi="Arial"/>
                <w:sz w:val="14"/>
                <w:szCs w:val="14"/>
                <w:color w:val="auto"/>
                <w:w w:val="95"/>
              </w:rPr>
              <w:t>ENVER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4"/>
              </w:rPr>
              <w:t>Chief Financial Officer (Principal Financial and Accounting Officer)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3, 2009</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John K. Penver</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3, 2009</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3"/>
              </w:rPr>
              <w:t>Ake Almgren</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w:t>
            </w:r>
            <w:r>
              <w:rPr>
                <w:rFonts w:ascii="Arial" w:cs="Arial" w:eastAsia="Arial" w:hAnsi="Arial"/>
                <w:sz w:val="14"/>
                <w:szCs w:val="14"/>
                <w:color w:val="auto"/>
                <w:w w:val="98"/>
              </w:rPr>
              <w:t>ICHARD</w:t>
            </w:r>
            <w:r>
              <w:rPr>
                <w:rFonts w:ascii="Arial" w:cs="Arial" w:eastAsia="Arial" w:hAnsi="Arial"/>
                <w:sz w:val="18"/>
                <w:szCs w:val="18"/>
                <w:color w:val="auto"/>
                <w:w w:val="98"/>
              </w:rPr>
              <w:t xml:space="preserve"> E. A</w:t>
            </w:r>
            <w:r>
              <w:rPr>
                <w:rFonts w:ascii="Arial" w:cs="Arial" w:eastAsia="Arial" w:hAnsi="Arial"/>
                <w:sz w:val="14"/>
                <w:szCs w:val="14"/>
                <w:color w:val="auto"/>
                <w:w w:val="98"/>
              </w:rPr>
              <w:t>NDERSON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3, 2009</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89"/>
              </w:rPr>
              <w:t>Richard E. Anderson</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w:t>
            </w:r>
            <w:r>
              <w:rPr>
                <w:rFonts w:ascii="Arial" w:cs="Arial" w:eastAsia="Arial" w:hAnsi="Arial"/>
                <w:sz w:val="14"/>
                <w:szCs w:val="14"/>
                <w:color w:val="auto"/>
                <w:w w:val="95"/>
              </w:rPr>
              <w:t>ODNEY</w:t>
            </w:r>
            <w:r>
              <w:rPr>
                <w:rFonts w:ascii="Arial" w:cs="Arial" w:eastAsia="Arial" w:hAnsi="Arial"/>
                <w:sz w:val="18"/>
                <w:szCs w:val="18"/>
                <w:color w:val="auto"/>
                <w:w w:val="95"/>
              </w:rPr>
              <w:t xml:space="preserve"> S. B</w:t>
            </w:r>
            <w:r>
              <w:rPr>
                <w:rFonts w:ascii="Arial" w:cs="Arial" w:eastAsia="Arial" w:hAnsi="Arial"/>
                <w:sz w:val="14"/>
                <w:szCs w:val="14"/>
                <w:color w:val="auto"/>
                <w:w w:val="95"/>
              </w:rPr>
              <w:t>OND</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3, 2009</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88"/>
              </w:rPr>
              <w:t>Rodney S. Bond</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w:t>
            </w:r>
            <w:r>
              <w:rPr>
                <w:rFonts w:ascii="Arial" w:cs="Arial" w:eastAsia="Arial" w:hAnsi="Arial"/>
                <w:sz w:val="14"/>
                <w:szCs w:val="14"/>
                <w:color w:val="auto"/>
                <w:w w:val="98"/>
              </w:rPr>
              <w:t>AN</w:t>
            </w:r>
            <w:r>
              <w:rPr>
                <w:rFonts w:ascii="Arial" w:cs="Arial" w:eastAsia="Arial" w:hAnsi="Arial"/>
                <w:sz w:val="18"/>
                <w:szCs w:val="18"/>
                <w:color w:val="auto"/>
                <w:w w:val="98"/>
              </w:rPr>
              <w:t xml:space="preserve"> H. L</w:t>
            </w:r>
            <w:r>
              <w:rPr>
                <w:rFonts w:ascii="Arial" w:cs="Arial" w:eastAsia="Arial" w:hAnsi="Arial"/>
                <w:sz w:val="14"/>
                <w:szCs w:val="14"/>
                <w:color w:val="auto"/>
                <w:w w:val="98"/>
              </w:rPr>
              <w:t>INDELOW</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3, 2009</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0"/>
              </w:rPr>
              <w:t>Jan H. Lindelow</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w:t>
            </w:r>
            <w:r>
              <w:rPr>
                <w:rFonts w:ascii="Arial" w:cs="Arial" w:eastAsia="Arial" w:hAnsi="Arial"/>
                <w:sz w:val="14"/>
                <w:szCs w:val="14"/>
                <w:color w:val="auto"/>
                <w:w w:val="97"/>
              </w:rPr>
              <w:t>ENJAMIN</w:t>
            </w:r>
            <w:r>
              <w:rPr>
                <w:rFonts w:ascii="Arial" w:cs="Arial" w:eastAsia="Arial" w:hAnsi="Arial"/>
                <w:sz w:val="18"/>
                <w:szCs w:val="18"/>
                <w:color w:val="auto"/>
                <w:w w:val="97"/>
              </w:rPr>
              <w:t xml:space="preserve"> L. S</w:t>
            </w:r>
            <w:r>
              <w:rPr>
                <w:rFonts w:ascii="Arial" w:cs="Arial" w:eastAsia="Arial" w:hAnsi="Arial"/>
                <w:sz w:val="14"/>
                <w:szCs w:val="14"/>
                <w:color w:val="auto"/>
                <w:w w:val="97"/>
              </w:rPr>
              <w:t>COTT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3, 2009</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90"/>
              </w:rPr>
              <w:t>Benjamin L. Scott</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w:t>
            </w:r>
            <w:r>
              <w:rPr>
                <w:rFonts w:ascii="Arial" w:cs="Arial" w:eastAsia="Arial" w:hAnsi="Arial"/>
                <w:sz w:val="14"/>
                <w:szCs w:val="14"/>
                <w:color w:val="auto"/>
                <w:w w:val="98"/>
              </w:rPr>
              <w:t>AMES</w:t>
            </w:r>
            <w:r>
              <w:rPr>
                <w:rFonts w:ascii="Arial" w:cs="Arial" w:eastAsia="Arial" w:hAnsi="Arial"/>
                <w:sz w:val="18"/>
                <w:szCs w:val="18"/>
                <w:color w:val="auto"/>
                <w:w w:val="98"/>
              </w:rPr>
              <w:t xml:space="preserve"> E. </w:t>
            </w:r>
            <w:r>
              <w:rPr>
                <w:rFonts w:ascii="Arial" w:cs="Arial" w:eastAsia="Arial" w:hAnsi="Arial"/>
                <w:sz w:val="14"/>
                <w:szCs w:val="14"/>
                <w:color w:val="auto"/>
                <w:w w:val="98"/>
              </w:rPr>
              <w:t>DE</w:t>
            </w:r>
            <w:r>
              <w:rPr>
                <w:rFonts w:ascii="Arial" w:cs="Arial" w:eastAsia="Arial" w:hAnsi="Arial"/>
                <w:sz w:val="18"/>
                <w:szCs w:val="18"/>
                <w:color w:val="auto"/>
                <w:w w:val="98"/>
              </w:rPr>
              <w:t>V</w:t>
            </w:r>
            <w:r>
              <w:rPr>
                <w:rFonts w:ascii="Arial" w:cs="Arial" w:eastAsia="Arial" w:hAnsi="Arial"/>
                <w:sz w:val="14"/>
                <w:szCs w:val="14"/>
                <w:color w:val="auto"/>
                <w:w w:val="98"/>
              </w:rPr>
              <w:t>ENNY</w:t>
            </w:r>
            <w:r>
              <w:rPr>
                <w:rFonts w:ascii="Arial" w:cs="Arial" w:eastAsia="Arial" w:hAnsi="Arial"/>
                <w:sz w:val="18"/>
                <w:szCs w:val="18"/>
                <w:color w:val="auto"/>
                <w:w w:val="98"/>
              </w:rPr>
              <w:t xml:space="preserve"> III</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March 3, 2009</w:t>
            </w:r>
          </w:p>
        </w:tc>
      </w:tr>
      <w:tr>
        <w:trPr>
          <w:trHeight w:val="222"/>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James E. deVenny III</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65"/>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120"/>
              <w:spacing w:after="0"/>
              <w:rPr>
                <w:sz w:val="20"/>
                <w:szCs w:val="20"/>
                <w:color w:val="auto"/>
              </w:rPr>
            </w:pPr>
            <w:r>
              <w:rPr>
                <w:rFonts w:ascii="Arial" w:cs="Arial" w:eastAsia="Arial" w:hAnsi="Arial"/>
                <w:sz w:val="18"/>
                <w:szCs w:val="18"/>
                <w:color w:val="auto"/>
              </w:rPr>
              <w:t>II-6</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jc w:val="center"/>
              <w:ind w:right="1033"/>
              <w:spacing w:after="0"/>
              <w:rPr>
                <w:sz w:val="20"/>
                <w:szCs w:val="20"/>
                <w:color w:val="auto"/>
              </w:rPr>
            </w:pPr>
            <w:r>
              <w:rPr>
                <w:rFonts w:ascii="Arial" w:cs="Arial" w:eastAsia="Arial" w:hAnsi="Arial"/>
                <w:sz w:val="18"/>
                <w:szCs w:val="18"/>
                <w:color w:val="auto"/>
                <w:w w:val="94"/>
              </w:rPr>
              <w:t>ACTIVE POWER, INC.</w:t>
            </w:r>
          </w:p>
        </w:tc>
      </w:tr>
      <w:tr>
        <w:trPr>
          <w:trHeight w:val="37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tcPr>
          <w:p>
            <w:pPr>
              <w:jc w:val="center"/>
              <w:ind w:right="1013"/>
              <w:spacing w:after="0"/>
              <w:rPr>
                <w:sz w:val="20"/>
                <w:szCs w:val="20"/>
                <w:color w:val="auto"/>
              </w:rPr>
            </w:pPr>
            <w:r>
              <w:rPr>
                <w:rFonts w:ascii="Arial" w:cs="Arial" w:eastAsia="Arial" w:hAnsi="Arial"/>
                <w:sz w:val="18"/>
                <w:szCs w:val="18"/>
                <w:color w:val="auto"/>
                <w:w w:val="92"/>
              </w:rPr>
              <w:t>REGISTRATION STATEMENT ON FORM S-8</w:t>
            </w:r>
          </w:p>
        </w:tc>
      </w:tr>
      <w:tr>
        <w:trPr>
          <w:trHeight w:val="37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tcPr>
          <w:p>
            <w:pPr>
              <w:jc w:val="center"/>
              <w:ind w:right="1033"/>
              <w:spacing w:after="0"/>
              <w:rPr>
                <w:sz w:val="20"/>
                <w:szCs w:val="20"/>
                <w:color w:val="auto"/>
              </w:rPr>
            </w:pPr>
            <w:r>
              <w:rPr>
                <w:rFonts w:ascii="Arial" w:cs="Arial" w:eastAsia="Arial" w:hAnsi="Arial"/>
                <w:sz w:val="18"/>
                <w:szCs w:val="18"/>
                <w:color w:val="auto"/>
                <w:w w:val="96"/>
              </w:rPr>
              <w:t>INDEX TO EXHIBITS</w:t>
            </w:r>
          </w:p>
        </w:tc>
      </w:tr>
      <w:tr>
        <w:trPr>
          <w:trHeight w:val="367"/>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right"/>
              <w:ind w:right="312"/>
              <w:spacing w:after="0" w:line="201" w:lineRule="exact"/>
              <w:rPr>
                <w:sz w:val="20"/>
                <w:szCs w:val="20"/>
                <w:color w:val="auto"/>
              </w:rPr>
            </w:pPr>
            <w:r>
              <w:rPr>
                <w:rFonts w:ascii="Arial" w:cs="Arial" w:eastAsia="Arial" w:hAnsi="Arial"/>
                <w:sz w:val="18"/>
                <w:szCs w:val="18"/>
                <w:color w:val="auto"/>
              </w:rPr>
              <w:t>4.1</w:t>
            </w:r>
          </w:p>
        </w:tc>
        <w:tc>
          <w:tcPr>
            <w:tcW w:w="400" w:type="dxa"/>
            <w:vAlign w:val="bottom"/>
          </w:tcPr>
          <w:p>
            <w:pPr>
              <w:spacing w:after="0"/>
              <w:rPr>
                <w:sz w:val="17"/>
                <w:szCs w:val="17"/>
                <w:color w:val="auto"/>
              </w:rPr>
            </w:pPr>
          </w:p>
        </w:tc>
        <w:tc>
          <w:tcPr>
            <w:tcW w:w="10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Amended and Restated Certificate of Incorporation (filed as Exhibit 3.1 to Active Power’s IPO Registration Statement on Form S-1, as amended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(SEC File No. 333-36946) (the “IPO Registration Statement”)).</w:t>
            </w:r>
          </w:p>
        </w:tc>
      </w:tr>
      <w:tr>
        <w:trPr>
          <w:trHeight w:val="324"/>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6"/>
              </w:rPr>
              <w:t>Second Amended and Restated Bylaws (filed as Exhibit 3.2 to Active Power’s Current Report on Form 8-K filed on February 2, 2007).</w:t>
            </w:r>
          </w:p>
        </w:tc>
      </w:tr>
      <w:tr>
        <w:trPr>
          <w:trHeight w:val="324"/>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1"/>
              </w:rPr>
              <w:t>Rights Agreement, dated as of December 13, 2001, between Active Power and EquiServe Trust N.A., which includes the form of Certificate of</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1"/>
              </w:rPr>
              <w:t>Designation for the Series A Junior Participating Preferred Stock as Exhibit A, the form of Rights Certificate as Exhibit B and the Summary of</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Rights to Purchase Series A Preferred Stock as Exhibit C (filed as Exhibit 4.1 to Active Power’s Current Report on Form 8-K filed on December</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rPr>
              <w:t>14, 2001).</w:t>
            </w:r>
          </w:p>
        </w:tc>
      </w:tr>
      <w:tr>
        <w:trPr>
          <w:trHeight w:val="324"/>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Opinion of counsel as to legality of securities being registered.</w:t>
            </w:r>
          </w:p>
        </w:tc>
      </w:tr>
      <w:tr>
        <w:trPr>
          <w:trHeight w:val="324"/>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23.1</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23.3</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Consent of counsel (contained in Exhibit 5.1).</w:t>
            </w:r>
          </w:p>
        </w:tc>
      </w:tr>
      <w:tr>
        <w:trPr>
          <w:trHeight w:val="324"/>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24.1</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Power of Attorney (see page II-6).</w:t>
            </w: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tcPr>
          <w:p>
            <w:pPr>
              <w:jc w:val="center"/>
              <w:ind w:right="1033"/>
              <w:spacing w:after="0"/>
              <w:rPr>
                <w:sz w:val="20"/>
                <w:szCs w:val="20"/>
                <w:color w:val="auto"/>
              </w:rPr>
            </w:pPr>
            <w:r>
              <w:rPr>
                <w:rFonts w:ascii="Arial" w:cs="Arial" w:eastAsia="Arial" w:hAnsi="Arial"/>
                <w:sz w:val="18"/>
                <w:szCs w:val="18"/>
                <w:color w:val="auto"/>
                <w:w w:val="99"/>
              </w:rPr>
              <w:t>II-7</w:t>
            </w:r>
          </w:p>
        </w:tc>
      </w:tr>
    </w:tbl>
    <w:p>
      <w:pPr>
        <w:sectPr>
          <w:pgSz w:w="11900" w:h="16838" w:orient="portrait"/>
          <w:cols w:equalWidth="0" w:num="1">
            <w:col w:w="11420"/>
          </w:cols>
          <w:pgMar w:left="240" w:top="459"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9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on Form S-8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examined the registration statement on Form S-8 to be filed by you with the Securities and Exchange Commission on or about March 3, 2009 (the “Registration Statement”) in connection with the registration under the Securities Act of 1933, as amended, of 1,080,000 shares of your Common Stock (the “Shares”) reserved for issuance under the 2000 Stock Incentive Plan (the “Plan”). As your legal counsel, we have examined the proceedings taken and proposed to be taken in connection with the issuance, sale and payment of consideration for the Shares to be issued under the Plan.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our opinion that, when issued and sold in compliance with the applicable prospectus delivery requirements and in the manner referred to in the Plan and pursuant to the agreements that accompany the Plan, and upon completion of the actions being taken or proposed to be taken to permit such transactions to be carried out in accordance with the securities laws of the various states where required, the Shares, when issued and sold in the manner described under the Plan and the agreements that accompany the Plan, will be legally and validly issued, fully paid and non-assessable.</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any Prospectus constituting a part thereof, and any amendments thereto.</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S-8 Nos. 333-43248, 333-56122, 333-104725, 333-115039, 333-123587, 333-132792, 333-150481, and 333-144782) pertaining to the 2000 Stock Incentive Plan and 2000 Employee Stock Purchase Plan of Active Power, Inc. of our reports dated February 27, 2009, with respect to the consolidated financial statements of Active Power, Inc., included in its Annual Report (Form 10-K) for the year ended December 31, 2008, and the effectiveness of internal control over financial reporting of Active Power, Inc.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Roman"/>
      <w:start w:val="3"/>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2019-12-10T15:24:37Z</dcterms:created>
  <dcterms:modified xsi:type="dcterms:W3CDTF">2019-12-10T15:24:37Z</dcterms:modified>
</cp:coreProperties>
</file>