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February 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 and Financial Condition.</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On February 1, 2008, Active Power, Inc. issued a press release reporting its preliminary results of operations for its fiscal year and quarter ended December 31, 2007. A copy of the press release is furnished herewith as Exhibit 99.1.</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furnished in this Current Report, including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February 1, 2008.</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February 1, 2008</w:t>
      </w:r>
      <w:r>
        <w:rPr>
          <w:sz w:val="20"/>
          <w:szCs w:val="20"/>
          <w:color w:val="auto"/>
        </w:rPr>
        <w:tab/>
      </w:r>
      <w:r>
        <w:rPr>
          <w:rFonts w:ascii="Arial" w:cs="Arial" w:eastAsia="Arial" w:hAnsi="Arial"/>
          <w:sz w:val="16"/>
          <w:szCs w:val="16"/>
          <w:color w:val="auto"/>
        </w:rPr>
        <w:t>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of Active Power, Inc. dated February 1, 2008.</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440815"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81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Fourth Quarter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Fiscal Year 2007 Results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Record revenues; lowers cash burn and operating losses</w:t>
      </w:r>
    </w:p>
    <w:p>
      <w:pPr>
        <w:spacing w:after="0" w:line="165"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b w:val="1"/>
          <w:bCs w:val="1"/>
          <w:color w:val="auto"/>
        </w:rPr>
        <w:t xml:space="preserve">AUSTIN, Texas (Feb. 1, 2008) </w:t>
      </w:r>
      <w:r>
        <w:rPr>
          <w:rFonts w:ascii="Arial" w:cs="Arial" w:eastAsia="Arial" w:hAnsi="Arial"/>
          <w:sz w:val="16"/>
          <w:szCs w:val="16"/>
          <w:color w:val="auto"/>
        </w:rPr>
        <w:t>– Active Power, Inc. (NASDAQ: ACPW) today announced results for its fourth quarter and year ended Dec. 31, 2007.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for fourth quarter of fiscal 2007 was a record $10.2 million, a 24 percent increase from the same period last year and an increase of 24 percent from the previous quarter. For the year ended Dec. 31, 2007, revenue was a record $33.6 million, a 34 percent increase over the $25 million recorded in 2006. The quarterly change in cash and investments was a record low of $300 thousand that included $600 thousand in payments for the company’s stock option review expenses. Cash and investments on Dec. 31, 2007, were $22.5 million.</w:t>
      </w:r>
    </w:p>
    <w:p>
      <w:pPr>
        <w:spacing w:after="0" w:line="11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Net loss for the quarter was $5.9 million, or 10 cents per share, including $2.1 million or 4 cents per share for an inventory and asset impairment charge related to the CoolAir product family. This compares to a net loss of $3.8 million, or 8 cents per share for the same period last year and a net loss of $3.5 million, or 6 cents per share in the previous quarter. The prior year results included a $1.8 million litigation settlement Active Power received.</w:t>
      </w:r>
    </w:p>
    <w:p>
      <w:pPr>
        <w:spacing w:after="0" w:line="10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For the year, Active Power reported a net loss of $20.5 million or 38 cents per share, compared to a net loss of $21.1 million or 43 cents per share recorded in 2006. The 2007 results also included $2.9 million or 5 cents per share for costs associated with the company’s stock option investigation and the inventory and asset impairment charge of $2.1 million. Excluding these items, Active Power’s higher revenue, improved margins and lower operating expenses resulted in a comparable $6.6 million (29 percent) reduction in operating losses in 2007 compared to 2006.</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quarter and prior to recording an inventory and asset impairment charge, Active Power reported a gross profit margin of 19 percent compared to 1 percent in the same period last year and 19 percent in the previous quarter. For the year, prior to these charges, Active Power reported a gross margin of 16 percent, compared to 3 percent in 2006. The continued improvement in gross profit margins is attributable to higher selling prices, an increase in direct sales transactions and a 80 percent increase in service revenues.</w:t>
      </w:r>
    </w:p>
    <w:p>
      <w:pPr>
        <w:spacing w:after="0" w:line="143"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“Our focus on service and solution selling and dedicated efforts at broadening the company’s sales channels and geographic markets are paying dividends, resulting in record revenues and improving financial results,” said Jim Clishem, president and CEO of Active Power. “This quarter continued to show improvements in revenues and cash</w:t>
      </w:r>
    </w:p>
    <w:p>
      <w:pPr>
        <w:sectPr>
          <w:pgSz w:w="11900" w:h="16838" w:orient="portrait"/>
          <w:cols w:equalWidth="0" w:num="1">
            <w:col w:w="11420"/>
          </w:cols>
          <w:pgMar w:left="240" w:top="125" w:right="23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burn which moves Active Power closer to its near-term goal of reaching operating profitability. Active Power’s substantial year-over-year revenue gains continue to edify market acceptance of our critical backup power solutions.”</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change in cash and investments for the quarter of $300 thousand compares to a change of $2.8 million in the previous quarter and $6.3 million in third quarter of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96" w:lineRule="exact"/>
        <w:rPr>
          <w:sz w:val="20"/>
          <w:szCs w:val="20"/>
          <w:color w:val="auto"/>
        </w:rPr>
      </w:pPr>
    </w:p>
    <w:p>
      <w:pPr>
        <w:ind w:left="900" w:right="14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Direct sales accounted for 60 percent of total fourth quarter sales, while indirect channels contributed 40 percent. For the year, direct sales were 68 percent of total sales, an increase from 58 percent recorded in 2006. Direct sales increased by 56 percent from 2006.</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EMEA sales revenue for 2007 increased by 66 percent compared to the prior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8 megawatt sale through OEM partner Caterpillar for U.S. data center operator.</w:t>
      </w:r>
    </w:p>
    <w:p>
      <w:pPr>
        <w:spacing w:after="0" w:line="90" w:lineRule="exact"/>
        <w:rPr>
          <w:rFonts w:ascii="Arial" w:cs="Arial" w:eastAsia="Arial" w:hAnsi="Arial"/>
          <w:sz w:val="18"/>
          <w:szCs w:val="18"/>
          <w:color w:val="auto"/>
        </w:rPr>
      </w:pPr>
    </w:p>
    <w:p>
      <w:pPr>
        <w:ind w:left="900" w:right="220" w:hanging="325"/>
        <w:spacing w:after="0" w:line="317"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Service revenues for 2007 were 80 percent higher compared to 2006 levels, reflecting benefits of establishing a direct sales model and selling full solutions. Higher direct sales afford Active Power the ability to provide pre- and post-sales support to end users while building brand equity.</w:t>
      </w:r>
    </w:p>
    <w:p>
      <w:pPr>
        <w:spacing w:after="0" w:line="27"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Awarded IET (Institution of Engineering and Technology) 2007 Product Design of the Year Award for CleanSource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UPS.</w:t>
      </w:r>
    </w:p>
    <w:p>
      <w:pPr>
        <w:spacing w:after="0" w:line="44"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equipment to nine foreign countries in fourth quarter, which represented 50 percent of revenue.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Active Power expects first quarter 2008 revenue to seasonally decline and be between $8.0 and $10 million and first quarter earnings per share to be a loss of approximately 5 to 7 cents. The company expects cash and investments usage in first quarter to be between $2 and $3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Active Power will host a conference call today, Friday, Feb. 1, 2008, at 11:00 a.m. (ET), to further review fourth quarter and fiscal 2007 results. Interested parties can listen via Web cast at http://www.videonewswire.com/event.asp?id=45274. A replay of the Web cast will be available until Feb. 15, 2008. Investors may also access the live broadcast and replay via Active Power’s Web site at www.activepower.com.</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Active Power</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 power and backup cooling. With expert power system engineers and worldwide services and support, Active Power ensures organizations have the power to perform. For more information, please visit www.activepower.com.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is a trademark of Active Power, Inc. All other trademarks are the properties of their respective companies.</w:t>
      </w:r>
    </w:p>
    <w:p>
      <w:pPr>
        <w:sectPr>
          <w:pgSz w:w="11900" w:h="16838" w:orient="portrait"/>
          <w:cols w:equalWidth="0" w:num="1">
            <w:col w:w="11380"/>
          </w:cols>
          <w:pgMar w:left="240" w:top="274" w:right="27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p>
      <w:pPr>
        <w:sectPr>
          <w:pgSz w:w="11900" w:h="16838" w:orient="portrait"/>
          <w:cols w:equalWidth="0" w:num="2">
            <w:col w:w="5340" w:space="720"/>
            <w:col w:w="5320"/>
          </w:cols>
          <w:pgMar w:left="240" w:top="274" w:right="2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58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8,832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28,835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7"/>
              </w:rPr>
              <w:t>10,212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33,601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80" w:type="dxa"/>
            <w:vAlign w:val="bottom"/>
          </w:tcPr>
          <w:p>
            <w:pPr>
              <w:spacing w:after="0"/>
              <w:rPr>
                <w:sz w:val="24"/>
                <w:szCs w:val="24"/>
                <w:color w:val="auto"/>
              </w:rPr>
            </w:pPr>
          </w:p>
        </w:tc>
        <w:tc>
          <w:tcPr>
            <w:tcW w:w="880" w:type="dxa"/>
            <w:vAlign w:val="bottom"/>
            <w:gridSpan w:val="2"/>
          </w:tcPr>
          <w:p>
            <w:pPr>
              <w:jc w:val="right"/>
              <w:ind w:right="312"/>
              <w:spacing w:after="0"/>
              <w:rPr>
                <w:sz w:val="20"/>
                <w:szCs w:val="20"/>
                <w:color w:val="auto"/>
              </w:rPr>
            </w:pPr>
            <w:r>
              <w:rPr>
                <w:rFonts w:ascii="Arial" w:cs="Arial" w:eastAsia="Arial" w:hAnsi="Arial"/>
                <w:sz w:val="18"/>
                <w:szCs w:val="18"/>
                <w:color w:val="auto"/>
              </w:rPr>
              <w:t>9,348</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7,643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26,402</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21,939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80" w:type="dxa"/>
            <w:vAlign w:val="bottom"/>
          </w:tcPr>
          <w:p>
            <w:pPr>
              <w:spacing w:after="0"/>
              <w:rPr>
                <w:sz w:val="19"/>
                <w:szCs w:val="19"/>
                <w:color w:val="auto"/>
              </w:rPr>
            </w:pPr>
          </w:p>
        </w:tc>
        <w:tc>
          <w:tcPr>
            <w:tcW w:w="880" w:type="dxa"/>
            <w:vAlign w:val="bottom"/>
            <w:gridSpan w:val="2"/>
          </w:tcPr>
          <w:p>
            <w:pPr>
              <w:jc w:val="right"/>
              <w:ind w:right="312"/>
              <w:spacing w:after="0"/>
              <w:rPr>
                <w:sz w:val="20"/>
                <w:szCs w:val="20"/>
                <w:color w:val="auto"/>
              </w:rPr>
            </w:pPr>
            <w:r>
              <w:rPr>
                <w:rFonts w:ascii="Arial" w:cs="Arial" w:eastAsia="Arial" w:hAnsi="Arial"/>
                <w:sz w:val="18"/>
                <w:szCs w:val="18"/>
                <w:color w:val="auto"/>
                <w:w w:val="87"/>
              </w:rPr>
              <w:t>10,455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30,375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3,226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5"/>
              </w:rPr>
              <w:t>1, 428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80" w:type="dxa"/>
            <w:vAlign w:val="bottom"/>
          </w:tcPr>
          <w:p>
            <w:pPr>
              <w:spacing w:after="0"/>
              <w:rPr>
                <w:sz w:val="18"/>
                <w:szCs w:val="18"/>
                <w:color w:val="auto"/>
              </w:rPr>
            </w:pPr>
          </w:p>
        </w:tc>
        <w:tc>
          <w:tcPr>
            <w:tcW w:w="880" w:type="dxa"/>
            <w:vAlign w:val="bottom"/>
            <w:gridSpan w:val="2"/>
          </w:tcPr>
          <w:p>
            <w:pPr>
              <w:jc w:val="right"/>
              <w:ind w:right="312"/>
              <w:spacing w:after="0"/>
              <w:rPr>
                <w:sz w:val="20"/>
                <w:szCs w:val="20"/>
                <w:color w:val="auto"/>
              </w:rPr>
            </w:pPr>
            <w:r>
              <w:rPr>
                <w:rFonts w:ascii="Arial" w:cs="Arial" w:eastAsia="Arial" w:hAnsi="Arial"/>
                <w:sz w:val="18"/>
                <w:szCs w:val="18"/>
                <w:color w:val="auto"/>
              </w:rPr>
              <w:t>3,070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10,970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Litigation settlement expense (recovery)</w:t>
            </w:r>
          </w:p>
        </w:tc>
        <w:tc>
          <w:tcPr>
            <w:tcW w:w="80" w:type="dxa"/>
            <w:vAlign w:val="bottom"/>
          </w:tcPr>
          <w:p>
            <w:pPr>
              <w:spacing w:after="0"/>
              <w:rPr>
                <w:sz w:val="24"/>
                <w:szCs w:val="24"/>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(1,781)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24,579</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9"/>
                <w:szCs w:val="19"/>
                <w:color w:val="auto"/>
              </w:rPr>
            </w:pPr>
          </w:p>
        </w:tc>
        <w:tc>
          <w:tcPr>
            <w:tcW w:w="880" w:type="dxa"/>
            <w:vAlign w:val="bottom"/>
            <w:gridSpan w:val="2"/>
          </w:tcPr>
          <w:p>
            <w:pPr>
              <w:jc w:val="right"/>
              <w:ind w:right="252"/>
              <w:spacing w:after="0"/>
              <w:rPr>
                <w:sz w:val="20"/>
                <w:szCs w:val="20"/>
                <w:color w:val="auto"/>
              </w:rPr>
            </w:pPr>
            <w:r>
              <w:rPr>
                <w:rFonts w:ascii="Arial" w:cs="Arial" w:eastAsia="Arial" w:hAnsi="Arial"/>
                <w:sz w:val="18"/>
                <w:szCs w:val="18"/>
                <w:color w:val="auto"/>
                <w:w w:val="94"/>
              </w:rPr>
              <w:t>(6,149)</w:t>
            </w: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(4,090)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(21,353)</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(22,859)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4"/>
              </w:rPr>
              <w:t>(5,910)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(3,840)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(20,492)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(21,149)</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&amp;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52"/>
              <w:spacing w:after="0"/>
              <w:rPr>
                <w:sz w:val="20"/>
                <w:szCs w:val="20"/>
                <w:color w:val="auto"/>
              </w:rPr>
            </w:pPr>
            <w:r>
              <w:rPr>
                <w:rFonts w:ascii="Arial" w:cs="Arial" w:eastAsia="Arial" w:hAnsi="Arial"/>
                <w:sz w:val="18"/>
                <w:szCs w:val="18"/>
                <w:color w:val="auto"/>
              </w:rPr>
              <w:t>(0.10)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7"/>
              </w:rPr>
              <w:t>60,109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53,905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4"/>
              </w:rPr>
              <w:t>(5,910)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(3,840)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(20,492)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Translation gain (loss) on subsidiaries in foreign currencies</w:t>
            </w:r>
          </w:p>
        </w:tc>
        <w:tc>
          <w:tcPr>
            <w:tcW w:w="80" w:type="dxa"/>
            <w:vAlign w:val="bottom"/>
          </w:tcPr>
          <w:p>
            <w:pPr>
              <w:spacing w:after="0"/>
              <w:rPr>
                <w:sz w:val="18"/>
                <w:szCs w:val="18"/>
                <w:color w:val="auto"/>
              </w:rPr>
            </w:pPr>
          </w:p>
        </w:tc>
        <w:tc>
          <w:tcPr>
            <w:tcW w:w="880" w:type="dxa"/>
            <w:vAlign w:val="bottom"/>
            <w:gridSpan w:val="2"/>
          </w:tcPr>
          <w:p>
            <w:pPr>
              <w:jc w:val="right"/>
              <w:ind w:right="252"/>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52"/>
              <w:spacing w:after="0"/>
              <w:rPr>
                <w:sz w:val="20"/>
                <w:szCs w:val="20"/>
                <w:color w:val="auto"/>
              </w:rPr>
            </w:pPr>
            <w:r>
              <w:rPr>
                <w:rFonts w:ascii="Arial" w:cs="Arial" w:eastAsia="Arial" w:hAnsi="Arial"/>
                <w:sz w:val="18"/>
                <w:szCs w:val="18"/>
                <w:color w:val="auto"/>
                <w:w w:val="94"/>
              </w:rPr>
              <w:t>(6,206)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(3,904)</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(20,651)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(21,221)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2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Long-term investments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2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2820" w:type="dxa"/>
            <w:vAlign w:val="bottom"/>
            <w:gridSpan w:val="2"/>
          </w:tcPr>
          <w:p>
            <w:pPr>
              <w:ind w:left="27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43,326</w:t>
            </w:r>
          </w:p>
        </w:tc>
        <w:tc>
          <w:tcPr>
            <w:tcW w:w="28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Current liabilities: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Stockholders’ equity:</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258,630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(225,401)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(204,765)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27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2019-12-14T18:21:52Z</dcterms:created>
  <dcterms:modified xsi:type="dcterms:W3CDTF">2019-12-14T18:21:52Z</dcterms:modified>
</cp:coreProperties>
</file>