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7" w:right="3039" w:hanging="4634"/>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August 2, 2000 Registration No. 333-36946</w:t>
      </w:r>
    </w:p>
    <w:p>
      <w:pPr>
        <w:spacing w:after="0" w:line="1"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4" w:lineRule="exact"/>
        <w:rPr>
          <w:rFonts w:ascii="Courier New" w:cs="Courier New" w:eastAsia="Courier New" w:hAnsi="Courier New"/>
          <w:sz w:val="15"/>
          <w:szCs w:val="15"/>
          <w:color w:val="auto"/>
        </w:rPr>
      </w:pPr>
    </w:p>
    <w:p>
      <w:pPr>
        <w:ind w:left="2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Amendment No. 3 to</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p>
      <w:pPr>
        <w:ind w:left="547"/>
        <w:spacing w:after="0"/>
        <w:tabs>
          <w:tab w:leader="none" w:pos="3346" w:val="left"/>
          <w:tab w:leader="none" w:pos="5606"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3629</w:t>
      </w:r>
      <w:r>
        <w:rPr>
          <w:sz w:val="20"/>
          <w:szCs w:val="20"/>
          <w:color w:val="auto"/>
        </w:rPr>
        <w:tab/>
      </w:r>
      <w:r>
        <w:rPr>
          <w:rFonts w:ascii="Courier New" w:cs="Courier New" w:eastAsia="Courier New" w:hAnsi="Courier New"/>
          <w:sz w:val="15"/>
          <w:szCs w:val="15"/>
          <w:color w:val="auto"/>
        </w:rPr>
        <w:t>74-2642142</w:t>
      </w:r>
    </w:p>
    <w:p>
      <w:pPr>
        <w:spacing w:after="0" w:line="5" w:lineRule="exact"/>
        <w:rPr>
          <w:sz w:val="24"/>
          <w:szCs w:val="24"/>
          <w:color w:val="auto"/>
        </w:rPr>
      </w:pPr>
    </w:p>
    <w:p>
      <w:pPr>
        <w:ind w:left="267"/>
        <w:spacing w:after="0"/>
        <w:tabs>
          <w:tab w:leader="none" w:pos="2246" w:val="left"/>
          <w:tab w:leader="none" w:pos="5346" w:val="left"/>
        </w:tabs>
        <w:rPr>
          <w:sz w:val="20"/>
          <w:szCs w:val="20"/>
          <w:color w:val="auto"/>
        </w:rPr>
      </w:pPr>
      <w:r>
        <w:rPr>
          <w:rFonts w:ascii="Courier New" w:cs="Courier New" w:eastAsia="Courier New" w:hAnsi="Courier New"/>
          <w:sz w:val="15"/>
          <w:szCs w:val="15"/>
          <w:color w:val="auto"/>
        </w:rPr>
        <w:t>(State or other</w:t>
      </w:r>
      <w:r>
        <w:rPr>
          <w:sz w:val="20"/>
          <w:szCs w:val="20"/>
          <w:color w:val="auto"/>
        </w:rPr>
        <w:tab/>
      </w:r>
      <w:r>
        <w:rPr>
          <w:rFonts w:ascii="Courier New" w:cs="Courier New" w:eastAsia="Courier New" w:hAnsi="Courier New"/>
          <w:sz w:val="15"/>
          <w:szCs w:val="15"/>
          <w:color w:val="auto"/>
        </w:rPr>
        <w:t>(Primary Standard Industrial</w:t>
      </w:r>
      <w:r>
        <w:rPr>
          <w:sz w:val="20"/>
          <w:szCs w:val="20"/>
          <w:color w:val="auto"/>
        </w:rPr>
        <w:tab/>
      </w:r>
      <w:r>
        <w:rPr>
          <w:rFonts w:ascii="Courier New" w:cs="Courier New" w:eastAsia="Courier New" w:hAnsi="Courier New"/>
          <w:sz w:val="14"/>
          <w:szCs w:val="14"/>
          <w:color w:val="auto"/>
        </w:rPr>
        <w:t>(I.R.S. Employer</w:t>
      </w:r>
    </w:p>
    <w:p>
      <w:pPr>
        <w:spacing w:after="0" w:line="5" w:lineRule="exact"/>
        <w:rPr>
          <w:sz w:val="24"/>
          <w:szCs w:val="24"/>
          <w:color w:val="auto"/>
        </w:rPr>
      </w:pPr>
    </w:p>
    <w:p>
      <w:pPr>
        <w:ind w:left="267"/>
        <w:spacing w:after="0"/>
        <w:tabs>
          <w:tab w:leader="none" w:pos="2346" w:val="left"/>
          <w:tab w:leader="none" w:pos="5166" w:val="left"/>
        </w:tabs>
        <w:rPr>
          <w:sz w:val="20"/>
          <w:szCs w:val="20"/>
          <w:color w:val="auto"/>
        </w:rPr>
      </w:pPr>
      <w:r>
        <w:rPr>
          <w:rFonts w:ascii="Courier New" w:cs="Courier New" w:eastAsia="Courier New" w:hAnsi="Courier New"/>
          <w:sz w:val="15"/>
          <w:szCs w:val="15"/>
          <w:color w:val="auto"/>
        </w:rPr>
        <w:t>jurisdiction of</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5"/>
          <w:szCs w:val="15"/>
          <w:color w:val="auto"/>
        </w:rPr>
        <w:t>Identification Number)</w:t>
      </w: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incorporation or</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organization)</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11525 Stonehollow Dr.</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Telephone: (512) 836-6464, Facsimile: (512) 836-4511</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the registrant's principal executive offices)</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Telephone: (512) 836-6464</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Facsimile: (512) 836-4511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6"/>
          </w:cols>
          <w:pgMar w:left="233" w:top="759" w:right="1440" w:bottom="1440" w:gutter="0" w:footer="0" w:header="0"/>
        </w:sectPr>
      </w:pPr>
    </w:p>
    <w:p>
      <w:pPr>
        <w:spacing w:after="0" w:line="5" w:lineRule="exact"/>
        <w:rPr>
          <w:sz w:val="24"/>
          <w:szCs w:val="24"/>
          <w:color w:val="auto"/>
        </w:rPr>
      </w:pPr>
    </w:p>
    <w:p>
      <w:pPr>
        <w:jc w:val="center"/>
        <w:ind w:right="13"/>
        <w:spacing w:after="0"/>
        <w:rPr>
          <w:sz w:val="20"/>
          <w:szCs w:val="20"/>
          <w:color w:val="auto"/>
        </w:rPr>
      </w:pPr>
      <w:r>
        <w:rPr>
          <w:rFonts w:ascii="Courier New" w:cs="Courier New" w:eastAsia="Courier New" w:hAnsi="Courier New"/>
          <w:sz w:val="15"/>
          <w:szCs w:val="15"/>
          <w:color w:val="auto"/>
        </w:rPr>
        <w:t>J. MATTHEW LYONS, P.C.</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TED A. GILMAN</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Brobeck, Phleger &amp; Harrison LLP</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301 Congress Avenue, Suite 1200</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Telephone: (512) 477-5495</w:t>
      </w:r>
    </w:p>
    <w:p>
      <w:pPr>
        <w:spacing w:after="0" w:line="5" w:lineRule="exact"/>
        <w:rPr>
          <w:sz w:val="24"/>
          <w:szCs w:val="24"/>
          <w:color w:val="auto"/>
        </w:rPr>
      </w:pPr>
    </w:p>
    <w:p>
      <w:pPr>
        <w:jc w:val="center"/>
        <w:ind w:right="113"/>
        <w:spacing w:after="0"/>
        <w:rPr>
          <w:sz w:val="20"/>
          <w:szCs w:val="20"/>
          <w:color w:val="auto"/>
        </w:rPr>
      </w:pPr>
      <w:r>
        <w:rPr>
          <w:rFonts w:ascii="Courier New" w:cs="Courier New" w:eastAsia="Courier New" w:hAnsi="Courier New"/>
          <w:sz w:val="15"/>
          <w:szCs w:val="15"/>
          <w:color w:val="auto"/>
        </w:rPr>
        <w:t>Facsimile: (512) 477-5813</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ROBERT S. BAIRD</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JEFFREY A. CHAPMAN</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SHANNA DINWIDDIE JONES</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Vinson &amp; Elkins L.L.P.</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600 Congress Avenue</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Telephone: (512) 495-8400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Facsimile: (512) 495-8612</w:t>
      </w:r>
    </w:p>
    <w:p>
      <w:pPr>
        <w:spacing w:after="0" w:line="180" w:lineRule="exact"/>
        <w:rPr>
          <w:sz w:val="24"/>
          <w:szCs w:val="24"/>
          <w:color w:val="auto"/>
        </w:rPr>
      </w:pPr>
    </w:p>
    <w:p>
      <w:pPr>
        <w:sectPr>
          <w:pgSz w:w="11900" w:h="16838" w:orient="portrait"/>
          <w:cols w:equalWidth="0" w:num="2">
            <w:col w:w="3467" w:space="720"/>
            <w:col w:w="6039"/>
          </w:cols>
          <w:pgMar w:left="233" w:top="759" w:right="1440" w:bottom="1440" w:gutter="0" w:footer="0" w:header="0"/>
          <w:type w:val="continuous"/>
        </w:sect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check the following box. [_]</w:t>
      </w:r>
    </w:p>
    <w:p>
      <w:pPr>
        <w:spacing w:after="0" w:line="2"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4"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75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+changed. These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may 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+filed with the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and 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+preliminary prospectus is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not an offer to sell nor does it seek an offer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+buy these securities in any jurisdiction where the offer or sale is not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Subject to Completion. Dated August 2, 2000.</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OF ACTIVE POWER APPEARS HERE]</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8,000,000 shares of common stock are being sold by Active Power.</w:t>
      </w:r>
    </w:p>
    <w:p>
      <w:pPr>
        <w:spacing w:after="0" w:line="17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We estimate that the initial public offering price per share will be between $11.00 and $13.00. Our common stock has been approved for quotation on the Nasdaq National Market under the symbol "ACPW".</w:t>
      </w:r>
    </w:p>
    <w:p>
      <w:pPr>
        <w:spacing w:after="0" w:line="177"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699"/>
        </w:trPr>
        <w:tc>
          <w:tcPr>
            <w:tcW w:w="6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c>
          <w:tcPr>
            <w:tcW w:w="500" w:type="dxa"/>
            <w:vAlign w:val="bottom"/>
          </w:tcPr>
          <w:p>
            <w:pPr>
              <w:spacing w:after="0"/>
              <w:rPr>
                <w:sz w:val="24"/>
                <w:szCs w:val="24"/>
                <w:color w:val="auto"/>
              </w:rPr>
            </w:pP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Initial public offering price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Active Power.........................</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To the extent that the underwriters sell more than 8,000,000 shares of common stock, the underwriters have the option to purchase up to an additional 900,000 shares from Active Power and up to an additional 300,000 shares from a selling stockholder identified in this prospectus, each at the initial public offering price less the underwriting discount. Active Power will not receive any of the proceeds from the sale of any shares sold by the selling stockholder.</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3720" w:space="640"/>
            <w:col w:w="5859"/>
          </w:cols>
          <w:pgMar w:left="240" w:top="642" w:right="1440" w:bottom="1440" w:gutter="0" w:footer="0" w:header="0"/>
          <w:type w:val="continuous"/>
        </w:sectPr>
      </w:pPr>
    </w:p>
    <w:bookmarkStart w:id="2" w:name="page3"/>
    <w:bookmarkEnd w:id="2"/>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"Active Power transforms unreliable, inconsistent electricity..." at the top of the page and "...into high quality, dependable power," at the bottom of the graphic in the middle of the page.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left side of the graphic depicts sine waves representing the three problems with power supplied from the electric utility grid. The first graphic shows a steady sine wave that turns into a straight line. Above the straight line is the word "Outage" with an arrow pointing at the straight line. Below this graphic is a graphic of another sine wave which has smaller peaks and valleys in the middle of the sine wave. Above the middle of the sine wave are the words "Voltage Sag" with an arrow pointing at the center of the sine wave. Below this graphic is a graphic of another sine wave which has larger peaks and valleys in the middle of the sine wave. Above the middle of the sine wave are the words "Voltage Surges" with an arrow pointing at the center of the sine wave.</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the center of the graphic is a rotor with the Active Power logo in the middle. From the rotor to the right of the page is a smooth, continuous sine wave.</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3" w:right="1440" w:bottom="144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we have developed a battery-free power quality system which is marketed under the Caterpillar brand name. In addition, we are currently developing a fully integrated continuous power system, the initial target market for which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need for high quality electric power that is free of sags, surges and power outages has been increasing rapidly in recent years. This demand for power quality has been driven largely by the growth in the use of computers, the Internet and telecommunications products. These sophisticated applications are less tolerant of voltage disturbances than conventional uses of electricity. A 1999 study by the Electric Power Research Institute estimated that electric power problems annually cost U.S. industry more than $30 billion in lost data, material and productivity. Therefore, end users of sophisticated electronic equipment are seeking new solutions for their power quality and reliability problems.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variety of approaches currently exist that attempt to address the problems associated with the poor quality of power delivered by the electric utility grid. Conventional power quality systems have been constructed using three main components,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current products are superior alternatives to conventional UPS and CPS products and should be able to rapidly penetrate the power quality industry. With our future products, we anticipate that we will be able to compete in most segments of this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4" w:name="page5"/>
    <w:bookmarkEnd w:id="4"/>
    <w:p>
      <w:pPr>
        <w:ind w:right="3039"/>
        <w:spacing w:after="0" w:line="246" w:lineRule="auto"/>
        <w:rPr>
          <w:sz w:val="20"/>
          <w:szCs w:val="20"/>
          <w:color w:val="auto"/>
        </w:rPr>
      </w:pPr>
      <w:r>
        <w:rPr>
          <w:rFonts w:ascii="Courier New" w:cs="Courier New" w:eastAsia="Courier New" w:hAnsi="Courier New"/>
          <w:sz w:val="15"/>
          <w:szCs w:val="15"/>
          <w:color w:val="auto"/>
        </w:rPr>
        <w:t>flywheel, powered with electricity from the utility grid, stores kinetic energy by constantly spinning a compact rotor inside a low friction environment. When the user requires power due to a power outage or sag, CleanSource DC converts the kinetic energy of the spinning flywheel into electricity. For longer term power outages, CleanSource DC can provide enough power to bridge the gap between the power disturbance and the start-up of the genset which will deliver long-term back-up power.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with our flywheel-based energy storage system. As a result of the efficiencies created by the significant component overlap in the two systems, CleanSource UPS represents a more compact, reliable and efficient power quality solution. When used with a genset, CleanSource UPS also provides a continuous power solution. We have granted Caterpillar distribution rights to CleanSource UPS, which is marketed under the Caterpillar brand name. While the power quality market is generally conservative and reluctant to adopt new products, we believe that our arrangement with Caterpillar will provide CleanSource UPS the credibility it will need to overcome this reluctance and penetrate the market.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CPS.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 We anticipate commercial availability of our first CPS product in the fourth quarter of 2001.</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Distributed Power Technology. Under an agreement with Caterpillar, we are also studying the potential benefits of a new type of electromechanical technology that can be used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According to industry sources, in 1999 businesses spent in excess of $11.0 billion globally on power quality and reliability products in an attempt to reduce losses due to power disturbances. Industry sources also estimate that market growth rates for power quality and reliability products will be 30% per year. While more established companies currently serve the power quality market, we believe that our products are superior alternatives. Our current products, CleanSource DC and CleanSource UPS, are targeted at the $5.5 billion market for UPS. Our development efforts for our existing and future products will be focused on almost all of the remaining segments of this market.</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With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projected that the U.S. Internet economy would grow to $850 billion in 2000, up 62% from 1999. To support this growth, internet service providers must construct new facilities to house the equipment required to provide the service demanded by their customers and are adding power quality equipment to ensure continuous service around-the-clock.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This segment represents approximately $4.0 billion of the $11.0 billion power quality market. While conventional CPS systems presently meet market demand, we are designing our next generation product, a fully integrated CPS to service the specific needs of telecommunications providers. While this product is still in development, we believe that we will be able to rapidly penetrate this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Industrial. Manufacturing organizations are employing increasing levels of automation. Even brief power disturbances, which result in lost material, lost data, and worker and plant down time, can be very expensive. Industries where we expect significant future opportunities include semiconductor and pharmaceutical manufacturing, plastic and fiber extrusion, textiles, and precision machining.</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facilities have been largely unprotected from power disturbances or have only been spot-protected with a surge protector or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Because even a short power disturbance can cause an extended shutdown of sensitive electronic equipment, many of the customers that have historically relied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a significant market opportunity exists to upgrade, or retrofit, a portion of Caterpillar's approximately 250,000 installed gensets worldwide by adding our CleanSource UPS, thereby creating a CPS.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employing our CleanSource products with fuel cells and microturbines represent potential markets for our CleanSource products. These new technologies, which allow users to bypass the electric utility grid by generating power locally, cannot respond effectively to rapid changes in electric power demands, or loads. CleanSource DC can absorb sharp peaks in electrical demand, allowing a microturbine or fuel cell to be sized for the average power requirement of the customer, rather than for peak power requirements, thereby generating significant cost savings.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Factors You Should Consider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addition to the information we provide in the "Risk Factors" section and elsewhere in this prospectus, you should also consider the following factors regarding our company.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Customer Concentration. Since our inception, a few customers have accounted for the majority of our sales. During 1999, our four largest customers accounted for 89% of our sales, with our largest, Caterpillar, accounting for 39%. In the first six months of 2000, Caterpillar accounted for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6" w:name="page7"/>
    <w:bookmarkEnd w:id="6"/>
    <w:p>
      <w:pPr>
        <w:ind w:right="3139"/>
        <w:spacing w:after="0" w:line="247" w:lineRule="auto"/>
        <w:rPr>
          <w:sz w:val="20"/>
          <w:szCs w:val="20"/>
          <w:color w:val="auto"/>
        </w:rPr>
      </w:pPr>
      <w:r>
        <w:rPr>
          <w:rFonts w:ascii="Courier New" w:cs="Courier New" w:eastAsia="Courier New" w:hAnsi="Courier New"/>
          <w:sz w:val="15"/>
          <w:szCs w:val="15"/>
          <w:color w:val="auto"/>
        </w:rPr>
        <w:t>83% of our revenue as we have shifted focus to our CleanSource UPS product. We expect to be dependent on a few original equipment manufacturer customers, particularly Caterpillar, for most of our sales for the foreseeable future.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Limited Operating History. To date, we have primarily funded our operations through sales of our preferred stock, which has resulted in gross proceeds of approximately $42.8 million, as well as $5.0 million in development funding which we received from Caterpillar in 1999. As of June 30, 2000, we had generated an accumulated deficit of $37.0 million and expect to continue to sustain operating losses for the next several years.</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and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8,000,000 shares. The underwriters have a 30-day option to purchase up to 900,000 additional shares from us and up to 300,000 additional shares from a selling stockholder to cover over-allotments. Unless we state otherwise, the information in this prospectus assumes that the underwriters will not exercise the over-allotment option.</w:t>
      </w:r>
    </w:p>
    <w:p>
      <w:pPr>
        <w:spacing w:after="0" w:line="178"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360" w:right="3499" w:hanging="185"/>
        <w:spacing w:after="0" w:line="24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2.16-for-1 split of our common stock which will be effected prior to the consummation of this offering;</w:t>
      </w:r>
    </w:p>
    <w:p>
      <w:pPr>
        <w:spacing w:after="0" w:line="175" w:lineRule="exact"/>
        <w:rPr>
          <w:sz w:val="20"/>
          <w:szCs w:val="20"/>
          <w:color w:val="auto"/>
        </w:rPr>
      </w:pPr>
    </w:p>
    <w:p>
      <w:pPr>
        <w:ind w:left="360" w:right="3319" w:hanging="185"/>
        <w:spacing w:after="0" w:line="24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April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jc w:val="both"/>
        <w:ind w:left="360" w:right="3599" w:hanging="185"/>
        <w:spacing w:after="0" w:line="24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17,461,883 shares of common stock upon the closing of this offering.</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7" w:name="page8"/>
    <w:bookmarkEnd w:id="7"/>
    <w:p>
      <w:pPr>
        <w:ind w:left="308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ectPr>
          <w:pgSz w:w="11900" w:h="16838" w:orient="portrait"/>
          <w:cols w:equalWidth="0" w:num="2">
            <w:col w:w="3260" w:space="460"/>
            <w:col w:w="6499"/>
          </w:cols>
          <w:pgMar w:left="240" w:top="642"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37,662,399 shares</w:t>
      </w:r>
    </w:p>
    <w:p>
      <w:pPr>
        <w:spacing w:after="0" w:line="354"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ACPW</w:t>
      </w:r>
    </w:p>
    <w:p>
      <w:pPr>
        <w:spacing w:after="0" w:line="354" w:lineRule="exact"/>
        <w:rPr>
          <w:sz w:val="20"/>
          <w:szCs w:val="20"/>
          <w:color w:val="auto"/>
        </w:rPr>
      </w:pPr>
    </w:p>
    <w:p>
      <w:pPr>
        <w:sectPr>
          <w:pgSz w:w="11900" w:h="16838" w:orient="portrait"/>
          <w:cols w:equalWidth="0" w:num="2">
            <w:col w:w="3260" w:space="360"/>
            <w:col w:w="6599"/>
          </w:cols>
          <w:pgMar w:left="240" w:top="642" w:right="1440" w:bottom="1440" w:gutter="0" w:footer="0" w:header="0"/>
          <w:type w:val="continuous"/>
        </w:sect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June 30, 2000, and assumes the conversion of all of our preferred stock, other than our 1992 preferred stock, into 17,461,883 shares of common stock. This number assumes no exercise of the underwriters' over-allotment option and excludes:</w:t>
      </w:r>
    </w:p>
    <w:p>
      <w:pPr>
        <w:spacing w:after="0" w:line="178" w:lineRule="exact"/>
        <w:rPr>
          <w:sz w:val="20"/>
          <w:szCs w:val="20"/>
          <w:color w:val="auto"/>
        </w:rPr>
      </w:pPr>
    </w:p>
    <w:p>
      <w:pPr>
        <w:ind w:left="360" w:right="3219" w:hanging="185"/>
        <w:spacing w:after="0" w:line="24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of common stock issuable upon exercise of options outstanding as of June 30, 2000 with a weighted average exercise price of $1.08 per share;</w:t>
      </w:r>
    </w:p>
    <w:p>
      <w:pPr>
        <w:spacing w:after="0" w:line="174" w:lineRule="exact"/>
        <w:rPr>
          <w:sz w:val="20"/>
          <w:szCs w:val="20"/>
          <w:color w:val="auto"/>
        </w:rPr>
      </w:pPr>
    </w:p>
    <w:p>
      <w:pPr>
        <w:ind w:left="360" w:right="3419" w:hanging="185"/>
        <w:spacing w:after="0" w:line="24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under our 1993 stock option plan as of June 30, 2000, and an increase of an additional 2,592,000 shares of common stock reserved under our 2000 stock option plan which was approved by our board of directions on July 13, 2000;</w:t>
      </w:r>
    </w:p>
    <w:p>
      <w:pPr>
        <w:spacing w:after="0" w:line="177" w:lineRule="exact"/>
        <w:rPr>
          <w:sz w:val="20"/>
          <w:szCs w:val="20"/>
          <w:color w:val="auto"/>
        </w:rPr>
      </w:pPr>
    </w:p>
    <w:p>
      <w:pPr>
        <w:ind w:left="360" w:right="3219" w:hanging="185"/>
        <w:spacing w:after="0" w:line="24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1,080,000 shares of common stock reserved for issuance under our employee stock purchase plan; and</w:t>
      </w:r>
    </w:p>
    <w:p>
      <w:pPr>
        <w:spacing w:after="0" w:line="175" w:lineRule="exact"/>
        <w:rPr>
          <w:sz w:val="20"/>
          <w:szCs w:val="20"/>
          <w:color w:val="auto"/>
        </w:rPr>
      </w:pPr>
    </w:p>
    <w:p>
      <w:pPr>
        <w:ind w:left="360" w:right="3499" w:hanging="185"/>
        <w:spacing w:after="0" w:line="247"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of common stock issuable upon exercise of outstanding warrants as of June 30, 2000 with a weighted average exercise price of $5.25 per share.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type w:val="continuous"/>
        </w:sectPr>
      </w:pPr>
    </w:p>
    <w:bookmarkStart w:id="8" w:name="page9"/>
    <w:bookmarkEnd w:id="8"/>
    <w:p>
      <w:pPr>
        <w:jc w:val="center"/>
        <w:ind w:right="305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40" w:type="dxa"/>
            <w:vAlign w:val="bottom"/>
          </w:tcPr>
          <w:p>
            <w:pPr>
              <w:spacing w:after="0"/>
              <w:rPr>
                <w:sz w:val="15"/>
                <w:szCs w:val="15"/>
                <w:color w:val="auto"/>
              </w:rPr>
            </w:pPr>
          </w:p>
        </w:tc>
        <w:tc>
          <w:tcPr>
            <w:tcW w:w="24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20" w:type="dxa"/>
            <w:vAlign w:val="bottom"/>
          </w:tcPr>
          <w:p>
            <w:pPr>
              <w:spacing w:after="0"/>
              <w:rPr>
                <w:sz w:val="15"/>
                <w:szCs w:val="15"/>
                <w:color w:val="auto"/>
              </w:rPr>
            </w:pPr>
          </w:p>
        </w:tc>
        <w:tc>
          <w:tcPr>
            <w:tcW w:w="17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138</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   915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$ 1,047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3,862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(1,073)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 (10,188)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(2,439)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17,461,883 shares of common stock upon the consummation of this offering, as if such conversion had occurred on June 30, 2000; and</w:t>
      </w:r>
    </w:p>
    <w:p>
      <w:pPr>
        <w:spacing w:after="0" w:line="177" w:lineRule="exact"/>
        <w:rPr>
          <w:sz w:val="20"/>
          <w:szCs w:val="20"/>
          <w:color w:val="auto"/>
        </w:rPr>
      </w:pPr>
    </w:p>
    <w:p>
      <w:pPr>
        <w:ind w:left="360" w:right="3219" w:hanging="185"/>
        <w:spacing w:after="0" w:line="246"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$12.00 per share.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540" w:type="dxa"/>
            <w:vAlign w:val="bottom"/>
            <w:gridSpan w:val="3"/>
          </w:tcPr>
          <w:p>
            <w:pPr>
              <w:jc w:val="center"/>
              <w:ind w:left="645"/>
              <w:spacing w:after="0"/>
              <w:rPr>
                <w:sz w:val="20"/>
                <w:szCs w:val="20"/>
                <w:color w:val="auto"/>
              </w:rPr>
            </w:pPr>
            <w:r>
              <w:rPr>
                <w:rFonts w:ascii="Courier New" w:cs="Courier New" w:eastAsia="Courier New" w:hAnsi="Courier New"/>
                <w:sz w:val="15"/>
                <w:szCs w:val="15"/>
                <w:color w:val="auto"/>
              </w:rPr>
              <w:t>June 30, 2000</w:t>
            </w:r>
          </w:p>
        </w:tc>
      </w:tr>
      <w:tr>
        <w:trPr>
          <w:trHeight w:val="175"/>
        </w:trPr>
        <w:tc>
          <w:tcPr>
            <w:tcW w:w="35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Pro</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Actual</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Forma</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w w:val="81"/>
              </w:rPr>
              <w:t>investments....................................</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$ 17,749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$17,749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$105,749</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Working capital.................................</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18,586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106,586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Total assets....................................</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23,267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111,267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Redeemable convertible preferred stock..........</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69,645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Stockholders' equity (deficit)..................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(48,084)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109,561</w:t>
            </w:r>
          </w:p>
        </w:tc>
      </w:tr>
      <w:tr>
        <w:trPr>
          <w:trHeight w:val="524"/>
        </w:trPr>
        <w:tc>
          <w:tcPr>
            <w:tcW w:w="3540" w:type="dxa"/>
            <w:vAlign w:val="bottom"/>
          </w:tcPr>
          <w:p>
            <w:pPr>
              <w:spacing w:after="0"/>
              <w:rPr>
                <w:sz w:val="24"/>
                <w:szCs w:val="24"/>
                <w:color w:val="auto"/>
              </w:rPr>
            </w:pPr>
          </w:p>
        </w:tc>
        <w:tc>
          <w:tcPr>
            <w:tcW w:w="1760" w:type="dxa"/>
            <w:vAlign w:val="bottom"/>
          </w:tcPr>
          <w:p>
            <w:pPr>
              <w:jc w:val="right"/>
              <w:ind w:right="1605"/>
              <w:spacing w:after="0"/>
              <w:rPr>
                <w:sz w:val="20"/>
                <w:szCs w:val="20"/>
                <w:color w:val="auto"/>
              </w:rPr>
            </w:pPr>
            <w:r>
              <w:rPr>
                <w:rFonts w:ascii="Courier New" w:cs="Courier New" w:eastAsia="Courier New" w:hAnsi="Courier New"/>
                <w:sz w:val="14"/>
                <w:szCs w:val="14"/>
                <w:color w:val="auto"/>
                <w:w w:val="70"/>
              </w:rPr>
              <w:t>6</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 w:name="page10"/>
    <w:bookmarkEnd w:id="9"/>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June 30, 2000, we had an accumulated deficit of $37.0 million. To date, our product revenue has been insignificant, and we have funded our operations through sales of our stock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$2.8 million in product revenue over the past two and one-half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360" w:right="3419" w:hanging="185"/>
        <w:spacing w:after="0" w:line="247"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75" w:lineRule="exact"/>
        <w:rPr>
          <w:sz w:val="20"/>
          <w:szCs w:val="20"/>
          <w:color w:val="auto"/>
        </w:rPr>
      </w:pPr>
    </w:p>
    <w:p>
      <w:pPr>
        <w:ind w:left="360" w:right="3419" w:hanging="185"/>
        <w:spacing w:after="0" w:line="24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75" w:lineRule="exact"/>
        <w:rPr>
          <w:sz w:val="20"/>
          <w:szCs w:val="20"/>
          <w:color w:val="auto"/>
        </w:rPr>
      </w:pPr>
    </w:p>
    <w:p>
      <w:pPr>
        <w:ind w:left="360" w:right="3499" w:hanging="185"/>
        <w:spacing w:after="0" w:line="24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 term power outage protection in traditional UPS systems;</w:t>
      </w:r>
    </w:p>
    <w:p>
      <w:pPr>
        <w:spacing w:after="0" w:line="175" w:lineRule="exact"/>
        <w:rPr>
          <w:sz w:val="20"/>
          <w:szCs w:val="20"/>
          <w:color w:val="auto"/>
        </w:rPr>
      </w:pPr>
    </w:p>
    <w:p>
      <w:pPr>
        <w:ind w:left="360" w:right="3419" w:hanging="185"/>
        <w:spacing w:after="0" w:line="246"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CPS, which we expect to introduce in the fourth quarter of 2001; and</w:t>
      </w:r>
    </w:p>
    <w:p>
      <w:pPr>
        <w:spacing w:after="0" w:line="177" w:lineRule="exact"/>
        <w:rPr>
          <w:sz w:val="20"/>
          <w:szCs w:val="20"/>
          <w:color w:val="auto"/>
        </w:rPr>
      </w:pPr>
    </w:p>
    <w:p>
      <w:pPr>
        <w:ind w:left="3540" w:right="5219" w:hanging="3365"/>
        <w:spacing w:after="0" w:line="494" w:lineRule="auto"/>
        <w:tabs>
          <w:tab w:leader="none" w:pos="35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 7</w:t>
      </w:r>
    </w:p>
    <w:p>
      <w:pPr>
        <w:sectPr>
          <w:pgSz w:w="11900" w:h="16838" w:orient="portrait"/>
          <w:cols w:equalWidth="0" w:num="1">
            <w:col w:w="10219"/>
          </w:cols>
          <w:pgMar w:left="240" w:top="643" w:right="1440" w:bottom="1440" w:gutter="0" w:footer="0" w:header="0"/>
        </w:sectPr>
      </w:pPr>
    </w:p>
    <w:bookmarkStart w:id="10" w:name="page11"/>
    <w:bookmarkEnd w:id="10"/>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0"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During 1999 and the first six months of 2000, we received approximately $412,000, or 39%, and $712,000, or 83%, respectively, of our product revenue from Caterpillar. Pursuant to the distribution agreement with Caterpillar, they are the exclusive distributor, subject to limited exceptions, of our CleanSource UPS product. Caterpillar is not obligated to purchase any CleanSource UPS units.</w:t>
      </w:r>
    </w:p>
    <w:p>
      <w:pPr>
        <w:spacing w:after="0" w:line="186"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2" w:right="1440" w:bottom="1440" w:gutter="0" w:footer="0" w:header="0"/>
        </w:sectPr>
      </w:pPr>
    </w:p>
    <w:bookmarkStart w:id="11" w:name="page12"/>
    <w:bookmarkEnd w:id="11"/>
    <w:p>
      <w:pPr>
        <w:ind w:right="3039"/>
        <w:spacing w:after="0" w:line="246" w:lineRule="auto"/>
        <w:rPr>
          <w:sz w:val="20"/>
          <w:szCs w:val="20"/>
          <w:color w:val="auto"/>
        </w:rPr>
      </w:pPr>
      <w:r>
        <w:rPr>
          <w:rFonts w:ascii="Courier New" w:cs="Courier New" w:eastAsia="Courier New" w:hAnsi="Courier New"/>
          <w:sz w:val="15"/>
          <w:szCs w:val="15"/>
          <w:color w:val="auto"/>
        </w:rPr>
        <w:t>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1999 sales to our four largest customers, Caterpillar, Powerware, Micron Technologies and Lee Technologies, accounted for 39%, 21%, 16% and 13%, respectively, of our revenue. In the first half of 2000, sales to Caterpillar accounted for 83% of our revenue. Therefore, the loss of any of our key OEM customers, primarily Caterpillar, or a significant reduction in sales to any one of them,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8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had 126 employees on June 30,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3"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2" w:name="page13"/>
    <w:bookmarkEnd w:id="12"/>
    <w:p>
      <w:pPr>
        <w:ind w:right="3319"/>
        <w:spacing w:after="0" w:line="246" w:lineRule="auto"/>
        <w:rPr>
          <w:sz w:val="20"/>
          <w:szCs w:val="20"/>
          <w:color w:val="auto"/>
        </w:rPr>
      </w:pPr>
      <w:r>
        <w:rPr>
          <w:rFonts w:ascii="Courier New" w:cs="Courier New" w:eastAsia="Courier New" w:hAnsi="Courier New"/>
          <w:sz w:val="15"/>
          <w:szCs w:val="15"/>
          <w:color w:val="auto"/>
        </w:rPr>
        <w:t>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3" w:name="page14"/>
    <w:bookmarkEnd w:id="13"/>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4" w:name="page15"/>
    <w:bookmarkEnd w:id="14"/>
    <w:p>
      <w:pPr>
        <w:ind w:right="3039"/>
        <w:spacing w:after="0" w:line="247" w:lineRule="auto"/>
        <w:rPr>
          <w:sz w:val="20"/>
          <w:szCs w:val="20"/>
          <w:color w:val="auto"/>
        </w:rPr>
      </w:pPr>
      <w:r>
        <w:rPr>
          <w:rFonts w:ascii="Courier New" w:cs="Courier New" w:eastAsia="Courier New" w:hAnsi="Courier New"/>
          <w:sz w:val="15"/>
          <w:szCs w:val="15"/>
          <w:color w:val="auto"/>
        </w:rPr>
        <w:t>management's time and attention. Any potential intellectual property litigation also could force us to take specific actions, including:</w:t>
      </w:r>
    </w:p>
    <w:p>
      <w:pPr>
        <w:spacing w:after="0" w:line="175" w:lineRule="exact"/>
        <w:rPr>
          <w:sz w:val="20"/>
          <w:szCs w:val="20"/>
          <w:color w:val="auto"/>
        </w:rPr>
      </w:pPr>
    </w:p>
    <w:p>
      <w:pPr>
        <w:ind w:left="360" w:right="4139" w:hanging="185"/>
        <w:spacing w:after="0" w:line="24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Although we are not currently negotiating any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9" w:lineRule="exact"/>
        <w:rPr>
          <w:sz w:val="20"/>
          <w:szCs w:val="20"/>
          <w:color w:val="auto"/>
        </w:rPr>
      </w:pPr>
    </w:p>
    <w:p>
      <w:pPr>
        <w:ind w:left="360" w:right="349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60" w:right="377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5" w:name="page16"/>
    <w:bookmarkEnd w:id="15"/>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 approximately 45.0% of our outstanding common stock. As a result, these stockholders will be able to exert significant control over all matters requiring 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we have applied to have our common stock quoted on the Nasdaq National Market, an active trading market for our shares may never develop or be sustained following this offering. The initial public offering price for our common stock will be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6" w:name="page17"/>
    <w:bookmarkEnd w:id="16"/>
    <w:p>
      <w:pPr>
        <w:ind w:right="3139"/>
        <w:spacing w:after="0" w:line="246" w:lineRule="auto"/>
        <w:rPr>
          <w:sz w:val="20"/>
          <w:szCs w:val="20"/>
          <w:color w:val="auto"/>
        </w:rPr>
      </w:pPr>
      <w:r>
        <w:rPr>
          <w:rFonts w:ascii="Courier New" w:cs="Courier New" w:eastAsia="Courier New" w:hAnsi="Courier New"/>
          <w:sz w:val="15"/>
          <w:szCs w:val="15"/>
          <w:color w:val="auto"/>
        </w:rPr>
        <w:t>Of our total outstanding shares following this offering, 29,662,399, or 78.8%,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this offering, we will have outstanding 37,662,399 shares of common stock based on the number of shares outstanding at June 30, 2000. This includes the 8,000,000 shares we are selling in this offering, which may be resold in the public market immediately. The remaining 29,662,399 shares will become available for resale in the public market as shown in the chart below, which assumes no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Number of Shares/</w:t>
            </w: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 of Total Shares</w:t>
            </w:r>
          </w:p>
        </w:tc>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5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 of availability for resale into the public market</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8,000,000/21.2%</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5,028,658/13.4%</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5,034,617/13.4%</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19,335,321/51.3%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release of the lock-up agreement these stockholders have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263,803/0.7%</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some point after 180 days from the date of this</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subject to vesting requirements and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requirements of Rule 144 (subject, in some cases, to volume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limitations), Rule 144(k) or 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59.</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7" w:name="page18"/>
    <w:bookmarkEnd w:id="17"/>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8" w:name="page19"/>
    <w:bookmarkEnd w:id="18"/>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assumed initial public offering price of $12.00 per share, we will receive approximately $88.0 million from our sale of 8,000,000 shares of common stock, net of estimated offering expenses and underwriting discounts and commissions payable by us. If the underwriters exercise their over-allotment option in full, we will receive an additional $10.0 million in net proceeds and the selling stockholder will receive approximately $3.3 million in net proceeds. We will not receive any portion of the net proceeds received by the selling stockholder from the sale of his shares upon exercise of the underwriters' over-allotment option. See "Principal and Selling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We anticipate using approximately $2.0 million of the proceeds of this offering for general capital expenditures, such as the buildout of additional office, engineering lab and manufacturing space and investment in our information systems. In addition, we plan to purchase approximately $2.0 million of capital equipment for use in our research and development activities and to expand our manufacturing capacity.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6"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 while any borrowings are outstanding under the credit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June 30, 2000 to reflect the conversion of all outstanding shares of our preferred stock, other than the 1992 preferred stock, into 17,461,883 shares of our common stock;</w:t>
      </w:r>
    </w:p>
    <w:p>
      <w:pPr>
        <w:spacing w:after="0" w:line="174" w:lineRule="exact"/>
        <w:rPr>
          <w:sz w:val="20"/>
          <w:szCs w:val="20"/>
          <w:color w:val="auto"/>
        </w:rPr>
      </w:pPr>
    </w:p>
    <w:p>
      <w:pPr>
        <w:ind w:left="360" w:right="3419" w:hanging="185"/>
        <w:spacing w:after="0" w:line="246" w:lineRule="auto"/>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$12.00 per share.</w:t>
      </w:r>
    </w:p>
    <w:p>
      <w:pPr>
        <w:spacing w:after="0" w:line="177"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As of June 30,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left="45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Pro Forma</w:t>
        <w:tab/>
        <w:t>As Adjusted</w:t>
      </w:r>
    </w:p>
    <w:p>
      <w:pPr>
        <w:spacing w:after="0" w:line="5" w:lineRule="exact"/>
        <w:rPr>
          <w:sz w:val="20"/>
          <w:szCs w:val="20"/>
          <w:color w:val="auto"/>
        </w:rPr>
      </w:pPr>
    </w:p>
    <w:p>
      <w:pPr>
        <w:ind w:left="44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w:t>
        <w:tab/>
        <w:t>---------</w:t>
        <w:tab/>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 thousands, except share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data)</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with redemption rights................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5">
            <w:col w:w="4260" w:space="180"/>
            <w:col w:w="100" w:space="36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Redeemable convertible preferred stock, $0.001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 value, 8,527,166 shares designated,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7,732,084 issued and outstanding, actual; no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forma and pro forma as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360"/>
            <w:col w:w="560" w:space="6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1992 preferred stock, $0.001 par value, 420,000</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64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 (deficit):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$0.001 par value, 30,000,000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 12,200,516 shares issued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outstanding, actual; 29,662,399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issued and outstanding, pro forma;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37,662,399 shares issued and outstanding,</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 forma as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paid-in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stockholders' equity (deficit).......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(48,084)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69,625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157,617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109,561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4260" w:space="180"/>
            <w:col w:w="820" w:space="100"/>
            <w:col w:w="820" w:space="260"/>
            <w:col w:w="377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 as of June 30, 2000:</w:t>
      </w:r>
    </w:p>
    <w:p>
      <w:pPr>
        <w:spacing w:after="0" w:line="180" w:lineRule="exact"/>
        <w:rPr>
          <w:sz w:val="20"/>
          <w:szCs w:val="20"/>
          <w:color w:val="auto"/>
        </w:rPr>
      </w:pPr>
    </w:p>
    <w:p>
      <w:pPr>
        <w:ind w:left="540" w:right="3779" w:hanging="183"/>
        <w:spacing w:after="0" w:line="247" w:lineRule="auto"/>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issuable upon exercise of warrants with a weighted average exercise price of $5.25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issuable upon exercise of outstanding options under our stock option plan with a weighted average exercise price of $1.08 per share; and</w:t>
      </w:r>
    </w:p>
    <w:p>
      <w:pPr>
        <w:spacing w:after="0" w:line="174" w:lineRule="exact"/>
        <w:rPr>
          <w:sz w:val="20"/>
          <w:szCs w:val="20"/>
          <w:color w:val="auto"/>
        </w:rPr>
      </w:pPr>
    </w:p>
    <w:p>
      <w:pPr>
        <w:ind w:left="540" w:right="3419" w:hanging="183"/>
        <w:spacing w:after="0" w:line="247"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type w:val="continuous"/>
        </w:sectPr>
      </w:pPr>
    </w:p>
    <w:bookmarkStart w:id="20" w:name="page21"/>
    <w:bookmarkEnd w:id="20"/>
    <w:p>
      <w:pPr>
        <w:jc w:val="center"/>
        <w:ind w:right="2959"/>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historical net tangible book deficit at June 30, 2000 was $48.1 million or $3.94 per share. Historical net tangible book deficit per share is equal to the amount of our total tangible assets less total liabilities, divided by the number of shares of common stock outstanding as of June 30, 2000.</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June 30, 2000, was $21.6 million, or $0.73 per share of common stock. Pro forma net tangible book value per share is equal to the amount of our total pro forma tangible assets less total pro forma liabilities, divided by the pro forma number of shares of common stock outstanding as of June 30, 2000, after giving effect to the conversion of all outstanding shares of our convertible preferred stock into 17,461,883 shares of common stock.</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 effect to our sale of 8,000,000 shares of common stock in this offering at an assumed initial public offering price of $12.00 per share, and after deducting underwriting discounts and commissions and estimated offering expenses payable by us, our adjusted pro forma net tangible book value at June 30, 2000 would have been $109.6 million, or $2.91 per share. This amount represents an immediate increase in pro forma net tangible book value to our existing stockholders of $2.18 per share and an immediate dilution to new investors of $9.09 per share. The following table illustrates this per share dilution:</w:t>
      </w:r>
    </w:p>
    <w:p>
      <w:pPr>
        <w:spacing w:after="0" w:line="200" w:lineRule="exact"/>
        <w:rPr>
          <w:sz w:val="20"/>
          <w:szCs w:val="20"/>
          <w:color w:val="auto"/>
        </w:rPr>
      </w:pP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Assumed initial public offering price per share.............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Historical net tangible book deficit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$(3.94)</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Increase attributable to conversion of preferred stock......</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Pro forma net tangible book value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.73</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Increase in pro forma net tangible book value per share</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this offering............................</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2.18</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Dilution per share to new investors.........................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$ 9.09</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the underwriters exercise their over-allotment option in full,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$119.6 million, or $3.10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$2.37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$8.90 per share. Additionally,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options and warrants outstanding at June 30, 2000 were exercised in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$125.6 million, or $2.96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$2.23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$9.04 per share.</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1" w:name="page22"/>
    <w:bookmarkEnd w:id="21"/>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June 30,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an assumed initial public offering price of $12.00 per share, before deducting underwriting discounts and commissions and estimated offering expenses payable by us: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76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 ---------</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Existing stockholders.........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29,662,399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$ 44,273,069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$ 1.49</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investors.................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96,000,000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w:t>
            </w: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37,662,399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$140,273,069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or warrants outstanding at June 30, 2000. At June 30, 2000, there were warrants to purchase 432,000 shares of common stock with a weighted average exercise price of $5.25 per share, and options outstanding under our stock option plan to purchase a total of 3,423,194 shares of common stock with a weighted average exercise price of $1.08 per share. To the extent that any of these warrants or options are exercised, there will be further dilution to new investors.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six months ended June 30, 1999 and 2000 and the balance sheet data as of June 30,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six months ended June 30,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284"/>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3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1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gridSpan w:val="8"/>
          </w:tcPr>
          <w:p>
            <w:pPr>
              <w:ind w:left="280"/>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24"/>
                <w:szCs w:val="24"/>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915</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1,238</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1,697</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(323)</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968</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2,598</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4,045</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3,658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483</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1,926</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5,971</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(3,882)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(6,294)</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339</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(34)</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(10,188)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spacing w:after="0"/>
              <w:rPr>
                <w:sz w:val="15"/>
                <w:szCs w:val="15"/>
                <w:color w:val="auto"/>
              </w:rPr>
            </w:pP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(1,635)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(4,564)</w:t>
            </w: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(39,848)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(4,474)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(26,475)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per share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 basic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(0.17)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(0.90)</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9,358,982</w:t>
            </w:r>
          </w:p>
        </w:tc>
        <w:tc>
          <w:tcPr>
            <w:tcW w:w="18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9,426,456</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9,589,462</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9,789,407</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9,761,606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10,983,192</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4"/>
          </w:tcPr>
          <w:p>
            <w:pPr>
              <w:jc w:val="right"/>
              <w:ind w:right="324"/>
              <w:spacing w:after="0"/>
              <w:rPr>
                <w:sz w:val="20"/>
                <w:szCs w:val="20"/>
                <w:color w:val="auto"/>
              </w:rPr>
            </w:pPr>
            <w:r>
              <w:rPr>
                <w:rFonts w:ascii="Courier New" w:cs="Courier New" w:eastAsia="Courier New" w:hAnsi="Courier New"/>
                <w:sz w:val="15"/>
                <w:szCs w:val="15"/>
                <w:color w:val="auto"/>
                <w:w w:val="99"/>
              </w:rPr>
              <w:t>As of December 31,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1997</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1999</w:t>
            </w:r>
          </w:p>
        </w:tc>
        <w:tc>
          <w:tcPr>
            <w:tcW w:w="360" w:type="dxa"/>
            <w:vAlign w:val="bottom"/>
          </w:tcPr>
          <w:p>
            <w:pPr>
              <w:spacing w:after="0"/>
              <w:rPr>
                <w:sz w:val="15"/>
                <w:szCs w:val="15"/>
                <w:color w:val="auto"/>
              </w:rPr>
            </w:pPr>
          </w:p>
        </w:tc>
        <w:tc>
          <w:tcPr>
            <w:tcW w:w="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3"/>
          </w:tcPr>
          <w:p>
            <w:pPr>
              <w:jc w:val="center"/>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short-term investments......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$419</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$2,434</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$4,340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$ 7,536</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$26,265</w:t>
            </w:r>
          </w:p>
        </w:tc>
        <w:tc>
          <w:tcPr>
            <w:tcW w:w="82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$17,749</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Working capital..............</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2,470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26,394</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18,586</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assets.................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3,002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5,921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28,366</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23,267</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Long-term obligations, less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current portion.............</w:t>
            </w:r>
          </w:p>
        </w:tc>
        <w:tc>
          <w:tcPr>
            <w:tcW w:w="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preferred stock.............</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4,960</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11,786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24,575</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54,235</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69,645</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stockholders' deficit..</w:t>
            </w:r>
          </w:p>
        </w:tc>
        <w:tc>
          <w:tcPr>
            <w:tcW w:w="5240" w:type="dxa"/>
            <w:vAlign w:val="bottom"/>
            <w:gridSpan w:val="11"/>
          </w:tcPr>
          <w:p>
            <w:pPr>
              <w:jc w:val="right"/>
              <w:ind w:right="604"/>
              <w:spacing w:after="0"/>
              <w:rPr>
                <w:sz w:val="20"/>
                <w:szCs w:val="20"/>
                <w:color w:val="auto"/>
              </w:rPr>
            </w:pPr>
            <w:r>
              <w:rPr>
                <w:rFonts w:ascii="Courier New" w:cs="Courier New" w:eastAsia="Courier New" w:hAnsi="Courier New"/>
                <w:sz w:val="15"/>
                <w:szCs w:val="15"/>
                <w:color w:val="auto"/>
              </w:rPr>
              <w:t>(535) (2,167) (6,742) (15,524) (30,338) (48,084)</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642" w:right="1440" w:bottom="81" w:gutter="0" w:footer="0" w:header="0"/>
        </w:sectPr>
      </w:pPr>
    </w:p>
    <w:bookmarkStart w:id="23" w:name="page24"/>
    <w:bookmarkEnd w:id="23"/>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16" w:right="1440" w:bottom="1440" w:gutter="0" w:footer="0" w:header="0"/>
        </w:sectPr>
      </w:pPr>
    </w:p>
    <w:bookmarkStart w:id="24" w:name="page25"/>
    <w:bookmarkEnd w:id="24"/>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Since 1996, we have focused our efforts and financial resources primarily on the design and development of our CleanSource line of power quality products and on establishing effective OEM channels to market our products. As of June 30, 2000, we had generated an accumulated deficit of $37.0 million and expect to continue to sustain operating losses for the next 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six months of 2000, Caterpillar accounted for 83% of our revenue as we shifted focus to our CleanSource UPS product. We expect to continue to be dependent on a few OEM customers, primarily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Add sales and marketing personnel to support our OEM customers.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six months ended June 30, 2000, we recorded deferred stock compensation aggregating $15.8 million. Deferred stock compensation represents the difference between the estimated fair value, determined subsequently by us, of the common stock underlying the options and the options' exercise price on the date of grant. We amortize deferred stock compensation to operating expense over the vesting</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25" w:name="page26"/>
    <w:bookmarkEnd w:id="25"/>
    <w:p>
      <w:pPr>
        <w:ind w:right="3039"/>
        <w:spacing w:after="0" w:line="246" w:lineRule="auto"/>
        <w:rPr>
          <w:sz w:val="20"/>
          <w:szCs w:val="20"/>
          <w:color w:val="auto"/>
        </w:rPr>
      </w:pPr>
      <w:r>
        <w:rPr>
          <w:rFonts w:ascii="Courier New" w:cs="Courier New" w:eastAsia="Courier New" w:hAnsi="Courier New"/>
          <w:sz w:val="15"/>
          <w:szCs w:val="15"/>
          <w:color w:val="auto"/>
        </w:rPr>
        <w:t>period, generally four years. In 1999, we amortized $1.6 million of the deferred stock compensation to expense and during the 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2000 we amortized an additional $3.1</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to expense. We currently expect to</w:t>
            </w: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amortize the deferred stock compensation remaining at June 30, 2000 in the</w:t>
            </w:r>
          </w:p>
        </w:tc>
      </w:tr>
      <w:tr>
        <w:trPr>
          <w:trHeight w:val="175"/>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periods below (in millions):</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9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July 1,</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2000 to December 31, 2000................</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$ 3.6</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31, 2001.............</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31, 2003.............</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31, 2004.............</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$11.1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$131,000, or 14%, to $1.05 million in 1999 from $915,000 in 1998. This increase was attributable to the continued acceptance of our first product, CleanSource DC, as well as the initial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 of goods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 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6" w:name="page27"/>
    <w:bookmarkEnd w:id="26"/>
    <w:p>
      <w:pPr>
        <w:ind w:right="3039"/>
        <w:spacing w:after="0" w:line="246" w:lineRule="auto"/>
        <w:rPr>
          <w:sz w:val="20"/>
          <w:szCs w:val="20"/>
          <w:color w:val="auto"/>
        </w:rPr>
      </w:pPr>
      <w:r>
        <w:rPr>
          <w:rFonts w:ascii="Courier New" w:cs="Courier New" w:eastAsia="Courier New" w:hAnsi="Courier New"/>
          <w:sz w:val="15"/>
          <w:szCs w:val="15"/>
          <w:color w:val="auto"/>
        </w:rPr>
        <w:t>allocable portion of occupancy costs, other promotional and marketing expenses, professional fees and reserves for bad debt. Selling, general and administrative expense increased approximately $2.0 million, or 106%, to $4.0 million in 1999 from $1.9 million in 1998. The increase in selling, general and administrative expense was principally due to a charge of $1.4 million related to warrants we issued to stockholders in conjunction with strategic alliance agreements we entered into with them relating to their use, evaluation and feedback of products they agreed to purchase and other business assistance. Additionally,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estimated fair value determined subsequently by us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$3.6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$14.4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$138,000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$158,000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27" w:name="page28"/>
    <w:bookmarkEnd w:id="27"/>
    <w:p>
      <w:pPr>
        <w:ind w:right="321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 and administrative expense was attributable to an increase in 1998 in the number of personnel within our sales, marketing and administrative departments to support an anticipated growth in sales volume.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Six Months Ended June 30, 2000 to Six Months Ended June 30, 1999</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$388,000, or 82%, to $861,000 from $473,000 for the six months ended June 30, 2000 and 1999, respectively, as we began to generate greater sales from our CleanSource UPS product line, particularly in the second quarter of 2000. For the six months ended June 30, 2000, Caterpillar accounted for 83% of our sales. We expect to continue to be dependent on a few OEM customers, primarily Caterpillar, for the majority of our sales for the foreseeable future.</w:t>
      </w:r>
    </w:p>
    <w:p>
      <w:pPr>
        <w:spacing w:after="0" w:line="179"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increased $337,000, or 25%, to $1.7 million from $1.4 million for the six months ended June 30, 2000 and 1999, respectively. This increase is related to the increase in product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$1.6 million, or 76%, to $3.7 million from $2.1 million for the six months ended June 30,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$1.5 million, or 144%, to $2.6 million from $1.0 million for the six months ended June 30,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six months ended June 30, 2000 includes a $1.6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June 30, 2000 consisted of $17.7 million of cash, cash equivalents and short-term investments, as well as our bank credit facility and an equipment financing line. Our bank credit facility consists of a revolving line of credit with borrowing availability equal to the lesser of $1.0 million or 80% of eligible accounts receivable. As of June 30, 2000, we had no amounts outstanding under this line of credit and a borrowing availability of $179,849. Borrowings outstanding under the credit line will bear interest at the bank's prime rate, which was 9.5% at June 30,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approximately $400,000 as of June 30, 2000.</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During 1999, cash used by operating activities was $2.6 million, which compares to $5.9 million and $3.9 million in 1998 and 1997. For the six months ended June 30, 2000, cash used by operating activities was $6.7 million. The cash usage in each of these periods was primarily attributable to our focus on the development of products and the expansion of our manufacturing operations and sales activities.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2" w:right="1440" w:bottom="1440" w:gutter="0" w:footer="0" w:header="0"/>
        </w:sectPr>
      </w:pPr>
    </w:p>
    <w:bookmarkStart w:id="28" w:name="page29"/>
    <w:bookmarkEnd w:id="28"/>
    <w:p>
      <w:pPr>
        <w:ind w:right="3039" w:firstLine="364"/>
        <w:spacing w:after="0" w:line="246" w:lineRule="auto"/>
        <w:rPr>
          <w:sz w:val="20"/>
          <w:szCs w:val="20"/>
          <w:color w:val="auto"/>
        </w:rPr>
      </w:pPr>
      <w:r>
        <w:rPr>
          <w:rFonts w:ascii="Courier New" w:cs="Courier New" w:eastAsia="Courier New" w:hAnsi="Courier New"/>
          <w:sz w:val="15"/>
          <w:szCs w:val="15"/>
          <w:color w:val="auto"/>
        </w:rPr>
        <w:t>Capital expenditures were $437,000, $793,000, $598,000 and $2.2 million in 1997, 1998, 1999 and the six months ended June 30, 2000. We made these expenditures to acquire engineering test equipment, to develop market demonstration units, and to purchase manufacturing equipment to facilitate production testing, as well as for general computer equipment and software for administrative purposes. We expect to incur approximately $2.0 million in additional costs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In June 2000, the Staff delayed the effective date of SAB No. 101 until October 2000. The Staff has disclosed that it is preparing a questions and answers guide related to SAB No. 101. While we do not expect SAB No. 101 or the questions and answers guide to have a material impact on our financial statements, until the Staff issues the questions and answers guide we will not be fully able to evaluate their impact.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3" w:right="1440" w:bottom="1440" w:gutter="0" w:footer="0" w:header="0"/>
        </w:sectPr>
      </w:pPr>
    </w:p>
    <w:bookmarkStart w:id="29" w:name="page30"/>
    <w:bookmarkEnd w:id="29"/>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recent summers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2" w:right="1440" w:bottom="1440" w:gutter="0" w:footer="0" w:header="0"/>
        </w:sectPr>
      </w:pPr>
    </w:p>
    <w:bookmarkStart w:id="30" w:name="page31"/>
    <w:bookmarkEnd w:id="30"/>
    <w:p>
      <w:pPr>
        <w:ind w:right="3039" w:firstLine="273"/>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other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"Uninterruptable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3" w:right="1440" w:bottom="0" w:gutter="0" w:footer="0" w:header="0"/>
        </w:sectPr>
      </w:pPr>
    </w:p>
    <w:p>
      <w:pPr>
        <w:spacing w:after="0" w:line="183"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 CPS configuration, if the power disturbance lasts longer than a few seconds, the standby generator is started to provide electric power for as long as required.</w:t>
      </w:r>
    </w:p>
    <w:p>
      <w:pPr>
        <w:spacing w:after="0" w:line="1226" w:lineRule="exact"/>
        <w:rPr>
          <w:sz w:val="20"/>
          <w:szCs w:val="20"/>
          <w:color w:val="auto"/>
        </w:rPr>
      </w:pPr>
    </w:p>
    <w:p>
      <w:pPr>
        <w:sectPr>
          <w:pgSz w:w="11900" w:h="16838" w:orient="portrait"/>
          <w:cols w:equalWidth="0" w:num="2">
            <w:col w:w="3540" w:space="80"/>
            <w:col w:w="6599"/>
          </w:cols>
          <w:pgMar w:left="240" w:top="643" w:right="1440" w:bottom="0" w:gutter="0" w:footer="0" w:header="0"/>
          <w:type w:val="continuous"/>
        </w:sectPr>
      </w:pPr>
    </w:p>
    <w:p>
      <w:pPr>
        <w:ind w:right="3039" w:firstLine="273"/>
        <w:spacing w:after="0" w:line="247"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0" w:gutter="0" w:footer="0" w:header="0"/>
          <w:type w:val="continuous"/>
        </w:sectPr>
      </w:pPr>
    </w:p>
    <w:bookmarkStart w:id="31" w:name="page32"/>
    <w:bookmarkEnd w:id="31"/>
    <w:p>
      <w:pPr>
        <w:ind w:right="3139"/>
        <w:spacing w:after="0" w:line="246" w:lineRule="auto"/>
        <w:rPr>
          <w:sz w:val="20"/>
          <w:szCs w:val="20"/>
          <w:color w:val="auto"/>
        </w:rPr>
      </w:pPr>
      <w:r>
        <w:rPr>
          <w:rFonts w:ascii="Courier New" w:cs="Courier New" w:eastAsia="Courier New" w:hAnsi="Courier New"/>
          <w:sz w:val="15"/>
          <w:szCs w:val="15"/>
          <w:color w:val="auto"/>
        </w:rPr>
        <w:t>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540" w:right="3419" w:hanging="183"/>
        <w:spacing w:after="0" w:line="247"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540" w:right="3139" w:hanging="183"/>
        <w:spacing w:after="0" w:line="247"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540" w:right="3139" w:hanging="183"/>
        <w:spacing w:after="0" w:line="246"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540" w:right="3139" w:hanging="183"/>
        <w:spacing w:after="0" w:line="246"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177" w:lineRule="exact"/>
        <w:rPr>
          <w:sz w:val="20"/>
          <w:szCs w:val="20"/>
          <w:color w:val="auto"/>
        </w:rPr>
      </w:pPr>
    </w:p>
    <w:p>
      <w:pPr>
        <w:ind w:left="540" w:right="3319" w:hanging="183"/>
        <w:spacing w:after="0" w:line="247"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540" w:right="3779" w:hanging="183"/>
        <w:spacing w:after="0" w:line="247"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540" w:right="3419" w:hanging="183"/>
        <w:spacing w:after="0" w:line="247"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540" w:right="3219" w:hanging="183"/>
        <w:spacing w:after="0" w:line="247" w:lineRule="auto"/>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32" w:name="page33"/>
    <w:bookmarkEnd w:id="32"/>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33" w:name="page34"/>
    <w:bookmarkEnd w:id="33"/>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fourth quarter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2" w:right="1440" w:bottom="1440" w:gutter="0" w:footer="0" w:header="0"/>
        </w:sectPr>
      </w:pPr>
    </w:p>
    <w:bookmarkStart w:id="34" w:name="page35"/>
    <w:bookmarkEnd w:id="34"/>
    <w:p>
      <w:pPr>
        <w:ind w:right="3499"/>
        <w:spacing w:after="0" w:line="247" w:lineRule="auto"/>
        <w:rPr>
          <w:sz w:val="20"/>
          <w:szCs w:val="20"/>
          <w:color w:val="auto"/>
        </w:rPr>
      </w:pPr>
      <w:r>
        <w:rPr>
          <w:rFonts w:ascii="Courier New" w:cs="Courier New" w:eastAsia="Courier New" w:hAnsi="Courier New"/>
          <w:sz w:val="15"/>
          <w:szCs w:val="15"/>
          <w:color w:val="auto"/>
        </w:rPr>
        <w:t>product. We intend to continue to use development and distribution relationships for our future products to achieve rapid market penetration.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With our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3" w:right="1440" w:bottom="1440" w:gutter="0" w:footer="0" w:header="0"/>
        </w:sectPr>
      </w:pPr>
    </w:p>
    <w:bookmarkStart w:id="35" w:name="page36"/>
    <w:bookmarkEnd w:id="35"/>
    <w:p>
      <w:pPr>
        <w:ind w:right="3039"/>
        <w:spacing w:after="0" w:line="246" w:lineRule="auto"/>
        <w:rPr>
          <w:sz w:val="20"/>
          <w:szCs w:val="20"/>
          <w:color w:val="auto"/>
        </w:rPr>
      </w:pPr>
      <w:r>
        <w:rPr>
          <w:rFonts w:ascii="Courier New" w:cs="Courier New" w:eastAsia="Courier New" w:hAnsi="Courier New"/>
          <w:sz w:val="15"/>
          <w:szCs w:val="15"/>
          <w:color w:val="auto"/>
        </w:rPr>
        <w:t>represented approximately $4.0 billion of the $11.0 billion power quality market in 1999. Conventional CPS systems currently satisfy market demand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or generators which are not coupled with a UPS, in the world. As even a short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250,000 installed gensets worldwide by adding our CleanSource UPS, thereby creating a CPS, represents a significant market opportunity.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established a strategic relationship with Caterpillar granting Caterpillar the world wide right to distribute CleanSource UPS. Caterpillar is a market leader in new genset sales and has the largest installed base of existing standby generators in the world. By offering a Caterpillar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will be selling, installing and servicing a complete CPS under a single brand name. We believe that this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2" w:right="1440" w:bottom="1440" w:gutter="0" w:footer="0" w:header="0"/>
        </w:sectPr>
      </w:pPr>
    </w:p>
    <w:bookmarkStart w:id="36" w:name="page37"/>
    <w:bookmarkEnd w:id="36"/>
    <w:p>
      <w:pPr>
        <w:ind w:right="3219"/>
        <w:spacing w:after="0" w:line="246" w:lineRule="auto"/>
        <w:rPr>
          <w:sz w:val="20"/>
          <w:szCs w:val="20"/>
          <w:color w:val="auto"/>
        </w:rPr>
      </w:pPr>
      <w:r>
        <w:rPr>
          <w:rFonts w:ascii="Courier New" w:cs="Courier New" w:eastAsia="Courier New" w:hAnsi="Courier New"/>
          <w:sz w:val="15"/>
          <w:szCs w:val="15"/>
          <w:color w:val="auto"/>
        </w:rPr>
        <w:t>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UPS Development Agreement. We entered into a development agreement with Caterpillar in January 1999 for the creation and distribution of CleanSource UPS marketed under the Caterpillar brand name. Under the development agreement, Caterpillar provided $5.0 million in funding to support the development of CleanSource UPS.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While we retained sole ownership of the underlying flywheel energy storage technology, we jointly own intellectual property associated with the integration of UPS electronics with CleanSource DC with Caterpillar. Either we or Caterpillar may license to other entities the intellectual property that we jointly own without seeking the consent of the other and all licensing revenue generated by licensing the joint intellectual property will be solely retained by the licensing party. However, we may not license the joint intellectual property to specifically identified competitors of Caterpillar until January 1, 2005.</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While this agreement has no expiration date, Caterpillar may terminate it at any time by giving us 90 days' advance written notice. Upon termination of the development agreement, the parties will have no further obligation to engage in any future development efforts or study the applicability of any such development. However, the ownership rights granted each party will survive any such termination.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Distribution Agreement. We also have a distribution agreement with Caterpillar. During 1999 and the first six months of 2000, we received approximately $412,000, or 39%, and $712,000, or 83%, respectively, of our product revenue from Caterpillar under this agreement. The principal provisions of this agreement are summarized below:</w:t>
      </w:r>
    </w:p>
    <w:p>
      <w:pPr>
        <w:spacing w:after="0" w:line="178" w:lineRule="exact"/>
        <w:rPr>
          <w:sz w:val="20"/>
          <w:szCs w:val="20"/>
          <w:color w:val="auto"/>
        </w:rPr>
      </w:pPr>
    </w:p>
    <w:p>
      <w:pPr>
        <w:ind w:left="360" w:right="4319" w:hanging="185"/>
        <w:spacing w:after="0" w:line="24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has semi-exclusive worldwide rights to distribute CleanSource UPS under the Caterpillar brand name;</w:t>
      </w:r>
    </w:p>
    <w:p>
      <w:pPr>
        <w:spacing w:after="0" w:line="175" w:lineRule="exact"/>
        <w:rPr>
          <w:sz w:val="20"/>
          <w:szCs w:val="20"/>
          <w:color w:val="auto"/>
        </w:rPr>
      </w:pPr>
    </w:p>
    <w:p>
      <w:pPr>
        <w:ind w:left="360" w:right="3319" w:hanging="185"/>
        <w:spacing w:after="0" w:line="246"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Caterpillar meets minimum annual sales requirements, we will not sell CleanSource UPS to specifically identified competitors of Caterpillar until January 1, 2005 or the termination of the distribution agreement; and</w:t>
      </w:r>
    </w:p>
    <w:p>
      <w:pPr>
        <w:spacing w:after="0" w:line="177" w:lineRule="exact"/>
        <w:rPr>
          <w:sz w:val="20"/>
          <w:szCs w:val="20"/>
          <w:color w:val="auto"/>
        </w:rPr>
      </w:pPr>
    </w:p>
    <w:p>
      <w:pPr>
        <w:ind w:left="360" w:right="3499" w:hanging="185"/>
        <w:spacing w:after="0" w:line="247"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provide Caterpillar the same warranty Caterpillar provides its customers procuring electric power generation products (one year from delivery).</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Caterpillar may continue to distribute CleanSource UPS until</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January 1, 2005. At such time the agreement will continue for additional six-month periods unless either party provides written notice to the other within ninety days of the end of the current period of its decision not to renew the agreement. The agreement may also be terminated by Caterpillar for our uncured material breach, if CleanSource UPS consistently and materially fails to meet our published specifications, if we substantially and continuously fail to meet agreed shipment dates for products ordered by Caterpillar. Finally, either party may terminate in the event of a change in control of the other.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Feasibility Study. Under our development agreement with Caterpillar, we are also studying the potential benefits of a new type of electromechanical technology for use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3" w:right="1440" w:bottom="1440" w:gutter="0" w:footer="0" w:header="0"/>
        </w:sectPr>
      </w:pPr>
    </w:p>
    <w:bookmarkStart w:id="37" w:name="page38"/>
    <w:bookmarkEnd w:id="37"/>
    <w:p>
      <w:pPr>
        <w:ind w:right="3039"/>
        <w:spacing w:after="0" w:line="246" w:lineRule="auto"/>
        <w:rPr>
          <w:sz w:val="20"/>
          <w:szCs w:val="20"/>
          <w:color w:val="auto"/>
        </w:rPr>
      </w:pPr>
      <w:r>
        <w:rPr>
          <w:rFonts w:ascii="Courier New" w:cs="Courier New" w:eastAsia="Courier New" w:hAnsi="Courier New"/>
          <w:sz w:val="15"/>
          <w:szCs w:val="15"/>
          <w:color w:val="auto"/>
        </w:rPr>
        <w:t>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transitioning the primary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sales of our CleanSource DC product to our largest UPS OEM, Powerware, accounted for 21% of our revenue. Sales of CleanSource DC to Micron Technologies and Lee Technologies also accounted for 16% and for 13% of our 1999 revenue, respectively. No other customer accounted for more than 10% of our revenue during 1999. Due to Caterpillar's semi-exclusive CleanSource UPS distribution rights, we anticipate that revenue from Caterpillar will comprise a majority of our revenue in 2000. In the six months ended June 30, 2000, Caterpillar accounted for 83%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energy--energy produced by motion--by spinning a compact rotor constantly in a low-friction environment. When the user requires short-term back-up power--i.e. when the electric power used to spin the flywheel fluctuates or is lost--the wheel's inertia causes it to continue spinning. The resulting kinetic energy of the spinning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2" w:right="1440" w:bottom="1440" w:gutter="0" w:footer="0" w:header="0"/>
        </w:sectPr>
      </w:pPr>
    </w:p>
    <w:bookmarkStart w:id="38" w:name="page39"/>
    <w:bookmarkEnd w:id="38"/>
    <w:p>
      <w:pPr>
        <w:jc w:val="both"/>
        <w:ind w:right="3219"/>
        <w:spacing w:after="0" w:line="247" w:lineRule="auto"/>
        <w:rPr>
          <w:sz w:val="20"/>
          <w:szCs w:val="20"/>
          <w:color w:val="auto"/>
        </w:rPr>
      </w:pPr>
      <w:r>
        <w:rPr>
          <w:rFonts w:ascii="Courier New" w:cs="Courier New" w:eastAsia="Courier New" w:hAnsi="Courier New"/>
          <w:sz w:val="15"/>
          <w:szCs w:val="15"/>
          <w:color w:val="auto"/>
        </w:rPr>
        <w:t>flywheel generates electricity for short periods. We believe that relative to other energy storage alternatives, our system provides high quality, reliable power at the lowest cost.</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39" w:name="page40"/>
    <w:bookmarkEnd w:id="39"/>
    <w:p>
      <w:pPr>
        <w:ind w:right="3039"/>
        <w:spacing w:after="0" w:line="246" w:lineRule="auto"/>
        <w:rPr>
          <w:sz w:val="20"/>
          <w:szCs w:val="20"/>
          <w:color w:val="auto"/>
        </w:rPr>
      </w:pPr>
      <w:r>
        <w:rPr>
          <w:rFonts w:ascii="Courier New" w:cs="Courier New" w:eastAsia="Courier New" w:hAnsi="Courier New"/>
          <w:sz w:val="15"/>
          <w:szCs w:val="15"/>
          <w:color w:val="auto"/>
        </w:rPr>
        <w:t>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June 30, 2000, our research and development efforts employed 53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3" w:right="1440" w:bottom="1440" w:gutter="0" w:footer="0" w:header="0"/>
        </w:sectPr>
      </w:pPr>
    </w:p>
    <w:bookmarkStart w:id="40" w:name="page41"/>
    <w:bookmarkEnd w:id="40"/>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all of our components on a purchase order basis and do not have written or long-term agreements with any of our suppliers.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We have an oral agreement with the power module supplier to maintain at least three months inventory for us, and we maintain an additional three months of inventory. We maintain approximately three months of inventory of the Motorola microprocessor. We intend to seek long-term agreements with key suppliers to ensure the adequate supply of components.</w:t>
      </w:r>
    </w:p>
    <w:p>
      <w:pPr>
        <w:spacing w:after="0" w:line="183"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32 patents before the United States' Patent and Trademark Office, 21 of which have issued, nine of which are pending, three of which have been allowed, and two of which we abandoned. Additionally, we have made 25 filings under the Patent Cooperation Treaty, and before the European Patent Office and the Japanese Patent Office. Of those patents prosecuted before the United States' Patent and Trademark Office, 17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CleanSource DC product competes with makers of lead-acid batteries and groups that are developing their own battery-free technologies. Industry sources estimate that the 2000 U.S. UPS lead-acid battery market will be approximately $400 million, substantially all of which will be comprised of sales of lead-acid batteries rather than battery-free technologies designed to replace lead-acid batteries, such as CleanSource DC. Of the makers of battery-free products, Piller and International Computer Power are the only companies currently offering flywheel energy storage systems that directly compete with the CleanSource DC. The Piller flywheel is only available with Piller's proprietary UPS system. In the 500kw and under power range, we believe that we have a substantial majority of the installed base of flywheel products. In the overall flywheel market, we believe that we and Piller each have approximately half of the installed flywheel units. The CleanSource DC is the only flywheel system that is sold and serviced by the major UPS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2" w:right="1440" w:bottom="1440" w:gutter="0" w:footer="0" w:header="0"/>
        </w:sectPr>
      </w:pPr>
    </w:p>
    <w:bookmarkStart w:id="41" w:name="page42"/>
    <w:bookmarkEnd w:id="41"/>
    <w:p>
      <w:pPr>
        <w:ind w:right="3419"/>
        <w:spacing w:after="0" w:line="246" w:lineRule="auto"/>
        <w:rPr>
          <w:sz w:val="20"/>
          <w:szCs w:val="20"/>
          <w:color w:val="auto"/>
        </w:rPr>
      </w:pPr>
      <w:r>
        <w:rPr>
          <w:rFonts w:ascii="Courier New" w:cs="Courier New" w:eastAsia="Courier New" w:hAnsi="Courier New"/>
          <w:sz w:val="15"/>
          <w:szCs w:val="15"/>
          <w:color w:val="auto"/>
        </w:rPr>
        <w:t>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35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expect our future CPS product to compete with manufacturers of CPS equipment for the telecommunications market, such as Alpha Technologies and the Lectro division of Invensys. While we believe that our future CPS product will offer the telecommunications market a superior technology to what currently exists, we may have difficulty competing with the existing product offerings in this market and may never develop a competitive product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June 30, 2000, we had 126 employees, with 53 engaged in research and development, 38 in manufacturing, 12 in sales, 7 in marketing and customer support, and 16 in administration, information technology and finance. None of our employees is represented by a labor union. We have not experienced any work stoppages and consider our relations with our employees to be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 The total monthly lease payments due under our leases for our facilities in Austin, Texas are approximately $35,000.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3" w:right="1440" w:bottom="1440" w:gutter="0" w:footer="0" w:header="0"/>
        </w:sectPr>
      </w:pPr>
    </w:p>
    <w:bookmarkStart w:id="42" w:name="page43"/>
    <w:bookmarkEnd w:id="42"/>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20" w:type="dxa"/>
            <w:vAlign w:val="bottom"/>
            <w:gridSpan w:val="2"/>
          </w:tcPr>
          <w:p>
            <w:pPr>
              <w:jc w:val="right"/>
              <w:ind w:right="274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Eric L.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S. Gino..................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Chief Financial</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Officer and Secretary</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E. Ott, 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Terrence L. Rock...............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S. Gino has served as our Chief Financial Officer, Vice President of Finance and Secretary since December 1999. From August 1995 to November 1999, Mr. Gino was the Chief Financial Officer and Executive Vice President of Finance of DuPont Photomasks, a public semiconductor component manufacturer. From October 1987 to August 1995, Mr. Gino held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3" w:name="page44"/>
    <w:bookmarkEnd w:id="43"/>
    <w:p>
      <w:pPr>
        <w:ind w:right="3039"/>
        <w:spacing w:after="0" w:line="247" w:lineRule="auto"/>
        <w:rPr>
          <w:sz w:val="20"/>
          <w:szCs w:val="20"/>
          <w:color w:val="auto"/>
        </w:rPr>
      </w:pPr>
      <w:r>
        <w:rPr>
          <w:rFonts w:ascii="Courier New" w:cs="Courier New" w:eastAsia="Courier New" w:hAnsi="Courier New"/>
          <w:sz w:val="15"/>
          <w:szCs w:val="15"/>
          <w:color w:val="auto"/>
        </w:rPr>
        <w:t>number of financial and business management positions with The DuPont Company. Mr. Gino holds a B.A. in economics from the University of California and an MBA from the University of Phoenix.</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co-founded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with VTEL Corporation, a public digital video communications company. He currently serves as the Vice President, Chief Strategic Officer and previously served as the Vice President, Chief Financial Officer of VTEL. Mr. Bond holds a B.S. in metalurgical engineering from the University of Illinois and an M.B.A. from Northwestern University.</w:t>
      </w:r>
    </w:p>
    <w:p>
      <w:pPr>
        <w:spacing w:after="0" w:line="179"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4" w:name="page45"/>
    <w:bookmarkEnd w:id="44"/>
    <w:p>
      <w:pPr>
        <w:ind w:right="3139"/>
        <w:spacing w:after="0" w:line="247" w:lineRule="auto"/>
        <w:rPr>
          <w:sz w:val="20"/>
          <w:szCs w:val="20"/>
          <w:color w:val="auto"/>
        </w:rPr>
      </w:pPr>
      <w:r>
        <w:rPr>
          <w:rFonts w:ascii="Courier New" w:cs="Courier New" w:eastAsia="Courier New" w:hAnsi="Courier New"/>
          <w:sz w:val="15"/>
          <w:szCs w:val="15"/>
          <w:color w:val="auto"/>
        </w:rPr>
        <w:t>and director of technical support in the Austin, Texas and Fremont, California divisions of Tandem Computers, Inc. Mr. Brent holds a B.S. in chemistry from Wichita State University.</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subject to severance agreements with Messrs. Pinkerton and Gino, which are described below.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the closing of this offering, we intend to file an amended certificate of incorporation pursuant to which our board of directors will be divided into three classes effective upon the closing of this offering. The members of each class will serve for a staggered, three-year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9" w:lineRule="exact"/>
        <w:rPr>
          <w:sz w:val="20"/>
          <w:szCs w:val="20"/>
          <w:color w:val="auto"/>
        </w:rPr>
      </w:pPr>
    </w:p>
    <w:p>
      <w:pPr>
        <w:ind w:left="360" w:right="3599" w:hanging="185"/>
        <w:spacing w:after="0" w:line="247"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 Lindsay R. Jones will be Class I Directors whose terms will expire at the 2001 annual meeting of stockholders;</w:t>
      </w:r>
    </w:p>
    <w:p>
      <w:pPr>
        <w:spacing w:after="0" w:line="174" w:lineRule="exact"/>
        <w:rPr>
          <w:sz w:val="20"/>
          <w:szCs w:val="20"/>
          <w:color w:val="auto"/>
        </w:rPr>
      </w:pPr>
    </w:p>
    <w:p>
      <w:pPr>
        <w:ind w:left="360" w:right="3499" w:hanging="185"/>
        <w:spacing w:after="0" w:line="24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5" w:name="page46"/>
    <w:bookmarkEnd w:id="45"/>
    <w:p>
      <w:pPr>
        <w:ind w:right="3319"/>
        <w:spacing w:after="0" w:line="247" w:lineRule="auto"/>
        <w:rPr>
          <w:sz w:val="20"/>
          <w:szCs w:val="20"/>
          <w:color w:val="auto"/>
        </w:rPr>
      </w:pPr>
      <w:r>
        <w:rPr>
          <w:rFonts w:ascii="Courier New" w:cs="Courier New" w:eastAsia="Courier New" w:hAnsi="Courier New"/>
          <w:sz w:val="15"/>
          <w:szCs w:val="15"/>
          <w:color w:val="auto"/>
        </w:rPr>
        <w:t>and management's procedures and policies relative to the adequacy of our internal accounting controls. The members of the audit committee are Messrs. Bond, Lindelow and Rock.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25,000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7,500 shares of common stock, provided such individual has served on the board for at least six months.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May 1996, we entered into a consulting services agreement with</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Eric L. Jones, the chairman of our board of directors. Mr. Jones receives a fee of $6,250 per month for providing business and strategic advisory consulting services to us. This agreement is terminable by either party upon 30 days' advance written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We have severance arrangements in place with the following executive officers:</w:t>
      </w:r>
    </w:p>
    <w:p>
      <w:pPr>
        <w:spacing w:after="0" w:line="175" w:lineRule="exact"/>
        <w:rPr>
          <w:sz w:val="20"/>
          <w:szCs w:val="20"/>
          <w:color w:val="auto"/>
        </w:rPr>
      </w:pPr>
    </w:p>
    <w:p>
      <w:pPr>
        <w:ind w:left="360" w:right="3419" w:hanging="185"/>
        <w:spacing w:after="0" w:line="246"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which would result in a severance payment of $105,000 based on Mr. Pinkerton's current salary. Additionally, if after six months of an inability to perform his duties due to a permanent disability Mr. Pinkerton is terminated, he will receive three months of severance pay, which would result in a severance payment of $52,500 based on Mr. Pinkerton's current salary.</w:t>
      </w:r>
    </w:p>
    <w:p>
      <w:pPr>
        <w:spacing w:after="0" w:line="180" w:lineRule="exact"/>
        <w:rPr>
          <w:sz w:val="20"/>
          <w:szCs w:val="20"/>
          <w:color w:val="auto"/>
        </w:rPr>
      </w:pPr>
    </w:p>
    <w:p>
      <w:pPr>
        <w:ind w:left="360" w:right="3319" w:hanging="185"/>
        <w:spacing w:after="0" w:line="246"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which would result in a severance payment of $100,000 based on Mr. Gino's current salary. Additionally, 75% of his then unvested options will accelerate and vest immediately.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15,120</w:t>
      </w:r>
    </w:p>
    <w:p>
      <w:pPr>
        <w:spacing w:after="0" w:line="5" w:lineRule="exact"/>
        <w:rPr>
          <w:sz w:val="20"/>
          <w:szCs w:val="20"/>
          <w:color w:val="auto"/>
        </w:rPr>
      </w:pPr>
    </w:p>
    <w:p>
      <w:pPr>
        <w:sectPr>
          <w:pgSz w:w="11900" w:h="16838" w:orient="portrait"/>
          <w:cols w:equalWidth="0" w:num="5">
            <w:col w:w="2620" w:space="380"/>
            <w:col w:w="620" w:space="640"/>
            <w:col w:w="28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28,080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10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7" w:name="page48"/>
    <w:bookmarkEnd w:id="47"/>
    <w:p>
      <w:pPr>
        <w:ind w:left="7" w:right="3039"/>
        <w:spacing w:after="0" w:line="246" w:lineRule="auto"/>
        <w:rPr>
          <w:sz w:val="20"/>
          <w:szCs w:val="20"/>
          <w:color w:val="auto"/>
        </w:rPr>
      </w:pPr>
      <w:r>
        <w:rPr>
          <w:rFonts w:ascii="Courier New" w:cs="Courier New" w:eastAsia="Courier New" w:hAnsi="Courier New"/>
          <w:sz w:val="15"/>
          <w:szCs w:val="15"/>
          <w:color w:val="auto"/>
        </w:rPr>
        <w:t>with us. The percentage of total options granted to our employees in the last fiscal year is based on options to purchase an aggregate of 1,276,560 shares of common stock granted in 1999. The following table sets forth information concerning the individual grants of stock options to each of our named executive officers in the year ended 1999.</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Percent of Total</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Options Granted</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to Employees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the Year Ended</w:t>
            </w:r>
          </w:p>
        </w:tc>
        <w:tc>
          <w:tcPr>
            <w:tcW w:w="1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Price per Expiration</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Granted(#)(1)</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2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13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15,120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$279,822</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$454,884</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William E. Ott(2).........</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28,080</w:t>
            </w:r>
          </w:p>
        </w:tc>
        <w:tc>
          <w:tcPr>
            <w:tcW w:w="1540" w:type="dxa"/>
            <w:vAlign w:val="bottom"/>
          </w:tcPr>
          <w:p>
            <w:pPr>
              <w:ind w:left="600"/>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519,669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884,784</w:t>
            </w:r>
          </w:p>
        </w:tc>
      </w:tr>
    </w:tbl>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Option Grants in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(1)These options are fully exercisable, but if the employee leaves us before he has vested in his option shares, we have the right to repurchase, at the exercise price, any shares that have been purchased but which are not vested.</w:t>
      </w:r>
    </w:p>
    <w:p>
      <w:pPr>
        <w:spacing w:after="0" w:line="2"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(2)These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7"/>
        <w:spacing w:after="0"/>
        <w:tabs>
          <w:tab w:leader="none" w:pos="506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7"/>
        <w:spacing w:after="0"/>
        <w:tabs>
          <w:tab w:leader="none" w:pos="4986"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7"/>
        <w:spacing w:after="0"/>
        <w:tabs>
          <w:tab w:leader="none" w:pos="498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James A. Balthazar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William E. Ott (3).........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240,840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$4,405,740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2,826,355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5">
            <w:col w:w="2447" w:space="280"/>
            <w:col w:w="640" w:space="720"/>
            <w:col w:w="180" w:space="640"/>
            <w:col w:w="900" w:space="640"/>
            <w:col w:w="377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(1)There was no public trading market for our common stock as of December 31, 1999. Accordingly, we have based the value of unexercised in-the-money options at December 31, 1999 on an assumed initial public offering price of $12.00 per share, less the applicable exercise price per share, multiplied by the number of shares underlying the options. Actual gains on exercise, if any, will depend on the value of our common stock on the date on which the shares are sold.</w:t>
      </w:r>
    </w:p>
    <w:p>
      <w:pPr>
        <w:spacing w:after="0" w:line="4" w:lineRule="exact"/>
        <w:rPr>
          <w:sz w:val="20"/>
          <w:szCs w:val="20"/>
          <w:color w:val="auto"/>
        </w:rPr>
      </w:pPr>
    </w:p>
    <w:p>
      <w:pPr>
        <w:ind w:left="367" w:right="3039" w:hanging="367"/>
        <w:spacing w:after="0" w:line="246" w:lineRule="auto"/>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Balthazar's options were exercisable as to all 371,520 shares, 250,424 of which were vested and 121,096 of which were unvested. If Mr. Balthazar leaves us before all of his option shares vest, we have the right to repurchase the unvested option shares at the exercise price paid per share.</w:t>
      </w:r>
    </w:p>
    <w:p>
      <w:pPr>
        <w:spacing w:after="0" w:line="3"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Ott's options were exercisable as to all 240,840 shares, 81,877 of which were vested and 158,963 of which were unvested. If Mr. Ott leaves us before all of his option shares vest, we have the right to repurchase the unvested option shares at the exercise price paid per share.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643" w:right="1440" w:bottom="1440" w:gutter="0" w:footer="0" w:header="0"/>
          <w:type w:val="continuous"/>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became effective on July 13, 2000. At that time, all outstanding options under the 1993 plan were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We have reserved 6,116,934 shares of our common stock for issuance under the 2000 plan. This share reserve consists of the number of shares carried over from the 1993 plan plus an additional increase of 2,592,000 shares. The share reserve under our 2000 plan will automatically increase on the first trading day in January of each calendar year, beginning with calendar year 2001, by an amount equal to two percent (2%) of the total number of shares of our common stock outstanding on the last trading day of December in the prior calendar year, but in no event will this annual increase exceed 1,080,000 shares. In addition, no participant in the 2000 plan may be granted stock options, separately exercisable stock appreciation rights or direct stock issuances for more than 1,080,000 shares of common stock in total in any calendar year.</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Programs. Our 2000 plan has three separate programs:</w:t>
      </w:r>
    </w:p>
    <w:p>
      <w:pPr>
        <w:spacing w:after="0" w:line="180" w:lineRule="exact"/>
        <w:rPr>
          <w:sz w:val="20"/>
          <w:szCs w:val="20"/>
          <w:color w:val="auto"/>
        </w:rPr>
      </w:pPr>
    </w:p>
    <w:p>
      <w:pPr>
        <w:ind w:left="540" w:right="3139" w:hanging="183"/>
        <w:spacing w:after="0" w:line="246" w:lineRule="auto"/>
        <w:tabs>
          <w:tab w:leader="none" w:pos="5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177" w:lineRule="exact"/>
        <w:rPr>
          <w:sz w:val="20"/>
          <w:szCs w:val="20"/>
          <w:color w:val="auto"/>
        </w:rPr>
      </w:pPr>
    </w:p>
    <w:p>
      <w:pPr>
        <w:ind w:left="540" w:right="3219" w:hanging="183"/>
        <w:spacing w:after="0" w:line="246"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540" w:right="3419" w:hanging="183"/>
        <w:spacing w:after="0" w:line="246"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or other independent advisors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540" w:right="3139" w:hanging="183"/>
        <w:spacing w:after="0" w:line="246" w:lineRule="auto"/>
        <w:tabs>
          <w:tab w:leader="none" w:pos="5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in shares of our common stock valued at the fair market value on the exercise date or with a promissory note. The option may also be exercised through a same-day sale program through an independent brokerage firm without any cash outlay by the optionee.</w:t>
      </w:r>
    </w:p>
    <w:p>
      <w:pPr>
        <w:spacing w:after="0" w:line="178" w:lineRule="exact"/>
        <w:rPr>
          <w:sz w:val="20"/>
          <w:szCs w:val="20"/>
          <w:color w:val="auto"/>
        </w:rPr>
      </w:pPr>
    </w:p>
    <w:p>
      <w:pPr>
        <w:ind w:left="540" w:right="3219" w:hanging="183"/>
        <w:spacing w:after="0" w:line="246"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49" w:name="page50"/>
    <w:bookmarkEnd w:id="49"/>
    <w:p>
      <w:pPr>
        <w:ind w:left="540" w:right="3219" w:hanging="183"/>
        <w:spacing w:after="0" w:line="246" w:lineRule="auto"/>
        <w:tabs>
          <w:tab w:leader="none" w:pos="5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 None of the options under the 1993 plan have any stock appreciation rights.</w:t>
      </w:r>
    </w:p>
    <w:p>
      <w:pPr>
        <w:spacing w:after="0" w:line="180"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540" w:right="3139" w:hanging="183"/>
        <w:spacing w:after="0" w:line="246" w:lineRule="auto"/>
        <w:tabs>
          <w:tab w:leader="none" w:pos="5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540" w:right="3139" w:hanging="183"/>
        <w:spacing w:after="0" w:line="246" w:lineRule="auto"/>
        <w:tabs>
          <w:tab w:leader="none" w:pos="5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540" w:right="3219" w:hanging="183"/>
        <w:spacing w:after="0" w:line="246" w:lineRule="auto"/>
        <w:tabs>
          <w:tab w:leader="none" w:pos="5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540" w:right="3139" w:hanging="183"/>
        <w:spacing w:after="0" w:line="246" w:lineRule="auto"/>
        <w:tabs>
          <w:tab w:leader="none" w:pos="5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and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25,000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50" w:name="page51"/>
    <w:bookmarkEnd w:id="50"/>
    <w:p>
      <w:pPr>
        <w:jc w:val="both"/>
        <w:ind w:right="3219"/>
        <w:spacing w:after="0" w:line="246" w:lineRule="auto"/>
        <w:rPr>
          <w:sz w:val="20"/>
          <w:szCs w:val="20"/>
          <w:color w:val="auto"/>
        </w:rPr>
      </w:pPr>
      <w:r>
        <w:rPr>
          <w:rFonts w:ascii="Courier New" w:cs="Courier New" w:eastAsia="Courier New" w:hAnsi="Courier New"/>
          <w:sz w:val="15"/>
          <w:szCs w:val="15"/>
          <w:color w:val="auto"/>
        </w:rPr>
        <w:t>of board service over the three-year period measured from the grant date. The shares subject to each annual 7,500 share automatic grant will vest upon the optionee's completion of one year of service measured from the grant date.</w:t>
      </w:r>
    </w:p>
    <w:p>
      <w:pPr>
        <w:spacing w:after="0" w:line="2"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However, the shares will immediately vest in full upon certain changes in control or ownership or upon the optionee's death or disability while then serving as a board member.</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board may amend or modify the 2000 plan at any time, subject to any required stockholder approval. The 2000 plan will terminate no later than July 12, 2010.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addition, at the discretion of our board of directors, at the time of the option grant or at any time when the option remains outstanding, if an optionee who is deemed to be a key employee by our board of directors is terminated other than for cause within a period not to exceed 18 months after the acquisition, that key employee's options will accelerate and become fully vested, and such options may be exercised at any time prior to the earlier of the expiration date of the option or the earlier termination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was adopted by our board of directors on July 13, 2000. After approval by our stockholders, the plan will become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1,080,000 shares of our common stock initially have been reserved for issuance. The reserve will automatically increase on the first trading day of January in each calendar year, beginning in calendar year 2001, by an amount equal to one-half of one percent (0.5%) of the total number of outstanding shares of our common stock on the last trading day of December in the prior calendar year. In no event will any such annual increase exceed 325,000 shares.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Offering periods. The plan has a series of successive offering periods, each with a maximum duration of 24 months. The initial offering period begins on the date of the signing of the underwriting agreement for this offering and ends on the last business day in July 2002. The next offering period will start on the first business day in August 2002, and subsequent offering periods will be set by our compensation committee.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its start date or any semi-annual entry date within that period. Semi-annual entry dates will occur on the first business day of February and August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 85%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3" w:right="1440" w:bottom="1440" w:gutter="0" w:footer="0" w:header="0"/>
        </w:sectPr>
      </w:pPr>
    </w:p>
    <w:bookmarkStart w:id="51" w:name="page52"/>
    <w:bookmarkEnd w:id="51"/>
    <w:p>
      <w:pPr>
        <w:ind w:right="3039"/>
        <w:spacing w:after="0" w:line="246" w:lineRule="auto"/>
        <w:rPr>
          <w:sz w:val="20"/>
          <w:szCs w:val="20"/>
          <w:color w:val="auto"/>
        </w:rPr>
      </w:pPr>
      <w:r>
        <w:rPr>
          <w:rFonts w:ascii="Courier New" w:cs="Courier New" w:eastAsia="Courier New" w:hAnsi="Courier New"/>
          <w:sz w:val="15"/>
          <w:szCs w:val="15"/>
          <w:color w:val="auto"/>
        </w:rPr>
        <w:t>fair market value per share on the semi-annual purchase date. Semi-annual purchase dates will occur on the last business day of January and July each year. However, a participant may not purchase more than 5,400 shares on any one semi-annual purchase date, and no more than 270,000 shares may be purchased in total by all participants on any one semi-annual purchase date. Our compensation committee will have the authority to change these limitations for any subsequent offering period.</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Termination and amendment of plan. The plan will terminate no later than the last business day of July 2010. The board may at any time amend, suspend or discontinue the plan. However, certain amendments may require stockholder approval.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3" w:right="1440" w:bottom="1440" w:gutter="0" w:footer="0" w:header="0"/>
        </w:sectPr>
      </w:pPr>
    </w:p>
    <w:bookmarkStart w:id="52" w:name="page53"/>
    <w:bookmarkEnd w:id="52"/>
    <w:p>
      <w:pPr>
        <w:ind w:left="2720"/>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720" w:right="3139" w:hanging="363"/>
        <w:spacing w:after="0" w:line="246" w:lineRule="auto"/>
        <w:tabs>
          <w:tab w:leader="none" w:pos="7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 The 1992 preferred stock is redeemable at such time as our board of directors determines that we have available funds in excess of our anticipated needs and is not convertible into common stock. Our board of directors may determine to redeem the 1992 preferred stock upon the consummation of this offering. As a result, Mr. Anderson would receive $50,000 in proceeds.</w:t>
      </w:r>
    </w:p>
    <w:p>
      <w:pPr>
        <w:spacing w:after="0" w:line="180" w:lineRule="exact"/>
        <w:rPr>
          <w:sz w:val="20"/>
          <w:szCs w:val="20"/>
          <w:color w:val="auto"/>
        </w:rPr>
      </w:pPr>
    </w:p>
    <w:p>
      <w:pPr>
        <w:ind w:left="720" w:right="3139" w:hanging="363"/>
        <w:spacing w:after="0" w:line="246" w:lineRule="auto"/>
        <w:tabs>
          <w:tab w:leader="none" w:pos="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an aggregate of 569,406 shares of our Series A preferred stock at a price of $1.52 per share, of which 263,158 shares were sold to SSM Venture Partners. We also issued to SSM a warrant to purchase 432,000 shares of common stock at an exercise price of $0.07 per share, which they exercised in May 2000. Concurrently with the closing of the financing, SSM Venture Partners became a 5% stockholder and Eric L. Jones became the chairman of our board of directors. SSM exercised this warrant in May 2000. Although the number of shares of Series A preferred stock outstanding will not be affected by the 2.16-for-1 split of our common stock, as a result of this stock split, each share of Series A preferred stock will automatically adjust and become convertible into 2.16 shares of our common stock. Accordingly, the 569,406 shares of Series A preferred stock will automatically convert into approximately 1,229,917 shares of our common stock upon the consummation of this offering, and the effective purchase price per share of common stock to be received upon such conversion will be $0.70.</w:t>
      </w:r>
    </w:p>
    <w:p>
      <w:pPr>
        <w:spacing w:after="0" w:line="185" w:lineRule="exact"/>
        <w:rPr>
          <w:sz w:val="20"/>
          <w:szCs w:val="20"/>
          <w:color w:val="auto"/>
        </w:rPr>
      </w:pPr>
    </w:p>
    <w:p>
      <w:pPr>
        <w:ind w:left="720" w:right="3139" w:hanging="363"/>
        <w:spacing w:after="0" w:line="246" w:lineRule="auto"/>
        <w:tabs>
          <w:tab w:leader="none" w:pos="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rFonts w:ascii="Courier New" w:cs="Courier New" w:eastAsia="Courier New" w:hAnsi="Courier New"/>
          <w:sz w:val="15"/>
          <w:szCs w:val="15"/>
          <w:color w:val="auto"/>
        </w:rPr>
      </w:pPr>
    </w:p>
    <w:p>
      <w:pPr>
        <w:ind w:left="720"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 In addition to this adjustment, although the number of shares of Series B preferred stock outstanding will not be affected by the 2.16-for-1 split of our common stock, as a result of this stock split, each share of Series B preferred stock will automatically adjust and become convertible into approximately 2.57 shares of our common stock. Accordingly, the 1,847,292 shares of Series B preferred stock will automatically convert into approximately 4,750,732 shares of our common stock upon the consummation of this offering, and the effective purchase price per share of common stock to be received upon such conversion will be $0.79.</w:t>
      </w:r>
    </w:p>
    <w:p>
      <w:pPr>
        <w:spacing w:after="0" w:line="183" w:lineRule="exact"/>
        <w:rPr>
          <w:sz w:val="20"/>
          <w:szCs w:val="20"/>
          <w:color w:val="auto"/>
        </w:rPr>
      </w:pPr>
    </w:p>
    <w:p>
      <w:pPr>
        <w:ind w:left="720" w:right="3139" w:hanging="363"/>
        <w:spacing w:after="0" w:line="246" w:lineRule="auto"/>
        <w:tabs>
          <w:tab w:leader="none" w:pos="7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 Although the number of shares of Series C preferred stock outstanding will not be affected by the 2.16-for-1 split of our common stock, as a result of this stock split, each share of Series C preferred stock will automatically adjust and become convertible into 2.16 shares of our common stock. Accordingly, the 1,726,620 shares of Series C preferred stock will automatically convert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3" w:name="page54"/>
    <w:bookmarkEnd w:id="53"/>
    <w:p>
      <w:pPr>
        <w:ind w:left="540" w:right="3599"/>
        <w:spacing w:after="0" w:line="246" w:lineRule="auto"/>
        <w:rPr>
          <w:sz w:val="20"/>
          <w:szCs w:val="20"/>
          <w:color w:val="auto"/>
        </w:rPr>
      </w:pPr>
      <w:r>
        <w:rPr>
          <w:rFonts w:ascii="Courier New" w:cs="Courier New" w:eastAsia="Courier New" w:hAnsi="Courier New"/>
          <w:sz w:val="15"/>
          <w:szCs w:val="15"/>
          <w:color w:val="auto"/>
        </w:rPr>
        <w:t>into approximately 3,729,499 shares of our common stock upon the consummation of this offering, and the effective purchase price per share of common stock to be received upon such conversion will be $1.61.</w:t>
      </w:r>
    </w:p>
    <w:p>
      <w:pPr>
        <w:spacing w:after="0" w:line="177" w:lineRule="exact"/>
        <w:rPr>
          <w:sz w:val="20"/>
          <w:szCs w:val="20"/>
          <w:color w:val="auto"/>
        </w:rPr>
      </w:pPr>
    </w:p>
    <w:p>
      <w:pPr>
        <w:ind w:left="540" w:right="3219" w:hanging="365"/>
        <w:spacing w:after="0" w:line="246"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1,652,894 shares of our Series D preferred stock at a price of $6.05 per share, of which 1,454,552 shares were sold to our 5% stockholders, directors and executive officers, including: Rho Management Trust I, CenterPoint Venture Fund I, SSM Venture Partners, funds affiliated with Austin Ventures, funds affiliated with Advent International Corp. and our director Jan H. Lindelow. Concurrently with the closing of the financing, Rho Management Trust I became a 5% stockholder. Although the number of shares of Series D preferred stock outstanding will not be affected by the 2.16-for-1 split of our common stock, as a result of this stock split, each share of Series D preferred stock will automatically adjust and become convertible into 2.16 shares of our common stock. Accordingly, the 1,652,894 shares of Series D preferred stock will automatically convert into approximately 3,570,251 shares of our common stock upon the consummation of this offering, and the effective purchase price per share of common stock to be received upon such conversion will be $2.80.</w:t>
      </w:r>
    </w:p>
    <w:p>
      <w:pPr>
        <w:spacing w:after="0" w:line="185" w:lineRule="exact"/>
        <w:rPr>
          <w:sz w:val="20"/>
          <w:szCs w:val="20"/>
          <w:color w:val="auto"/>
        </w:rPr>
      </w:pPr>
    </w:p>
    <w:p>
      <w:pPr>
        <w:ind w:left="540" w:right="3219" w:hanging="365"/>
        <w:spacing w:after="0" w:line="246" w:lineRule="auto"/>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1,935,872 shares of our Series E preferred stock at a price of $11.34 per share, of which 948,466 shares were sold to our 5% stockholders, directors and executive officers, including: Rho Management Trust I, funds affiliated with SSM Venture Partners, funds affiliated with Austin Ventures, CenterPoint Venture Fund II, L.P., funds affiliated with Advent International Corp., our director Richard E. Anderson and his brother Charles A. Anderson, and our chairman of the board Eric L. Jones. Although the number of shares of Series E preferred stock outstanding will not be affected by the 2.16-for-1 split of our common stock, as a result of this stock split, each share of Series E preferred stock will automatically adjust and become convertible into 2.16 shares of our common stock. Accordingly, the 1,935,872 shares of Series E preferred stock will automatically convert into approximately 4,181,484 shares of our common stock upon the consummation of this offering, and the effective purchase price per share of common stock to be received upon such conversion will be $5.25.</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convertible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3,560,410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2,367,498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3,421,911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2,338,165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2,320,864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106,514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37,411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86,400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Mr. Anderson's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Other Transactions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We believe that each of the foregoing transactions were entered into on terms which are no less favorable to us than could be obtained from unaffiliated third parties.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5" w:name="page56"/>
    <w:bookmarkEnd w:id="55"/>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June 30,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all of our directors and executive officers as a group.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29,662,399 shares, consisting of 12,200,516 shares of common stock outstanding as of June 30, 2000, and 17,461,883 shares issuable upon the conversion of the convertible preferred stock. Percentage of beneficial ownership after the offering is based on 37,662,399 shares, including the 8,000,000 shares to be sold in this offering.</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900,000 shares and Mr. Pinkerton may sell up to 300,000 shares. To the extent the underwriters' over-allotment option is exercised for less than 1,200,000 shares, the shares to be sold will be allocated pro rata between Active Power and Mr. Pinkerton. The post-offering ownership percentages in the table do not take into account any exercise of the underwriters' over-allotment option.</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4,240,421</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6,380,601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A. Balthazar...............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371,520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William E. Ott, 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327,240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Richard E. Anderson..............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360,750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83,700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16,839,487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3,421,911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3,992,410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2,320,864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below, the address for each person set forth in the table above is c/o Active Power, Inc., 11525 Stonehollow Drive, Suite 110, Austin, Texas 78758.</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955" w:gutter="0" w:footer="0" w:header="0"/>
        </w:sectPr>
      </w:pPr>
    </w:p>
    <w:bookmarkStart w:id="56" w:name="page57"/>
    <w:bookmarkEnd w:id="56"/>
    <w:p>
      <w:pPr>
        <w:ind w:left="185" w:right="3319" w:hanging="185"/>
        <w:spacing w:after="0" w:line="246" w:lineRule="auto"/>
        <w:tabs>
          <w:tab w:leader="none" w:pos="18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3,992,410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has a small limited partnership interest in CenterPoint Venture Fund II, L.P., but disclaims beneficial ownership of any Active Power shares held by CenterPoint Venture Partners except to the extent of his pecuniary interest in this fund, which is indeterminate at this time. Moreover, 38,880 of the shares indicated as owned by Mr. Jones are included because of his position as trustee of various trusts for the benefit of his family members. Mr. Jones disclaims beneficial ownership of these shares. Mr. Jones' address is c/o SSM Corporation, 110 Wild Basin Rd., Suite 280, Austin, Texas 78734.</w:t>
      </w:r>
    </w:p>
    <w:p>
      <w:pPr>
        <w:spacing w:after="0" w:line="185" w:lineRule="exact"/>
        <w:rPr>
          <w:sz w:val="20"/>
          <w:szCs w:val="20"/>
          <w:color w:val="auto"/>
        </w:rPr>
      </w:pPr>
    </w:p>
    <w:p>
      <w:pPr>
        <w:ind w:left="185" w:hanging="185"/>
        <w:spacing w:after="0"/>
        <w:tabs>
          <w:tab w:leader="none" w:pos="18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648,000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69,120 shares of common stock that are immediately exercisable. 37,800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679" w:hanging="185"/>
        <w:spacing w:after="0" w:line="247"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154,440 shares of common stock that are immediately exercisable.</w:t>
      </w:r>
    </w:p>
    <w:p>
      <w:pPr>
        <w:spacing w:after="0" w:line="175" w:lineRule="exact"/>
        <w:rPr>
          <w:sz w:val="20"/>
          <w:szCs w:val="20"/>
          <w:color w:val="auto"/>
        </w:rPr>
      </w:pPr>
    </w:p>
    <w:p>
      <w:pPr>
        <w:ind w:left="185" w:right="3599" w:hanging="185"/>
        <w:spacing w:after="0" w:line="246" w:lineRule="auto"/>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86,400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179" w:lineRule="exact"/>
        <w:rPr>
          <w:sz w:val="20"/>
          <w:szCs w:val="20"/>
          <w:color w:val="auto"/>
        </w:rPr>
      </w:pPr>
    </w:p>
    <w:p>
      <w:pPr>
        <w:ind w:left="185" w:right="3419" w:hanging="185"/>
        <w:spacing w:after="0" w:line="247"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27,000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43,200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w:t>
      </w:r>
    </w:p>
    <w:p>
      <w:pPr>
        <w:spacing w:after="0" w:line="181"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817" w:right="1440" w:bottom="1440" w:gutter="0" w:footer="0" w:header="0"/>
        </w:sectPr>
      </w:pPr>
    </w:p>
    <w:bookmarkStart w:id="57" w:name="page58"/>
    <w:bookmarkEnd w:id="57"/>
    <w:p>
      <w:pPr>
        <w:ind w:left="85" w:right="3499"/>
        <w:spacing w:after="0" w:line="247" w:lineRule="auto"/>
        <w:rPr>
          <w:sz w:val="20"/>
          <w:szCs w:val="20"/>
          <w:color w:val="auto"/>
        </w:rPr>
      </w:pPr>
      <w:r>
        <w:rPr>
          <w:rFonts w:ascii="Courier New" w:cs="Courier New" w:eastAsia="Courier New" w:hAnsi="Courier New"/>
          <w:sz w:val="15"/>
          <w:szCs w:val="15"/>
          <w:color w:val="auto"/>
        </w:rPr>
        <w:t>the extent of his pecuniary interest in these funds. Mr. Rock's address is c/o CenterPoint Venture Partners, 13455 Noel Road, Suite 1670, Two Galleria Tower, Dallas, Texas 75240.</w:t>
      </w:r>
    </w:p>
    <w:p>
      <w:pPr>
        <w:spacing w:after="0" w:line="174" w:lineRule="exact"/>
        <w:rPr>
          <w:sz w:val="20"/>
          <w:szCs w:val="20"/>
          <w:color w:val="auto"/>
        </w:rPr>
      </w:pPr>
    </w:p>
    <w:p>
      <w:pPr>
        <w:jc w:val="both"/>
        <w:ind w:left="185" w:right="3319" w:hanging="185"/>
        <w:spacing w:after="0" w:line="246" w:lineRule="auto"/>
        <w:tabs>
          <w:tab w:leader="none" w:pos="18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239,993 shares owned by David S. Gino, our chief financial officer, who is not named in the summary compensation table because he joined us in December 1999 and therefore did not have in excess of $100,000 in annual compensation.</w:t>
      </w:r>
    </w:p>
    <w:p>
      <w:pPr>
        <w:spacing w:after="0" w:line="2" w:lineRule="exact"/>
        <w:rPr>
          <w:rFonts w:ascii="Courier New" w:cs="Courier New" w:eastAsia="Courier New" w:hAnsi="Courier New"/>
          <w:sz w:val="15"/>
          <w:szCs w:val="15"/>
          <w:color w:val="auto"/>
        </w:rPr>
      </w:pPr>
    </w:p>
    <w:p>
      <w:pPr>
        <w:ind w:left="185"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185,993 shares of common stock are currently unvested and are subject to our right to repurchase them if Mr. Gino's services are terminated prior to vesting. Also please see the other notes with respect to our executive officers and directors above.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265" w:hanging="174"/>
        <w:spacing w:after="0"/>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1,104,557 shares held by Austin Ventures IV-A,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2,317,354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219" w:hanging="174"/>
        <w:spacing w:after="0" w:line="247" w:lineRule="auto"/>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1,894,004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464,031 shares held by Adwest Limited Partnership; and</w:t>
      </w:r>
    </w:p>
    <w:p>
      <w:pPr>
        <w:spacing w:after="0" w:line="180" w:lineRule="exact"/>
        <w:rPr>
          <w:sz w:val="20"/>
          <w:szCs w:val="20"/>
          <w:color w:val="auto"/>
        </w:rPr>
      </w:pPr>
    </w:p>
    <w:p>
      <w:pPr>
        <w:ind w:left="265" w:right="4139" w:hanging="174"/>
        <w:spacing w:after="0" w:line="247" w:lineRule="auto"/>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9,463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1,957,214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380,951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SSM Venture Partners. Includes:</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3,611,456 shares held by SSM Venture Partners, L.P.;</w:t>
      </w:r>
    </w:p>
    <w:p>
      <w:pPr>
        <w:spacing w:after="0" w:line="180" w:lineRule="exact"/>
        <w:rPr>
          <w:sz w:val="20"/>
          <w:szCs w:val="20"/>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318,703 shares held by SSM Venture Partners II,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62,251 shares held by SSM Venture Associates, L.P.</w:t>
      </w:r>
    </w:p>
    <w:p>
      <w:pPr>
        <w:spacing w:after="0" w:line="180" w:lineRule="exact"/>
        <w:rPr>
          <w:sz w:val="20"/>
          <w:szCs w:val="20"/>
          <w:color w:val="auto"/>
        </w:rPr>
      </w:pPr>
    </w:p>
    <w:p>
      <w:pPr>
        <w:ind w:left="265" w:right="295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265" w:right="3319" w:hanging="174"/>
        <w:spacing w:after="0" w:line="247" w:lineRule="auto"/>
        <w:tabs>
          <w:tab w:leader="none" w:pos="2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044"/>
          </w:cols>
          <w:pgMar w:left="415" w:top="643" w:right="1440" w:bottom="1440" w:gutter="0" w:footer="0" w:header="0"/>
        </w:sectPr>
      </w:pPr>
    </w:p>
    <w:bookmarkStart w:id="58" w:name="page59"/>
    <w:bookmarkEnd w:id="58"/>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400,000,000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12,200,516 shares of common stock outstanding that were held of record by 145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7,732,084 shares of convertible preferred stock and 420,000 shares of 1992 preferred stock outstanding. Upon the closing of a public offering in which we receive proceeds of at least $20.0 million and at an offering price of at least $7.88 per share, each share of our convertible preferred stock, other than our Series B preferred stock, will automatically convert into 2.16 shares of common stock. Each share of Series B preferred stock will convert into approximately 2.57 shares of common stock. The 420,000 shares of 1992 preferred stock outstanding are not convertible into our common stock. The 1992 preferred stock is redeemable at a price of $0.50 per share at such time as our board of directors determines that we have available funds in excess of anticipated needs. Our board of directors will determine whether to redeem the 1992 preferred stock following this offering.</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completion of this offering and the automatic conversion of our convertible preferred stock into common stock,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According to the terms of an investors' rights agreement between us, the holders of our preferred stock (other than the 1992 preferred stock), and certain members of our management who may be designated by the board of directors from time to time, including our chief executive officer,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3" w:right="1440" w:bottom="1440" w:gutter="0" w:footer="0" w:header="0"/>
        </w:sectPr>
      </w:pPr>
    </w:p>
    <w:bookmarkStart w:id="59" w:name="page60"/>
    <w:bookmarkEnd w:id="59"/>
    <w:p>
      <w:pPr>
        <w:ind w:right="3039"/>
        <w:spacing w:after="0" w:line="246" w:lineRule="auto"/>
        <w:rPr>
          <w:sz w:val="20"/>
          <w:szCs w:val="20"/>
          <w:color w:val="auto"/>
        </w:rPr>
      </w:pPr>
      <w:r>
        <w:rPr>
          <w:rFonts w:ascii="Courier New" w:cs="Courier New" w:eastAsia="Courier New" w:hAnsi="Courier New"/>
          <w:sz w:val="15"/>
          <w:szCs w:val="15"/>
          <w:color w:val="auto"/>
        </w:rPr>
        <w:t>Joseph F. Pinkerton, III, beginning 180 days after the closing of this offering, some of our stockholders, who will hold in the aggregate 17,893,883 shares of 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Additionally, the holders of 30,043,137 shares of common stock, including the 17,893,883 shares of common stock discussed in the previous paragraph, and members of our management and our chief executive officer Joseph F. Pinkerton, III, will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7" w:lineRule="auto"/>
        <w:tabs>
          <w:tab w:leader="none" w:pos="3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2" w:right="1440" w:bottom="1440" w:gutter="0" w:footer="0" w:header="0"/>
        </w:sectPr>
      </w:pPr>
    </w:p>
    <w:bookmarkStart w:id="60" w:name="page61"/>
    <w:bookmarkEnd w:id="60"/>
    <w:p>
      <w:pPr>
        <w:ind w:left="360" w:right="3219"/>
        <w:spacing w:after="0" w:line="246" w:lineRule="auto"/>
        <w:rPr>
          <w:sz w:val="20"/>
          <w:szCs w:val="20"/>
          <w:color w:val="auto"/>
        </w:rPr>
      </w:pPr>
      <w:r>
        <w:rPr>
          <w:rFonts w:ascii="Courier New" w:cs="Courier New" w:eastAsia="Courier New" w:hAnsi="Courier New"/>
          <w:sz w:val="15"/>
          <w:szCs w:val="15"/>
          <w:color w:val="auto"/>
        </w:rPr>
        <w:t>the corporation outstanding at the time the transaction commenced, excluding, for purposes of determining the number of shares outstanding, those shares owned (1) by persons who are directors and also officers and</w:t>
      </w:r>
    </w:p>
    <w:p>
      <w:pPr>
        <w:spacing w:after="0" w:line="2" w:lineRule="exact"/>
        <w:rPr>
          <w:sz w:val="20"/>
          <w:szCs w:val="20"/>
          <w:color w:val="auto"/>
        </w:rPr>
      </w:pPr>
    </w:p>
    <w:p>
      <w:pPr>
        <w:ind w:left="360" w:right="3319" w:hanging="3"/>
        <w:spacing w:after="0" w:line="247" w:lineRule="auto"/>
        <w:tabs>
          <w:tab w:leader="none" w:pos="72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360" w:right="3319" w:hanging="185"/>
        <w:spacing w:after="0" w:line="246"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Charter and Bylaws. 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Meetings of Stockholders. Our certificate of incorporation eliminates the ability of stockholders to act by written consent upon the closing of this offering.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1" w:name="page62"/>
    <w:bookmarkEnd w:id="61"/>
    <w:p>
      <w:pPr>
        <w:ind w:right="3039"/>
        <w:spacing w:after="0" w:line="246" w:lineRule="auto"/>
        <w:rPr>
          <w:sz w:val="20"/>
          <w:szCs w:val="20"/>
          <w:color w:val="auto"/>
        </w:rPr>
      </w:pPr>
      <w:r>
        <w:rPr>
          <w:rFonts w:ascii="Courier New" w:cs="Courier New" w:eastAsia="Courier New" w:hAnsi="Courier New"/>
          <w:sz w:val="15"/>
          <w:szCs w:val="15"/>
          <w:color w:val="auto"/>
        </w:rPr>
        <w:t>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 We also enter into indemnification agreements with our officers and directors.</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common stock has been approved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2" w:name="page63"/>
    <w:bookmarkEnd w:id="62"/>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37,662,399 shares of our common stock, based upon the number of shares outstanding as of June 30,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8,000,000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5,028,658</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5,034,617</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19,335,321</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263,803</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to vesting requirements and the</w:t>
            </w:r>
          </w:p>
        </w:tc>
      </w:tr>
    </w:tbl>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requirements of Rule 144 (subject, in some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cases, to volume limitations), Rule 144(k) or</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Rule 701.</w:t>
      </w: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3" w:name="page64"/>
    <w:bookmarkEnd w:id="63"/>
    <w:p>
      <w:pPr>
        <w:ind w:left="7" w:right="3039"/>
        <w:spacing w:after="0" w:line="246" w:lineRule="auto"/>
        <w:rPr>
          <w:sz w:val="20"/>
          <w:szCs w:val="20"/>
          <w:color w:val="auto"/>
        </w:rPr>
      </w:pPr>
      <w:r>
        <w:rPr>
          <w:rFonts w:ascii="Courier New" w:cs="Courier New" w:eastAsia="Courier New" w:hAnsi="Courier New"/>
          <w:sz w:val="15"/>
          <w:szCs w:val="15"/>
          <w:color w:val="auto"/>
        </w:rPr>
        <w:t>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w:t>
      </w:r>
    </w:p>
    <w:p>
      <w:pPr>
        <w:spacing w:after="0" w:line="10" w:lineRule="exact"/>
        <w:rPr>
          <w:sz w:val="20"/>
          <w:szCs w:val="20"/>
          <w:color w:val="auto"/>
        </w:rPr>
      </w:pPr>
    </w:p>
    <w:p>
      <w:pPr>
        <w:ind w:left="7" w:right="3039" w:hanging="7"/>
        <w:spacing w:after="0" w:line="246" w:lineRule="auto"/>
        <w:tabs>
          <w:tab w:leader="none" w:pos="3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1% of the number of shares of our common stock then outstanding, which will equal approximately 376,624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30,043,137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Stock Plans. As of June 30, 2000, options to purchase 3,423,194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 cover 7,196,934 shares. The Form S-8</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43" w:right="1440" w:bottom="1440" w:gutter="0" w:footer="0" w:header="0"/>
        </w:sectPr>
      </w:pPr>
    </w:p>
    <w:bookmarkStart w:id="64" w:name="page65"/>
    <w:bookmarkEnd w:id="64"/>
    <w:p>
      <w:pPr>
        <w:ind w:right="3139"/>
        <w:spacing w:after="0" w:line="246" w:lineRule="auto"/>
        <w:rPr>
          <w:sz w:val="20"/>
          <w:szCs w:val="20"/>
          <w:color w:val="auto"/>
        </w:rPr>
      </w:pPr>
      <w:r>
        <w:rPr>
          <w:rFonts w:ascii="Courier New" w:cs="Courier New" w:eastAsia="Courier New" w:hAnsi="Courier New"/>
          <w:sz w:val="15"/>
          <w:szCs w:val="15"/>
          <w:color w:val="auto"/>
        </w:rPr>
        <w:t>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5" w:name="page66"/>
    <w:bookmarkEnd w:id="65"/>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039" w:hanging="7"/>
        <w:spacing w:after="0" w:line="247" w:lineRule="auto"/>
        <w:tabs>
          <w:tab w:leader="none" w:pos="18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087" w:space="720"/>
            <w:col w:w="44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Goldman, Sachs &amp; Co.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 w:right="3679"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900,000 shares from Active Power and up to an additional 300,000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 exercise of the underwriters' option to purchase 900,000 additional shares from Active Power and 300,000 additional shares from the selling stockholder.</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Paid by Active Power</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540"/>
            <w:col w:w="46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360"/>
            <w:col w:w="460" w:space="720"/>
            <w:col w:w="3779"/>
          </w:cols>
          <w:pgMar w:left="233" w:top="643" w:right="1440" w:bottom="1440" w:gutter="0" w:footer="0" w:header="0"/>
          <w:type w:val="continuous"/>
        </w:sectPr>
      </w:pPr>
    </w:p>
    <w:p>
      <w:pPr>
        <w:spacing w:after="0" w:line="154" w:lineRule="exact"/>
        <w:rPr>
          <w:sz w:val="20"/>
          <w:szCs w:val="20"/>
          <w:color w:val="auto"/>
        </w:rPr>
      </w:pPr>
    </w:p>
    <w:p>
      <w:pPr>
        <w:jc w:val="both"/>
        <w:ind w:left="1187" w:right="280"/>
        <w:spacing w:after="0" w:line="247" w:lineRule="auto"/>
        <w:rPr>
          <w:sz w:val="20"/>
          <w:szCs w:val="20"/>
          <w:color w:val="auto"/>
        </w:rPr>
      </w:pPr>
      <w:r>
        <w:rPr>
          <w:rFonts w:ascii="Courier New" w:cs="Courier New" w:eastAsia="Courier New" w:hAnsi="Courier New"/>
          <w:sz w:val="15"/>
          <w:szCs w:val="15"/>
          <w:color w:val="auto"/>
        </w:rPr>
        <w:t>Paid by the Selling Stockholder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460"/>
            <w:col w:w="54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460"/>
            <w:col w:w="360" w:space="720"/>
            <w:col w:w="3779"/>
          </w:cols>
          <w:pgMar w:left="233" w:top="643" w:right="1440" w:bottom="1440" w:gutter="0" w:footer="0" w:header="0"/>
          <w:type w:val="continuous"/>
        </w:sectPr>
      </w:pPr>
    </w:p>
    <w:p>
      <w:pPr>
        <w:spacing w:after="0" w:line="1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643" w:right="1440" w:bottom="1440" w:gutter="0" w:footer="0" w:header="0"/>
          <w:type w:val="continuous"/>
        </w:sectPr>
      </w:pPr>
    </w:p>
    <w:bookmarkStart w:id="66" w:name="page67"/>
    <w:bookmarkEnd w:id="66"/>
    <w:p>
      <w:pPr>
        <w:ind w:right="3139"/>
        <w:spacing w:after="0" w:line="246" w:lineRule="auto"/>
        <w:rPr>
          <w:sz w:val="20"/>
          <w:szCs w:val="20"/>
          <w:color w:val="auto"/>
        </w:rPr>
      </w:pPr>
      <w:r>
        <w:rPr>
          <w:rFonts w:ascii="Courier New" w:cs="Courier New" w:eastAsia="Courier New" w:hAnsi="Courier New"/>
          <w:sz w:val="15"/>
          <w:szCs w:val="15"/>
          <w:color w:val="auto"/>
        </w:rPr>
        <w:t>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 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that may be purchased on the open market after completion of this offering or that may be acquired through the directed share program described below by stockholders or optionholders who are not subject to the reporting requirements of Section 16 of the Securities Exchange Act of 1934. This agreement does not apply to any existing employee benefit plans. See "Shares Eligible for Future Sale" for a discussion of certain transfer restrictions.</w:t>
      </w:r>
    </w:p>
    <w:p>
      <w:pPr>
        <w:spacing w:after="0" w:line="184"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common stock will be quoted on the Nasdaq National Market under the symbol "ACPW".</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Active Power and the selling stockholder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right="385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Active Power's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Nasdaq National Market, in the over-the-counter market or otherwise.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817" w:right="1440" w:bottom="1440" w:gutter="0" w:footer="0" w:header="0"/>
        </w:sectPr>
      </w:pPr>
    </w:p>
    <w:bookmarkStart w:id="67" w:name="page68"/>
    <w:bookmarkEnd w:id="67"/>
    <w:p>
      <w:pPr>
        <w:ind w:right="3039" w:firstLine="364"/>
        <w:spacing w:after="0" w:line="246" w:lineRule="auto"/>
        <w:rPr>
          <w:sz w:val="20"/>
          <w:szCs w:val="20"/>
          <w:color w:val="auto"/>
        </w:rPr>
      </w:pPr>
      <w:r>
        <w:rPr>
          <w:rFonts w:ascii="Courier New" w:cs="Courier New" w:eastAsia="Courier New" w:hAnsi="Courier New"/>
          <w:sz w:val="15"/>
          <w:szCs w:val="15"/>
          <w:color w:val="auto"/>
        </w:rPr>
        <w:t>A prospectus in electronic format may be made available on the Internet websites maintained by one or more underwriters or securities dealers. The representatives of the underwriters may agree to allocate a number of shares to underwriters for sale to their online brokerage account holders. Any Internet distribution will be allocated by the representatives to underwriters that may make Internet distributions on the same basis as other allocations. In addition, shares may be sold by the underwriters to securities dealers who resell shares to online brokerage account holders. Merrill Lynch, Pierce, Fenner &amp; Smith Incorporated and Morgan Stanley &amp; Co. Incorporated, through one of its affiliates, intend to allocate a limited number of shares for sale to their respective eligible online brokerage account holders.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At the request of Active Power, the underwriters are reserving up to 400,000 shares of common stock for sale at the initial public offering price through a directed share program to certain employees, vendors, customers, and other people and entities with whom we maintain business relationships. The number of shares of common stock available for sale to the general public in the public offering will be reduced to the extent these persons purchase these reserved shares. Any shares not so purchased will be offered by the underwriters to the general public on the same basis as the other shares offered hereby.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$1,161,534.</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17" w:right="1440" w:bottom="1440" w:gutter="0" w:footer="0" w:header="0"/>
        </w:sectPr>
      </w:pPr>
    </w:p>
    <w:bookmarkStart w:id="68" w:name="page69"/>
    <w:bookmarkEnd w:id="68"/>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69" w:name="page70"/>
    <w:bookmarkEnd w:id="6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and six months ended June 30, 1999 and 2000 (unaudited and pro forma)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Contents</w:t>
            </w:r>
          </w:p>
        </w:tc>
      </w:tr>
      <w:tr>
        <w:trPr>
          <w:trHeight w:val="699"/>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Report of Independent Auditors..............................................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0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Balance Sheets..............................................................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Operations....................................................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Stockholders' Deficit.........................................</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Cash Flows....................................................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Notes to Financial Statements...............................................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26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70" w:name="page71"/>
    <w:bookmarkEnd w:id="70"/>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 Note 12,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which the date is July 13,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71" w:name="page72"/>
    <w:bookmarkEnd w:id="7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right"/>
              <w:ind w:right="72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2,800,145</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$ 24,856,497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4,735,815</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1,408,822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16,281,758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16,281,758</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219,186</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37,758</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195,742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195,742</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807,273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933,692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1,883,713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1,883,713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5,331</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464,626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464,626</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sets...............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8,578,603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27,242,100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20,292,968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20,292,968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1,155,829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1,123,723</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2,974,432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2,974,432</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9,734,432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$ 28,365,823</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$ 23,267,400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LIABILITIES AND STOCKHOLDERS'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(DEFICIT) EQUITY</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252,888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195,680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982,874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203,091</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597,002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723,845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723,845</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notes payable........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55,324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570,182</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848,006</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 payable,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55,324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non-current lia-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57,593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6,843</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rights.................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3,614,000</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683,099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4,468,849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6,216,212 shares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7,732,084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 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(25,420,000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authorized, no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 on an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24,574,843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54,234,509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69,644,570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designated,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$210,000 liquidation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par value; 30,000,000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10,047,391,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10,787,126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12,235,115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in 1998,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29,696,998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on a pro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forma basis,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10,047</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10,787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29,697</w:t>
            </w:r>
          </w:p>
        </w:tc>
      </w:tr>
    </w:tbl>
    <w:p>
      <w:pPr>
        <w:sectPr>
          <w:pgSz w:w="11900" w:h="16838" w:orient="portrait"/>
          <w:cols w:equalWidth="0" w:num="1">
            <w:col w:w="10219"/>
          </w:cols>
          <w:pgMar w:left="240" w:top="642" w:right="1440"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Treasury stock, at</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34,599 shares..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69,627,108</w:t>
            </w: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Accumulated deficit...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(15,523,510)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(30,337,535)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and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9,734,432</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$ 23,267,400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039"/>
          </w:cols>
          <w:pgMar w:left="420" w:top="142" w:right="1440" w:bottom="1440" w:gutter="0" w:footer="0" w:header="0"/>
        </w:sectPr>
      </w:pPr>
    </w:p>
    <w:bookmarkStart w:id="73" w:name="page74"/>
    <w:bookmarkEnd w:id="7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473,421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861,190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$195,591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$3,449 and $313,241</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 the six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1999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2000, 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1,359,788</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1,697,043</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(886,367)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(835,853)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$909,605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$21,514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$740,905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2,073,707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3,657,655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$525,872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$39,556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$2,085,661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3,971,503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1,048,523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2,560,446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10,043,554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3,186,749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9,357,908</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(7,002,917)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(1,073,116)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(10,193,761)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174,102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(1,532,000)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(824,621)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(1,211,168)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(13,711,995)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Beneficial conversion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feature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issuance.........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(21,952,765)</w:t>
            </w:r>
          </w:p>
        </w:tc>
        <w:tc>
          <w:tcPr>
            <w:tcW w:w="14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$(4,474,475)</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9,589,462</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9,761,606</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10,983,192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bl>
    <w:p>
      <w:pPr>
        <w:sectPr>
          <w:pgSz w:w="11900" w:h="16838" w:orient="portrait"/>
          <w:cols w:equalWidth="0" w:num="1">
            <w:col w:w="10219"/>
          </w:cols>
          <w:pgMar w:left="240" w:top="643"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3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3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23,706,740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28,445,075</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142" w:right="1440" w:bottom="1440" w:gutter="0" w:footer="0" w:header="0"/>
        </w:sectPr>
      </w:pPr>
    </w:p>
    <w:bookmarkStart w:id="75" w:name="page76"/>
    <w:bookmarkEnd w:id="75"/>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9,715,939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$ 9,716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717,299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18,834</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(453,427)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(119,649)</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9,932,479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9,932</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(6,750,340)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(13,843)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10,047,391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10,047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740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135,592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1,380,000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(7,061,267)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7,061,267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1,631,068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(10,188,344)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(10,188,344)</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10,787,126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10,787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(30,337,535)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1,015,989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382,158</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383,174</w:t>
            </w:r>
          </w:p>
        </w:tc>
      </w:tr>
    </w:tbl>
    <w:p>
      <w:pPr>
        <w:sectPr>
          <w:pgSz w:w="11900" w:h="16838" w:orient="portrait"/>
          <w:cols w:equalWidth="0" w:num="1">
            <w:col w:w="11520"/>
          </w:cols>
          <w:pgMar w:left="240" w:top="643" w:right="1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(8,781,404)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8,781,404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3,139,807</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(13,711,995)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(13,711,995)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(1,460,913)</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(237,153)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with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rights..........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5,205,568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5,206,000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(11,065,274)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154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 June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30, 2000........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12,235,115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$ 48,083,889</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June 30,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29,696,998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$69,627,108</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440"/>
          </w:cols>
          <w:pgMar w:left="240" w:top="141" w:right="219" w:bottom="1440" w:gutter="0" w:footer="0" w:header="0"/>
        </w:sectPr>
      </w:pPr>
    </w:p>
    <w:bookmarkStart w:id="77" w:name="page78"/>
    <w:bookmarkEnd w:id="77"/>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2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300,314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361,652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1,532,000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(46,222)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(157,984)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(112,270)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(950,021)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13,684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(459,295)</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97,979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787,194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77,885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126,843</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(25,375)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(2,581,270)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(536,172)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(6,661,921)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3,810,887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(14,872,936)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(252,217)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(2,212,361)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3,558,670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(17,085,297)</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(64,524)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21,886,585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warrants............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21,908,714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(68,217)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357,850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22,056,352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2,954,281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(23,389,368)</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$ 5,754,426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20" w:type="dxa"/>
            <w:vAlign w:val="bottom"/>
          </w:tcPr>
          <w:p>
            <w:pPr>
              <w:spacing w:after="0"/>
              <w:rPr>
                <w:sz w:val="15"/>
                <w:szCs w:val="15"/>
                <w:color w:val="auto"/>
              </w:rPr>
            </w:pPr>
          </w:p>
        </w:tc>
        <w:tc>
          <w:tcPr>
            <w:tcW w:w="604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3" w:right="1440" w:bottom="81" w:gutter="0" w:footer="0" w:header="0"/>
        </w:sectPr>
      </w:pPr>
    </w:p>
    <w:bookmarkStart w:id="78" w:name="page79"/>
    <w:bookmarkEnd w:id="78"/>
    <w:p>
      <w:pPr>
        <w:ind w:left="13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9019"/>
          </w:cols>
          <w:pgMar w:left="1440" w:top="141" w:right="1440" w:bottom="1440" w:gutter="0" w:footer="0" w:header="0"/>
        </w:sectPr>
      </w:pP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141" w:right="1440" w:bottom="1440" w:gutter="0" w:footer="0" w:header="0"/>
          <w:type w:val="continuous"/>
        </w:sectPr>
      </w:pPr>
    </w:p>
    <w:bookmarkStart w:id="79" w:name="page80"/>
    <w:bookmarkEnd w:id="79"/>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financial information as of June 30, 2000 and for the six month periods ended June 30, 1999 and 2000 is unaudited, but reflects all adjustments, consisting of normal recurring accruals which are, in the opinion of management, necessary to fairly present such information in accordance with generally accepted accounting principles. Other assets at June 30, 2000 includes approximately $400,000 in deferred costs related to preparation for an anticipated initial public offer of common stock.</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Accordingly, Active Power has presented a pro forma balance sheet as if all outstanding shares of redeemable convertible preferred stock had converted into common stock as of June 30, 2000. Additionally, Active Power has presented pro forma basic and diluted loss per share assuming the conversion of all outstanding shares of redeemable convertible preferred stock into common stock from their respective dates of issuance.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80" w:name="page81"/>
    <w:bookmarkEnd w:id="8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before reserves,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662,436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$1,287,031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$1,502,772</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197,607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998,264</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194,426</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183,323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$1,069,747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$1,745,441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$2,695,462</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81" w:name="page82"/>
    <w:bookmarkEnd w:id="81"/>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2" w:name="page83"/>
    <w:bookmarkEnd w:id="8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Except for the three months ended March 31, 2000, Active Power's calculation of diluted loss per share excludes shares of common stock issuable upon exercise of warrants and employee stock options because inclusion would be antidilutive.</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Six Months</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9,798,036</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9,978,796</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10,150,138</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11,374,608</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(208,574)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(189,389)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(140,584)</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(391,416)</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9,589,462</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13,697,186</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17,461,883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23,706,740</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28,445,075</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42" w:right="1440" w:bottom="113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2,099,396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1,229,917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7,582,452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4,750,732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9,201,127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3,729,499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12,129,507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3,570,251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23,222,027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4,181,484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54,236,609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17,461,883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$0.50 per share. Subject to the rights of the Series A, Series B, Series C, Series D and Series E Convertible Preferred Stock, in the event of involuntary liquidation, holders of the 1992 Preferred Stock shall be entitled to receive $0.50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$7.88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2" w:right="1440" w:bottom="1440" w:gutter="0" w:footer="0" w:header="0"/>
          <w:type w:val="continuous"/>
        </w:sectPr>
      </w:pPr>
    </w:p>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$0.70, 0.94, 1.61,</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2.80, and 5.25,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Active Power to the holders of the 1992 Preferred Stock and Common Stock, an amount for each share of $0.70, 0.94, 1.61, 2.80, and 5.25,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Conversion Feature</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Series E Convertible Preferred Stock issuance price (after giving effect to the 2.16-for-1 Common Stock split ratio discussed in Note 12) was lower than the value determined subsequently by the board of directors. Active Power recorded this difference as a beneficial conversion feature, increasing net loss to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$0.056, $0.075, $0.129, $0.224 and $0.42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Active Power's sale of shares of Common Stock in a firm commitment underwritten initial public offering or upon approval of a sufficient number of Series A, Series B, Series C, Series D and Series E Convertible Preferred stockholders as determined in Active Power's Certificate of Incorporation.</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2" w:right="1440" w:bottom="1440" w:gutter="0" w:footer="0" w:header="0"/>
          <w:type w:val="continuous"/>
        </w:sectPr>
      </w:pPr>
    </w:p>
    <w:bookmarkStart w:id="85" w:name="page86"/>
    <w:bookmarkEnd w:id="85"/>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Changes in redeemable stocks are as follows: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49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$54,234,509</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March 1995, Active Power issued a warrant to purchase 432,000 shares of Common Stock with an exercise price of $0.07 per share. The warrant is exercisable from the date of issuance until the earlier of the consummation of a public offering of Common Stock or March 2002. In the event the holders of the Series A Convertible Preferred Stock have elected to require Active Power to redeem the outstanding Series A Convertible Preferred Stock, then the holders of Common Stock purchased under this warrant may require Active Power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of $3.6 million against income in 1999. Active Power estimated the fair value of the warrants using the Black-Scholes pricing model with the following assumptions: expected volatility of 50%; expected life of 1 year, expected dividend yield of 0%, and risk-free rate of 6%.</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have exercise prices of $5.25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w:t>
      </w:r>
    </w:p>
    <w:p>
      <w:pPr>
        <w:spacing w:after="0" w:line="181"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432,000 and 864,000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3" w:right="1440" w:bottom="1440" w:gutter="0" w:footer="0" w:header="0"/>
        </w:sectPr>
      </w:pPr>
    </w:p>
    <w:bookmarkStart w:id="86" w:name="page87"/>
    <w:bookmarkEnd w:id="86"/>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$2.67 per share. The weighted average fair value of warrants granted during the year ended December 31, 1999 was $3.19.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9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5,443,200 shares of its Common Stock for issuance under its 1993 Stock Option Plan. The options are immediately exercisable upon grant and vest over periods ranging from immediate to four years. Active Power has repurchase rights for unvested shares purchased by optionees. At December 31, 1998 and 1999, 149,066 and 217,957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1,452,060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2,371,680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699,840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2,900,448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1,276,560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3,347,927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748,038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$1.97</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................................30,240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.09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853,200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.42</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1,680,407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$1.04</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784,080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3,347,927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7" w:name="page88"/>
    <w:bookmarkEnd w:id="87"/>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1,535,579 and 2,574,431,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1,275,480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3180" w:type="dxa"/>
            <w:vAlign w:val="bottom"/>
          </w:tcPr>
          <w:p>
            <w:pPr>
              <w:spacing w:after="0"/>
              <w:rPr>
                <w:sz w:val="15"/>
                <w:szCs w:val="15"/>
                <w:color w:val="auto"/>
              </w:rPr>
            </w:pPr>
          </w:p>
        </w:tc>
        <w:tc>
          <w:tcPr>
            <w:tcW w:w="36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stock-based compensation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1,712,263</w:t>
            </w: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(10,269,539)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(4,580,178)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(8,803,117)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(39,929,205)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3" w:right="1440" w:bottom="1440" w:gutter="0" w:footer="0" w:header="0"/>
        </w:sectPr>
      </w:pPr>
    </w:p>
    <w:bookmarkStart w:id="88" w:name="page89"/>
    <w:bookmarkEnd w:id="8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18,423,266</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exercise of Common Stock Warrants.............................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864,000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issuance under the 1993 Stock Option Plan.....................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5,443,200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6,807,000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(6,807,000)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spacing w:after="0"/>
              <w:rPr>
                <w:sz w:val="15"/>
                <w:szCs w:val="15"/>
                <w:color w:val="auto"/>
              </w:rPr>
            </w:pPr>
          </w:p>
        </w:tc>
      </w:tr>
      <w:tr>
        <w:trPr>
          <w:trHeight w:val="175"/>
        </w:trPr>
        <w:tc>
          <w:tcPr>
            <w:tcW w:w="228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 (34.0)%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expense................</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 taxes, net of</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federal benefit........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Permanent items and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valuation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allowance..............</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9" w:name="page90"/>
    <w:bookmarkEnd w:id="8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The office space and manufacturing facilities lease is noncancelable and obligates Active Power to pay taxes and maintenance costs. In addition, Active Power leases certain equipment under a noncancelable lease.</w:t>
      </w:r>
    </w:p>
    <w:p>
      <w:pPr>
        <w:spacing w:after="0" w:line="177"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Rent expense for the years ended December 31, 1997, 1998, and 1999 was $147,324, $276,637, and $353,502,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entered into a consulting services agreement with the Chairman of the board of directors. In accordance with the consulting agreement, the Chairman receives $6,250 in consulting fees monthly. During 1997, 1998 and 1999, Active Power paid $75,000 in fees per year under this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3" w:right="1440" w:bottom="1440" w:gutter="0" w:footer="0" w:header="0"/>
        </w:sectPr>
      </w:pPr>
    </w:p>
    <w:bookmarkStart w:id="90" w:name="page91"/>
    <w:bookmarkEnd w:id="90"/>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During the six months ended June 30, 2000, Active Power granted 1,101,924 stock options to employees with exercise prices below the fair value determined subsequently by the board of directors of the underlying shares and, accordingly, recorded $8,781,404 additional unearned stock compensation which will be recognized as non-cash compensation over the options' vesting period of four years.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3" w:right="1440" w:bottom="1440" w:gutter="0" w:footer="0" w:header="0"/>
        </w:sectPr>
      </w:pPr>
    </w:p>
    <w:bookmarkStart w:id="91" w:name="page92"/>
    <w:bookmarkEnd w:id="91"/>
    <w:p>
      <w:pPr>
        <w:ind w:left="2720"/>
        <w:spacing w:after="0"/>
        <w:rPr>
          <w:sz w:val="20"/>
          <w:szCs w:val="20"/>
          <w:color w:val="auto"/>
        </w:rPr>
      </w:pPr>
      <w:r>
        <w:rPr>
          <w:rFonts w:ascii="Courier New" w:cs="Courier New" w:eastAsia="Courier New" w:hAnsi="Courier New"/>
          <w:sz w:val="15"/>
          <w:szCs w:val="15"/>
          <w:color w:val="auto"/>
        </w:rPr>
        <w:t>[INSIDE BACK COVER]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[Description of graphics: This graphic depicts "The CleanSource Flywheel Technology" and is an expanded view with a cross-section showing the components of the Active Power flywheel assembly.]</w:t>
      </w:r>
    </w:p>
    <w:p>
      <w:pPr>
        <w:sectPr>
          <w:pgSz w:w="11900" w:h="16838" w:orient="portrait"/>
          <w:cols w:equalWidth="0" w:num="1">
            <w:col w:w="10219"/>
          </w:cols>
          <w:pgMar w:left="240" w:top="642" w:right="1440" w:bottom="1440" w:gutter="0" w:footer="0" w:header="0"/>
        </w:sectPr>
      </w:pPr>
    </w:p>
    <w:bookmarkStart w:id="92" w:name="page93"/>
    <w:bookmarkEnd w:id="92"/>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2620" w:type="dxa"/>
            <w:vAlign w:val="bottom"/>
          </w:tcPr>
          <w:p>
            <w:pPr>
              <w:spacing w:after="0"/>
              <w:rPr>
                <w:sz w:val="24"/>
                <w:szCs w:val="24"/>
                <w:color w:val="auto"/>
              </w:rPr>
            </w:pPr>
          </w:p>
        </w:tc>
        <w:tc>
          <w:tcPr>
            <w:tcW w:w="406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2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2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262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r>
        <w:trPr>
          <w:trHeight w:val="350"/>
        </w:trPr>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Through and including</w:t>
            </w:r>
          </w:p>
        </w:tc>
        <w:tc>
          <w:tcPr>
            <w:tcW w:w="4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2000 (the 25th day after the date of this</w:t>
            </w:r>
          </w:p>
        </w:tc>
        <w:tc>
          <w:tcPr>
            <w:tcW w:w="400" w:type="dxa"/>
            <w:vAlign w:val="bottom"/>
          </w:tcPr>
          <w:p>
            <w:pPr>
              <w:spacing w:after="0"/>
              <w:rPr>
                <w:sz w:val="24"/>
                <w:szCs w:val="24"/>
                <w:color w:val="auto"/>
              </w:rPr>
            </w:pPr>
          </w:p>
        </w:tc>
      </w:tr>
    </w:tbl>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8,000,000 Shares</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[ACTIVE POWER LOGO]</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sectPr>
      </w:pPr>
    </w:p>
    <w:bookmarkStart w:id="93" w:name="page94"/>
    <w:bookmarkEnd w:id="93"/>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common stock being registered. All amounts are estimates except the SEC registration fee and the NASD filing fee. No portion of the costs and expenses is being borne by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SEC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31,574</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12,460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Nasdaq National Market listing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Blue sky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fees..............................................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Miscellaneous....................................................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$1,161,534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his conduct was unlawful.</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Article V of our Amended and Restated Certificate of Incorporation provides that no director shall be liable to us or our stockholders for monetary damages for breach of fiduciary duty as a director to the fullest extent permitted by the DGCL.</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Reference is made to Section 8 of the underwriting agreement, the form of which is filed as Exhibit 1.1 hereto, pursuant to which the underwriters have agreed to indemnify our officers and directors against certain liabilities under the Securities Act.</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entered into Indemnification Agreements with each director, a form of which is filed as Exhibit 10.1 to this Registration Statement. Pursuant to such agreements, we will be obligated, to the extent permitted by applicable law, to indemnify such directors against all expenses, judgments, fines and penalties incurred in connection with the defense or settlement of any actions brought against them by reason of the fact that they were our directors or assumed certain responsibilities at the direction of us. We also intend to purchase additional directors and officers liability insurance in order to limit our exposure to liability for indemnification of directors and officers.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3" w:right="1440" w:bottom="1440" w:gutter="0" w:footer="0" w:header="0"/>
        </w:sectPr>
      </w:pPr>
    </w:p>
    <w:bookmarkStart w:id="94" w:name="page95"/>
    <w:bookmarkEnd w:id="94"/>
    <w:p>
      <w:pPr>
        <w:ind w:left="7"/>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Since April 1, 1997, we have issued unregistered securities to a number of people as described below. None of these transactions involved any underwriters, underwriting discounts or commissions, or any public offering, and we believe that each transaction was exempt from the registration requirements of the Securities Act in reliance on Section 4(2) thereof, Regulation D promulgated thereunder or Rule 701 in accordance with compensatory benefit plans and contracts relating to compensation as provided under Rule</w:t>
      </w:r>
    </w:p>
    <w:p>
      <w:pPr>
        <w:spacing w:after="0" w:line="4" w:lineRule="exact"/>
        <w:rPr>
          <w:sz w:val="20"/>
          <w:szCs w:val="20"/>
          <w:color w:val="auto"/>
        </w:rPr>
      </w:pPr>
    </w:p>
    <w:p>
      <w:pPr>
        <w:ind w:left="7" w:right="3039" w:hanging="7"/>
        <w:spacing w:after="0" w:line="246" w:lineRule="auto"/>
        <w:tabs>
          <w:tab w:leader="none" w:pos="46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recipients of securities in each transaction represented their intention to acquire the securities for investment purposes only and not with a view to or for sale in connection with any distribution thereof, and appropriate legends were affixed to the share certificates and instruments issued in the transactions. All recipients had adequate access, through their relationship with us, to information about us. The following common stock share amounts, the weighted average exercise price and the exercise price per share of the shares of common stock issued under our 1993 Stock Option Plan, as amended, are adjusted to reflect the exchange of each share of common stock and preferred stock issued by our predecessor Texas corporation for two shares of a similar series of common stock or preferred stock in the successor Delaware corporation. In addition, although the number of shares of preferred stock will not be affected by our 2.16-for-1 common stock split to be effected prior to the date of this offering, as a result of this stock split each share of our Series C, Series D and Series E preferred stock will automatically adjust and become convertible into 2.16 shares of our common stock upon the consummation of this offering.</w:t>
      </w:r>
    </w:p>
    <w:p>
      <w:pPr>
        <w:spacing w:after="0" w:line="185" w:lineRule="exact"/>
        <w:rPr>
          <w:sz w:val="20"/>
          <w:szCs w:val="20"/>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issued 1,726,620 shares of Series C Convertible Preferred Stock for $3.475 per share, for an aggregate purchase price of $6,000,004. The following stockholders purchased our Series C Convertible Preferred Stock: CenterPoint Venture Partners, L.P.; funds affiliated with Advent International Corporation; SSM Venture Partners, L.P.; and funds affiliated with Austin Ventures.</w:t>
      </w:r>
    </w:p>
    <w:p>
      <w:pPr>
        <w:spacing w:after="0" w:line="178" w:lineRule="exact"/>
        <w:rPr>
          <w:rFonts w:ascii="Courier New" w:cs="Courier New" w:eastAsia="Courier New" w:hAnsi="Courier New"/>
          <w:sz w:val="15"/>
          <w:szCs w:val="15"/>
          <w:color w:val="auto"/>
        </w:rPr>
      </w:pPr>
    </w:p>
    <w:p>
      <w:pPr>
        <w:ind w:left="547" w:right="34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issued 1,652,894 shares of Series D Convertible Preferred Stock for $6.05 per share, for an aggregate purchase price of $10,000,008. The following stockholders purchased our Series D Convertible Preferred Stock: Rho Management Trust I; CenterPoint Venture Partners, L.P.; funds affiliated with Advent International Corporation; SSM Venture Partners, L.P.; funds affiliated with Austin Ventures; Sevin Rosen Management Company; and several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1,935,872 shares of Series E Convertible Preferred Stock for $11.34 per share, for an aggregate purchase price of $21,952,765. The following stockholders purchased our Series E Convertible Preferred Stock: Stephens-Active Power, LLC; ECT Merchant Investments Corp.; Rho Management Trust I; CenterPoint Venture Fund II, L.P.; funds affiliated with SSM Venture Partners; funds affiliated with Austin Ventures; funds affiliated with Advent International Corporation; and a number of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in connection with the sale of Series E preferred stock, we issued warrants to purchase an aggregate of 432,000 shares of Common Stock at an exercise price of $5.25 per share to Enron North America Corp. and Stephens Group, Inc.</w:t>
      </w:r>
    </w:p>
    <w:p>
      <w:pPr>
        <w:spacing w:after="0" w:line="177"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June 30, 2000, we have issued and sold 2,350,266 shares of our Common Stock to directors, employees and consultants upon the exercise of options granted under our 1993 Stock Option Plan at a weighted average exercise price of $0.23.</w:t>
      </w:r>
    </w:p>
    <w:p>
      <w:pPr>
        <w:spacing w:after="0" w:line="177" w:lineRule="exact"/>
        <w:rPr>
          <w:rFonts w:ascii="Courier New" w:cs="Courier New" w:eastAsia="Courier New" w:hAnsi="Courier New"/>
          <w:sz w:val="15"/>
          <w:szCs w:val="15"/>
          <w:color w:val="auto"/>
        </w:rPr>
      </w:pPr>
    </w:p>
    <w:p>
      <w:pPr>
        <w:ind w:left="547" w:right="3679" w:hanging="365"/>
        <w:spacing w:after="0" w:line="247" w:lineRule="auto"/>
        <w:tabs>
          <w:tab w:leader="none" w:pos="54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2000, we issued 432,000 shares of our common stock at an exercise price of $0.07 per share to SSM Venture Partners upon the exercise of a warrant issued to SSM Venture Partners in 1995.</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6"/>
          </w:cols>
          <w:pgMar w:left="233" w:top="642" w:right="1440" w:bottom="1440" w:gutter="0" w:footer="0" w:header="0"/>
        </w:sectPr>
      </w:pPr>
    </w:p>
    <w:bookmarkStart w:id="95" w:name="page96"/>
    <w:bookmarkEnd w:id="95"/>
    <w:p>
      <w:pPr>
        <w:ind w:left="540" w:right="3319" w:hanging="365"/>
        <w:spacing w:after="0" w:line="247" w:lineRule="auto"/>
        <w:tabs>
          <w:tab w:leader="none" w:pos="5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during the past three years, we have granted options to purchase common stock to employees, directors and consultants. The following table sets forth information regarding these grants.</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Exercise Price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September 17,</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1997 to April 30,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1,466,640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.16</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June 11, 1998</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December 10,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393,120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March 1, 1999</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June 17,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468,720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September 9,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192,240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November 11,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518,400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December 9, 1999 to February 29,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737,424</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March 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1.39</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April 13, 2000</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235,440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4.17</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May 11, 2000 to June 30,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174,420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6.94</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1.1*</w:t>
        <w:tab/>
        <w:t>Form of Underwriting Agreement</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3.1*</w:t>
        <w:tab/>
        <w:t>Form of Amended and Restated Certificate of Incorporation</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3.2*</w:t>
        <w:tab/>
        <w:t>Form of Amended and Restated Bylaws</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4.1*</w:t>
        <w:tab/>
        <w:t>Specimen certificate for shares of Common Stock</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4.2*</w:t>
        <w:tab/>
        <w:t>Warrant to Purchase Common Stock issued to Enron North America Corp.</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4.3*</w:t>
        <w:tab/>
        <w:t>Warrant to Purchase Common Stock issued to Stephens Group, Inc.</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5.1*</w:t>
        <w:tab/>
        <w:t>Opinion of Brobeck, Phleger &amp; Harrison LLP</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w:t>
        <w:tab/>
        <w:t>Form of Indemnity Agreement</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10.2*</w:t>
        <w:tab/>
        <w:t>Active Power, Inc. 2000 Stock Incentive Plan</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10.3*</w:t>
        <w:tab/>
        <w:t>Active Power, Inc. 2000 Employee Stock Purchase Plan</w:t>
      </w:r>
    </w:p>
    <w:p>
      <w:pPr>
        <w:spacing w:after="0" w:line="180" w:lineRule="exact"/>
        <w:rPr>
          <w:sz w:val="20"/>
          <w:szCs w:val="20"/>
          <w:color w:val="auto"/>
        </w:rPr>
      </w:pPr>
    </w:p>
    <w:p>
      <w:pPr>
        <w:ind w:left="720" w:right="31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10.4*</w:t>
        <w:tab/>
        <w:t>Second Amended and Restated Investors' Rights Agreement by and between Active Power, Inc. and certain of its stockholders</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10.5*</w:t>
        <w:tab/>
        <w:t>Consulting Services Agreement by and between Active Power and Eric L.</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720" w:right="3039" w:hanging="635"/>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10.7*</w:t>
        <w:tab/>
        <w:t>Credit Terms and Conditions by and between Active Power, Inc. and Imperial Bank</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10.8*</w:t>
        <w:tab/>
        <w:t>Security and Loan Agreement by and between Active Power, Inc. and Imperial Bank</w:t>
      </w:r>
    </w:p>
    <w:p>
      <w:pPr>
        <w:spacing w:after="0" w:line="175" w:lineRule="exact"/>
        <w:rPr>
          <w:sz w:val="20"/>
          <w:szCs w:val="20"/>
          <w:color w:val="auto"/>
        </w:rPr>
      </w:pPr>
    </w:p>
    <w:p>
      <w:pPr>
        <w:ind w:left="720" w:right="30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10.9*</w:t>
        <w:tab/>
        <w:t>Lease Agreement by and between Active Power, Inc. and Braker Phase III, Ltd.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10.10* First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10.11* Second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10.12* Third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3" w:right="1440" w:bottom="1440" w:gutter="0" w:footer="0" w:header="0"/>
        </w:sectPr>
      </w:pPr>
    </w:p>
    <w:bookmarkStart w:id="96" w:name="page97"/>
    <w:bookmarkEnd w:id="96"/>
    <w:p>
      <w:pPr>
        <w:ind w:left="87"/>
        <w:spacing w:after="0"/>
        <w:rPr>
          <w:sz w:val="20"/>
          <w:szCs w:val="20"/>
          <w:color w:val="auto"/>
        </w:rPr>
      </w:pPr>
      <w:r>
        <w:rPr>
          <w:rFonts w:ascii="Courier New" w:cs="Courier New" w:eastAsia="Courier New" w:hAnsi="Courier New"/>
          <w:sz w:val="15"/>
          <w:szCs w:val="15"/>
          <w:color w:val="auto"/>
        </w:rPr>
        <w:t>10.13* Fourth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10.14* Fifth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727" w:right="3859" w:hanging="635"/>
        <w:spacing w:after="0" w:line="246" w:lineRule="auto"/>
        <w:rPr>
          <w:sz w:val="20"/>
          <w:szCs w:val="20"/>
          <w:color w:val="auto"/>
        </w:rPr>
      </w:pPr>
      <w:r>
        <w:rPr>
          <w:rFonts w:ascii="Courier New" w:cs="Courier New" w:eastAsia="Courier New" w:hAnsi="Courier New"/>
          <w:sz w:val="15"/>
          <w:szCs w:val="15"/>
          <w:color w:val="auto"/>
        </w:rPr>
        <w:t>10.15* Sublease Agreement by and between Active Power, Inc. and Video Associates Laboratories, Inc.</w:t>
      </w:r>
    </w:p>
    <w:p>
      <w:pPr>
        <w:spacing w:after="0" w:line="1" w:lineRule="exact"/>
        <w:rPr>
          <w:sz w:val="20"/>
          <w:szCs w:val="20"/>
          <w:color w:val="auto"/>
        </w:rPr>
      </w:pPr>
    </w:p>
    <w:p>
      <w:pPr>
        <w:ind w:left="727" w:right="3319" w:hanging="635"/>
        <w:spacing w:after="0" w:line="247" w:lineRule="auto"/>
        <w:rPr>
          <w:sz w:val="20"/>
          <w:szCs w:val="20"/>
          <w:color w:val="auto"/>
        </w:rPr>
      </w:pPr>
      <w:r>
        <w:rPr>
          <w:rFonts w:ascii="Courier New" w:cs="Courier New" w:eastAsia="Courier New" w:hAnsi="Courier New"/>
          <w:sz w:val="15"/>
          <w:szCs w:val="15"/>
          <w:color w:val="auto"/>
        </w:rPr>
        <w:t>10.16* Employee offer letter (including severance arrangements) from Active Power, Inc. to David S. Gino</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23.1** Consent of Ernst &amp; Young LLP</w:t>
      </w:r>
    </w:p>
    <w:p>
      <w:pPr>
        <w:spacing w:after="0" w:line="180" w:lineRule="exact"/>
        <w:rPr>
          <w:sz w:val="20"/>
          <w:szCs w:val="20"/>
          <w:color w:val="auto"/>
        </w:rPr>
      </w:pPr>
    </w:p>
    <w:p>
      <w:pPr>
        <w:ind w:left="727" w:right="3679" w:hanging="635"/>
        <w:spacing w:after="0" w:line="247" w:lineRule="auto"/>
        <w:tabs>
          <w:tab w:leader="none" w:pos="706" w:val="left"/>
        </w:tabs>
        <w:rPr>
          <w:sz w:val="20"/>
          <w:szCs w:val="20"/>
          <w:color w:val="auto"/>
        </w:rPr>
      </w:pPr>
      <w:r>
        <w:rPr>
          <w:rFonts w:ascii="Courier New" w:cs="Courier New" w:eastAsia="Courier New" w:hAnsi="Courier New"/>
          <w:sz w:val="15"/>
          <w:szCs w:val="15"/>
          <w:color w:val="auto"/>
        </w:rPr>
        <w:t>23.2*</w:t>
        <w:tab/>
        <w:t>Consent of Brobeck, Phleger &amp; Harrison LLP (Reference is made to Exhibit 5.1)</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24.1*</w:t>
        <w:tab/>
        <w:t>Power of Attorney (see page II-5)</w:t>
      </w:r>
    </w:p>
    <w:p>
      <w:pPr>
        <w:spacing w:after="0" w:line="180"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27.1*</w:t>
        <w:tab/>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8499" w:hanging="7"/>
        <w:spacing w:after="0" w:line="246" w:lineRule="auto"/>
        <w:tabs>
          <w:tab w:leader="none" w:pos="1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Application has been made to the Commission to seek confidential treatment of</w:t>
      </w:r>
    </w:p>
    <w:p>
      <w:pPr>
        <w:spacing w:after="0" w:line="4" w:lineRule="exact"/>
        <w:rPr>
          <w:rFonts w:ascii="Courier New" w:cs="Courier New" w:eastAsia="Courier New" w:hAnsi="Courier New"/>
          <w:sz w:val="15"/>
          <w:szCs w:val="15"/>
          <w:color w:val="auto"/>
        </w:rPr>
      </w:pPr>
    </w:p>
    <w:p>
      <w:pPr>
        <w:jc w:val="both"/>
        <w:ind w:left="18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provisions of this exhibit. Omitted material for which confidential treatment has been requested has been filed separately with the Commission.</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17. Undertakings.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our directors, officers and controlling persons pursuant to the DGCL, our Certificate of Incorporation or our Bylaws, the underwriting agreement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hereunder,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18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We hereby undertake that:</w:t>
      </w:r>
    </w:p>
    <w:p>
      <w:pPr>
        <w:spacing w:after="0" w:line="180" w:lineRule="exact"/>
        <w:rPr>
          <w:sz w:val="20"/>
          <w:szCs w:val="20"/>
          <w:color w:val="auto"/>
        </w:rPr>
      </w:pPr>
    </w:p>
    <w:p>
      <w:pPr>
        <w:ind w:left="547" w:right="341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992" w:right="1440" w:bottom="1440" w:gutter="0" w:footer="0" w:header="0"/>
        </w:sectPr>
      </w:pPr>
    </w:p>
    <w:bookmarkStart w:id="97" w:name="page98"/>
    <w:bookmarkEnd w:id="97"/>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as amended, we have duly caused this registration statement to be signed on our behalf by the undersigned, thereunto duly authorized, in the city of Austin, state of Texas, on August 2, 2000.</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100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60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699"/>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/s/ Joseph F. Pinkerton, III</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President, Chief Executive</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Joseph F. Pinkerton, III</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40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5"/>
                <w:szCs w:val="15"/>
                <w:color w:val="auto"/>
              </w:rPr>
            </w:pPr>
          </w:p>
        </w:tc>
      </w:tr>
      <w:tr>
        <w:trPr>
          <w:trHeight w:val="52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 Officer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and</w:t>
            </w: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Eric L. Jones</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Richard E. Anderson</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Rodney S. Bond</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Lindsay R. Jones</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Jan H. Lindelow</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2,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Terrence L. Rock</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87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*By: 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0"/>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Attorney-in-Fact</w:t>
            </w:r>
          </w:p>
        </w:tc>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0"/>
        </w:trPr>
        <w:tc>
          <w:tcPr>
            <w:tcW w:w="344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II-5</w:t>
            </w:r>
          </w:p>
        </w:tc>
        <w:tc>
          <w:tcPr>
            <w:tcW w:w="140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8" w:name="page99"/>
    <w:bookmarkEnd w:id="98"/>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643" w:right="1440" w:bottom="9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27" w:space="720"/>
            <w:col w:w="6679"/>
          </w:cols>
          <w:pgMar w:left="233" w:top="643" w:right="1440" w:bottom="950" w:gutter="0" w:footer="0" w:header="0"/>
          <w:type w:val="continuous"/>
        </w:sectPr>
      </w:pPr>
    </w:p>
    <w:p>
      <w:pPr>
        <w:spacing w:after="0" w:line="15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Active Power, Inc. 2000 Stock Incentive Plan</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Active Power, Inc. 2000 Employee Stock Purchase Plan</w:t>
      </w:r>
    </w:p>
    <w:p>
      <w:pPr>
        <w:spacing w:after="0" w:line="180" w:lineRule="exact"/>
        <w:rPr>
          <w:sz w:val="20"/>
          <w:szCs w:val="20"/>
          <w:color w:val="auto"/>
        </w:rPr>
      </w:pPr>
    </w:p>
    <w:p>
      <w:pPr>
        <w:ind w:left="827" w:right="303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7" w:right="36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10.6+*</w:t>
        <w:tab/>
        <w:t>Phase II Development and Phase III Feasibility Agreement by and between Active Power, Inc. and Caterpillar Inc.</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7" w:right="34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10.10*</w:t>
        <w:tab/>
        <w:t>First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10.11*</w:t>
        <w:tab/>
        <w:t>Second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10.12*</w:t>
        <w:tab/>
        <w:t>Third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10.13*</w:t>
        <w:tab/>
        <w:t>Fourth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10.14*</w:t>
        <w:tab/>
        <w:t>Fifth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27" w:right="37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tab/>
        <w:t>Sublease Agreement by and between Active Power, Inc. and Video Associates Laboratories, Inc.</w:t>
      </w:r>
    </w:p>
    <w:p>
      <w:pPr>
        <w:spacing w:after="0" w:line="175"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tab/>
        <w:t>Employee offer letter (including severance arrangements) from Active Power, Inc. to David S. Gino</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23.1**</w:t>
        <w:tab/>
        <w:t>Consent of Ernst &amp; Young LLP</w:t>
      </w:r>
    </w:p>
    <w:p>
      <w:pPr>
        <w:spacing w:after="0" w:line="180" w:lineRule="exact"/>
        <w:rPr>
          <w:sz w:val="20"/>
          <w:szCs w:val="20"/>
          <w:color w:val="auto"/>
        </w:rPr>
      </w:pPr>
    </w:p>
    <w:p>
      <w:pPr>
        <w:ind w:left="827" w:right="35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(see page II-5)</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8499" w:hanging="7"/>
        <w:spacing w:after="0" w:line="246" w:lineRule="auto"/>
        <w:tabs>
          <w:tab w:leader="none" w:pos="18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Application has been made to the Commission to seek confidential treatment of</w:t>
      </w:r>
    </w:p>
    <w:p>
      <w:pPr>
        <w:spacing w:after="0" w:line="4" w:lineRule="exact"/>
        <w:rPr>
          <w:rFonts w:ascii="Courier New" w:cs="Courier New" w:eastAsia="Courier New" w:hAnsi="Courier New"/>
          <w:sz w:val="15"/>
          <w:szCs w:val="15"/>
          <w:color w:val="auto"/>
        </w:rPr>
      </w:pPr>
    </w:p>
    <w:p>
      <w:pPr>
        <w:jc w:val="both"/>
        <w:ind w:left="18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provisions of this exhibit. Omitted material for which confidential treatment has been requested has been filed separately with the Commission.</w:t>
      </w:r>
    </w:p>
    <w:p>
      <w:pPr>
        <w:sectPr>
          <w:pgSz w:w="11900" w:h="16838" w:orient="portrait"/>
          <w:cols w:equalWidth="0" w:num="1">
            <w:col w:w="10226"/>
          </w:cols>
          <w:pgMar w:left="233" w:top="643" w:right="1440" w:bottom="950" w:gutter="0" w:footer="0" w:header="0"/>
          <w:type w:val="continuous"/>
        </w:sectPr>
      </w:pPr>
    </w:p>
    <w:bookmarkStart w:id="99" w:name="page100"/>
    <w:bookmarkEnd w:id="99"/>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February 26, 2000 (except for Note 12, as to which the date is July 13, 2000) in the Registration Statement (Form S-1 No. 333-36946) and related Prospectus of Active Power, Inc. for the registration of 8,000,000 shares of its common stock.</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 2000</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decimal"/>
      <w:start w:val="2"/>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1)"/>
      <w:numFmt w:val="decimal"/>
      <w:start w:val="2"/>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lowerLetter"/>
      <w:start w:val="3"/>
    </w:lvl>
  </w:abstractNum>
  <w:abstractNum w:abstractNumId="96">
    <w:nsid w:val="7DE67713"/>
    <w:multiLevelType w:val="hybridMultilevel"/>
    <w:lvl w:ilvl="0">
      <w:lvlJc w:val="left"/>
      <w:lvlText w:val="&amp;"/>
      <w:numFmt w:val="bullet"/>
      <w:start w:val="1"/>
    </w:lvl>
  </w:abstractNum>
  <w:abstractNum w:abstractNumId="97">
    <w:nsid w:val="555C55B5"/>
    <w:multiLevelType w:val="hybridMultilevel"/>
    <w:lvl w:ilvl="0">
      <w:lvlJc w:val="left"/>
      <w:lvlText w:val="%1."/>
      <w:numFmt w:val="decimal"/>
      <w:start w:val="1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1."/>
      <w:numFmt w:val="decimal"/>
      <w:start w:val="701"/>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decimal"/>
      <w:start w:val="7"/>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2019-12-14T18:23:56Z</dcterms:created>
  <dcterms:modified xsi:type="dcterms:W3CDTF">2019-12-14T18:23:56Z</dcterms:modified>
</cp:coreProperties>
</file>