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83"/>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3874770</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 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8"/>
        </w:trPr>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Page 2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Nell M. Blatherwick</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10,247,457</w:t>
            </w:r>
            <w:r>
              <w:rPr>
                <w:rFonts w:ascii="Times New Roman" w:cs="Times New Roman" w:eastAsia="Times New Roman" w:hAnsi="Times New Roman"/>
                <w:sz w:val="26"/>
                <w:szCs w:val="26"/>
                <w:color w:val="auto"/>
                <w:vertAlign w:val="superscript"/>
              </w:rPr>
              <w:t>(1)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5"/>
                <w:szCs w:val="15"/>
                <w:color w:val="auto"/>
              </w:rPr>
            </w:pPr>
          </w:p>
        </w:tc>
        <w:tc>
          <w:tcPr>
            <w:tcW w:w="65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1,145,694</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2"/>
                <w:szCs w:val="12"/>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1,145,694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1"/>
                <w:szCs w:val="11"/>
                <w:b w:val="1"/>
                <w:bCs w:val="1"/>
                <w:color w:val="auto"/>
              </w:rPr>
              <w:t>(2)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4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1,011,307 shares of Class B common stock (“Class B Stock”), which as of the date of this statement entitles its holder to ten votes for each share held.</w:t>
      </w:r>
    </w:p>
    <w:p>
      <w:pPr>
        <w:ind w:left="424"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1.3%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0984"/>
          </w:cols>
          <w:pgMar w:left="436" w:top="266" w:right="47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8"/>
        </w:trPr>
        <w:tc>
          <w:tcPr>
            <w:tcW w:w="2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4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Page 3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David M. McCoy</w:t>
            </w:r>
          </w:p>
        </w:tc>
        <w:tc>
          <w:tcPr>
            <w:tcW w:w="654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4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4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40" w:type="dxa"/>
            <w:vAlign w:val="bottom"/>
          </w:tcPr>
          <w:p>
            <w:pPr>
              <w:spacing w:after="0"/>
              <w:rPr>
                <w:sz w:val="20"/>
                <w:szCs w:val="20"/>
                <w:color w:val="auto"/>
              </w:rPr>
            </w:pPr>
          </w:p>
        </w:tc>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tcPr>
          <w:p>
            <w:pPr>
              <w:spacing w:after="0"/>
              <w:rPr>
                <w:sz w:val="20"/>
                <w:szCs w:val="20"/>
                <w:color w:val="auto"/>
              </w:rPr>
            </w:pPr>
          </w:p>
        </w:tc>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28,172,130 </w:t>
            </w:r>
            <w:r>
              <w:rPr>
                <w:rFonts w:ascii="Times New Roman" w:cs="Times New Roman" w:eastAsia="Times New Roman" w:hAnsi="Times New Roman"/>
                <w:sz w:val="26"/>
                <w:szCs w:val="26"/>
                <w:color w:val="auto"/>
                <w:vertAlign w:val="superscript"/>
              </w:rPr>
              <w:t>(1)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54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5"/>
                <w:szCs w:val="15"/>
                <w:color w:val="auto"/>
              </w:rPr>
            </w:pPr>
          </w:p>
        </w:tc>
        <w:tc>
          <w:tcPr>
            <w:tcW w:w="65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2,817,213</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Pr>
          <w:p>
            <w:pPr>
              <w:spacing w:after="0"/>
              <w:rPr>
                <w:sz w:val="12"/>
                <w:szCs w:val="12"/>
                <w:color w:val="auto"/>
              </w:rPr>
            </w:pPr>
          </w:p>
        </w:tc>
        <w:tc>
          <w:tcPr>
            <w:tcW w:w="6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654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2,817,213</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1"/>
                <w:szCs w:val="11"/>
                <w:b w:val="1"/>
                <w:bCs w:val="1"/>
                <w:color w:val="auto"/>
              </w:rPr>
              <w:t>(2)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3.5%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8"/>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Page 4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Alexander I. Abell</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6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150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ind w:right="254"/>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0"/>
                <w:szCs w:val="10"/>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13,727,666</w:t>
            </w:r>
            <w:r>
              <w:rPr>
                <w:rFonts w:ascii="Times New Roman" w:cs="Times New Roman" w:eastAsia="Times New Roman" w:hAnsi="Times New Roman"/>
                <w:sz w:val="26"/>
                <w:szCs w:val="26"/>
                <w:color w:val="auto"/>
                <w:vertAlign w:val="superscript"/>
              </w:rPr>
              <w:t>(1)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vMerge w:val="restart"/>
          </w:tcPr>
          <w:p>
            <w:pPr>
              <w:jc w:val="center"/>
              <w:ind w:right="254"/>
              <w:spacing w:after="0"/>
              <w:rPr>
                <w:sz w:val="20"/>
                <w:szCs w:val="20"/>
                <w:color w:val="auto"/>
              </w:rPr>
            </w:pPr>
            <w:r>
              <w:rPr>
                <w:rFonts w:ascii="Times New Roman" w:cs="Times New Roman" w:eastAsia="Times New Roman" w:hAnsi="Times New Roman"/>
                <w:sz w:val="18"/>
                <w:szCs w:val="18"/>
                <w:color w:val="auto"/>
              </w:rPr>
              <w:t>EACH</w:t>
            </w:r>
          </w:p>
        </w:tc>
        <w:tc>
          <w:tcPr>
            <w:tcW w:w="3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560" w:type="dxa"/>
            <w:vAlign w:val="bottom"/>
            <w:tcBorders>
              <w:bottom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80" w:type="dxa"/>
            <w:vAlign w:val="bottom"/>
            <w:tcBorders>
              <w:left w:val="single" w:sz="8" w:color="auto"/>
            </w:tcBorders>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6"/>
                <w:szCs w:val="6"/>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560" w:type="dxa"/>
            <w:vAlign w:val="bottom"/>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5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jc w:val="center"/>
              <w:ind w:right="254"/>
              <w:spacing w:after="0"/>
              <w:rPr>
                <w:sz w:val="20"/>
                <w:szCs w:val="20"/>
                <w:color w:val="auto"/>
              </w:rPr>
            </w:pPr>
            <w:r>
              <w:rPr>
                <w:rFonts w:ascii="Times New Roman" w:cs="Times New Roman" w:eastAsia="Times New Roman" w:hAnsi="Times New Roman"/>
                <w:sz w:val="18"/>
                <w:szCs w:val="18"/>
                <w:color w:val="auto"/>
              </w:rPr>
              <w:t>PERSON</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1,375,265</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tcPr>
          <w:p>
            <w:pPr>
              <w:jc w:val="center"/>
              <w:ind w:right="23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560" w:type="dxa"/>
            <w:vAlign w:val="bottom"/>
            <w:tcBorders>
              <w:bottom w:val="single" w:sz="8" w:color="auto"/>
            </w:tcBorders>
            <w:vMerge w:val="continue"/>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1,375,265</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1"/>
                <w:szCs w:val="11"/>
                <w:b w:val="1"/>
                <w:bCs w:val="1"/>
                <w:color w:val="auto"/>
              </w:rPr>
              <w:t>(2)</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4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1,372,489 shares of Class B common stock (“Class B Stock”), which as of the date of this statement entitles its holder to ten votes for each share held.</w:t>
      </w:r>
    </w:p>
    <w:p>
      <w:pPr>
        <w:ind w:left="424"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1.7%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0984"/>
          </w:cols>
          <w:pgMar w:left="436" w:top="266" w:right="47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8"/>
        </w:trPr>
        <w:tc>
          <w:tcPr>
            <w:tcW w:w="2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Page 5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Michael Feinglass</w:t>
            </w:r>
          </w:p>
        </w:tc>
        <w:tc>
          <w:tcPr>
            <w:tcW w:w="65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6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154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2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2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vMerge w:val="restart"/>
          </w:tcPr>
          <w:p>
            <w:pPr>
              <w:jc w:val="center"/>
              <w:ind w:right="254"/>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Pr>
          <w:p>
            <w:pPr>
              <w:spacing w:after="0"/>
              <w:rPr>
                <w:sz w:val="10"/>
                <w:szCs w:val="10"/>
                <w:color w:val="auto"/>
              </w:rPr>
            </w:pPr>
          </w:p>
        </w:tc>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9,191,930</w:t>
            </w:r>
            <w:r>
              <w:rPr>
                <w:rFonts w:ascii="Times New Roman" w:cs="Times New Roman" w:eastAsia="Times New Roman" w:hAnsi="Times New Roman"/>
                <w:sz w:val="26"/>
                <w:szCs w:val="26"/>
                <w:color w:val="auto"/>
                <w:vertAlign w:val="superscript"/>
              </w:rPr>
              <w:t>(1)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vMerge w:val="restart"/>
          </w:tcPr>
          <w:p>
            <w:pPr>
              <w:jc w:val="center"/>
              <w:ind w:right="254"/>
              <w:spacing w:after="0"/>
              <w:rPr>
                <w:sz w:val="20"/>
                <w:szCs w:val="20"/>
                <w:color w:val="auto"/>
              </w:rPr>
            </w:pPr>
            <w:r>
              <w:rPr>
                <w:rFonts w:ascii="Times New Roman" w:cs="Times New Roman" w:eastAsia="Times New Roman" w:hAnsi="Times New Roman"/>
                <w:sz w:val="18"/>
                <w:szCs w:val="18"/>
                <w:color w:val="auto"/>
              </w:rPr>
              <w:t>EACH</w:t>
            </w:r>
          </w:p>
        </w:tc>
        <w:tc>
          <w:tcPr>
            <w:tcW w:w="3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520" w:type="dxa"/>
            <w:vAlign w:val="bottom"/>
            <w:tcBorders>
              <w:bottom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80" w:type="dxa"/>
            <w:vAlign w:val="bottom"/>
            <w:tcBorders>
              <w:left w:val="single" w:sz="8" w:color="auto"/>
            </w:tcBorders>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tcPr>
          <w:p>
            <w:pPr>
              <w:spacing w:after="0"/>
              <w:rPr>
                <w:sz w:val="6"/>
                <w:szCs w:val="6"/>
                <w:color w:val="auto"/>
              </w:rPr>
            </w:pPr>
          </w:p>
        </w:tc>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Borders>
              <w:right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6520" w:type="dxa"/>
            <w:vAlign w:val="bottom"/>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52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jc w:val="center"/>
              <w:ind w:right="254"/>
              <w:spacing w:after="0"/>
              <w:rPr>
                <w:sz w:val="20"/>
                <w:szCs w:val="20"/>
                <w:color w:val="auto"/>
              </w:rPr>
            </w:pPr>
            <w:r>
              <w:rPr>
                <w:rFonts w:ascii="Times New Roman" w:cs="Times New Roman" w:eastAsia="Times New Roman" w:hAnsi="Times New Roman"/>
                <w:sz w:val="18"/>
                <w:szCs w:val="18"/>
                <w:color w:val="auto"/>
              </w:rPr>
              <w:t>PERSON</w:t>
            </w: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956,993</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tcPr>
          <w:p>
            <w:pPr>
              <w:jc w:val="center"/>
              <w:ind w:right="23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3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vMerge w:val="continue"/>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20"/>
                <w:szCs w:val="20"/>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956,993</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1"/>
                <w:szCs w:val="11"/>
                <w:b w:val="1"/>
                <w:bCs w:val="1"/>
                <w:color w:val="auto"/>
              </w:rPr>
              <w:t>(2)</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914,993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1.1%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8"/>
        </w:trPr>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Page 6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Andrew Rowan Nelson</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9,847,457</w:t>
            </w:r>
            <w:r>
              <w:rPr>
                <w:rFonts w:ascii="Times New Roman" w:cs="Times New Roman" w:eastAsia="Times New Roman" w:hAnsi="Times New Roman"/>
                <w:sz w:val="26"/>
                <w:szCs w:val="26"/>
                <w:color w:val="auto"/>
                <w:vertAlign w:val="superscript"/>
              </w:rPr>
              <w:t>(1)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5"/>
                <w:szCs w:val="15"/>
                <w:color w:val="auto"/>
              </w:rPr>
            </w:pPr>
          </w:p>
        </w:tc>
        <w:tc>
          <w:tcPr>
            <w:tcW w:w="65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1,105,694</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2"/>
                <w:szCs w:val="12"/>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1,105,694</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11"/>
                <w:szCs w:val="11"/>
                <w:b w:val="1"/>
                <w:bCs w:val="1"/>
                <w:color w:val="auto"/>
              </w:rPr>
              <w:t>(2)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971,307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1.2%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8"/>
        </w:trPr>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Page 7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Thomas P. Danis Revocable Living Trust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IL</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33,371,190 </w:t>
            </w:r>
            <w:r>
              <w:rPr>
                <w:rFonts w:ascii="Times New Roman" w:cs="Times New Roman" w:eastAsia="Times New Roman" w:hAnsi="Times New Roman"/>
                <w:sz w:val="26"/>
                <w:szCs w:val="26"/>
                <w:color w:val="auto"/>
                <w:vertAlign w:val="superscript"/>
              </w:rPr>
              <w:t>(1)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5"/>
                <w:szCs w:val="15"/>
                <w:color w:val="auto"/>
              </w:rPr>
            </w:pPr>
          </w:p>
        </w:tc>
        <w:tc>
          <w:tcPr>
            <w:tcW w:w="65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3,337,119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2"/>
                <w:szCs w:val="12"/>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3,337,119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1"/>
                <w:szCs w:val="11"/>
                <w:b w:val="1"/>
                <w:bCs w:val="1"/>
                <w:color w:val="auto"/>
              </w:rPr>
              <w:t>(2)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1"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4.2%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7" w:name="page8"/>
    <w:bookmarkEnd w:id="7"/>
    <w:tbl>
      <w:tblPr>
        <w:tblLayout w:type="fixed"/>
        <w:tblInd w:w="14" w:type="dxa"/>
        <w:tblCellMar>
          <w:top w:w="0" w:type="dxa"/>
          <w:left w:w="0" w:type="dxa"/>
          <w:bottom w:w="0" w:type="dxa"/>
          <w:right w:w="0" w:type="dxa"/>
        </w:tblCellMar>
      </w:tblPr>
      <w:tr>
        <w:trPr>
          <w:trHeight w:val="238"/>
        </w:trPr>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Page 8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Prism 2, LLC</w:t>
            </w: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WY</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9,248,200 </w:t>
            </w:r>
            <w:r>
              <w:rPr>
                <w:rFonts w:ascii="Times New Roman" w:cs="Times New Roman" w:eastAsia="Times New Roman" w:hAnsi="Times New Roman"/>
                <w:sz w:val="26"/>
                <w:szCs w:val="26"/>
                <w:color w:val="auto"/>
                <w:vertAlign w:val="superscript"/>
              </w:rPr>
              <w:t>(1)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5"/>
                <w:szCs w:val="15"/>
                <w:color w:val="auto"/>
              </w:rPr>
            </w:pPr>
          </w:p>
        </w:tc>
        <w:tc>
          <w:tcPr>
            <w:tcW w:w="65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924,820</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2"/>
                <w:szCs w:val="12"/>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924,820</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1"/>
                <w:szCs w:val="11"/>
                <w:b w:val="1"/>
                <w:bCs w:val="1"/>
                <w:color w:val="auto"/>
              </w:rPr>
              <w:t>(2)</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1.2%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8" w:name="page9"/>
    <w:bookmarkEnd w:id="8"/>
    <w:tbl>
      <w:tblPr>
        <w:tblLayout w:type="fixed"/>
        <w:tblInd w:w="14" w:type="dxa"/>
        <w:tblCellMar>
          <w:top w:w="0" w:type="dxa"/>
          <w:left w:w="0" w:type="dxa"/>
          <w:bottom w:w="0" w:type="dxa"/>
          <w:right w:w="0" w:type="dxa"/>
        </w:tblCellMar>
      </w:tblPr>
      <w:tr>
        <w:trPr>
          <w:trHeight w:val="238"/>
        </w:trPr>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6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Page 9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80" w:type="dxa"/>
            <w:vAlign w:val="bottom"/>
            <w:tcBorders>
              <w:bottom w:val="single" w:sz="8" w:color="auto"/>
            </w:tcBorders>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Charles K. Huebner Trust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80" w:type="dxa"/>
            <w:vAlign w:val="bottom"/>
            <w:tcBorders>
              <w:bottom w:val="single" w:sz="8" w:color="auto"/>
            </w:tcBorders>
            <w:gridSpan w:val="2"/>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IL</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42,619,390 </w:t>
            </w:r>
            <w:r>
              <w:rPr>
                <w:rFonts w:ascii="Times New Roman" w:cs="Times New Roman" w:eastAsia="Times New Roman" w:hAnsi="Times New Roman"/>
                <w:sz w:val="26"/>
                <w:szCs w:val="26"/>
                <w:color w:val="auto"/>
                <w:vertAlign w:val="superscript"/>
              </w:rPr>
              <w:t>(1)</w:t>
            </w: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5"/>
                <w:szCs w:val="15"/>
                <w:color w:val="auto"/>
              </w:rPr>
            </w:pPr>
          </w:p>
        </w:tc>
        <w:tc>
          <w:tcPr>
            <w:tcW w:w="65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4,261,939</w:t>
            </w:r>
          </w:p>
        </w:tc>
        <w:tc>
          <w:tcPr>
            <w:tcW w:w="2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2"/>
                <w:szCs w:val="12"/>
                <w:color w:val="auto"/>
              </w:rPr>
            </w:pPr>
          </w:p>
        </w:tc>
        <w:tc>
          <w:tcPr>
            <w:tcW w:w="6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56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4,261,939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9.4%</w:t>
            </w:r>
            <w:r>
              <w:rPr>
                <w:rFonts w:ascii="Times New Roman" w:cs="Times New Roman" w:eastAsia="Times New Roman" w:hAnsi="Times New Roman"/>
                <w:sz w:val="11"/>
                <w:szCs w:val="11"/>
                <w:b w:val="1"/>
                <w:bCs w:val="1"/>
                <w:color w:val="auto"/>
              </w:rPr>
              <w:t>(2)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1"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5.3%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9" w:name="page10"/>
    <w:bookmarkEnd w:id="9"/>
    <w:tbl>
      <w:tblPr>
        <w:tblLayout w:type="fixed"/>
        <w:tblInd w:w="14" w:type="dxa"/>
        <w:tblCellMar>
          <w:top w:w="0" w:type="dxa"/>
          <w:left w:w="0" w:type="dxa"/>
          <w:bottom w:w="0" w:type="dxa"/>
          <w:right w:w="0" w:type="dxa"/>
        </w:tblCellMar>
      </w:tblPr>
      <w:tr>
        <w:trPr>
          <w:trHeight w:val="238"/>
        </w:trPr>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2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4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Page 10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Jon I. Madorsky Revocable Trust</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6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2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gridSpan w:val="2"/>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FL</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39,469,390 </w:t>
            </w:r>
            <w:r>
              <w:rPr>
                <w:rFonts w:ascii="Times New Roman" w:cs="Times New Roman" w:eastAsia="Times New Roman" w:hAnsi="Times New Roman"/>
                <w:sz w:val="26"/>
                <w:szCs w:val="26"/>
                <w:color w:val="auto"/>
                <w:vertAlign w:val="superscript"/>
              </w:rPr>
              <w:t>(1)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20" w:type="dxa"/>
            <w:vAlign w:val="bottom"/>
            <w:tcBorders>
              <w:left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OWNED BY</w:t>
            </w:r>
          </w:p>
        </w:tc>
        <w:tc>
          <w:tcPr>
            <w:tcW w:w="10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5"/>
                <w:szCs w:val="15"/>
                <w:color w:val="auto"/>
              </w:rPr>
            </w:pPr>
          </w:p>
        </w:tc>
        <w:tc>
          <w:tcPr>
            <w:tcW w:w="652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REPORTING</w:t>
            </w:r>
          </w:p>
        </w:tc>
        <w:tc>
          <w:tcPr>
            <w:tcW w:w="1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PERSON</w:t>
            </w:r>
          </w:p>
        </w:tc>
        <w:tc>
          <w:tcPr>
            <w:tcW w:w="10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3,946,939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2"/>
                <w:szCs w:val="12"/>
                <w:color w:val="auto"/>
              </w:rPr>
            </w:pPr>
          </w:p>
        </w:tc>
        <w:tc>
          <w:tcPr>
            <w:tcW w:w="6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5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3,946,939</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8.8%</w:t>
            </w:r>
            <w:r>
              <w:rPr>
                <w:rFonts w:ascii="Times New Roman" w:cs="Times New Roman" w:eastAsia="Times New Roman" w:hAnsi="Times New Roman"/>
                <w:sz w:val="11"/>
                <w:szCs w:val="11"/>
                <w:b w:val="1"/>
                <w:bCs w:val="1"/>
                <w:color w:val="auto"/>
              </w:rPr>
              <w:t>(2)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4.9%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10" w:name="page11"/>
    <w:bookmarkEnd w:id="10"/>
    <w:tbl>
      <w:tblPr>
        <w:tblLayout w:type="fixed"/>
        <w:tblInd w:w="14" w:type="dxa"/>
        <w:tblCellMar>
          <w:top w:w="0" w:type="dxa"/>
          <w:left w:w="0" w:type="dxa"/>
          <w:bottom w:w="0" w:type="dxa"/>
          <w:right w:w="0" w:type="dxa"/>
        </w:tblCellMar>
      </w:tblPr>
      <w:tr>
        <w:trPr>
          <w:trHeight w:val="238"/>
        </w:trPr>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2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4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Page 11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Jeff P. Gehl Living Trust</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2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gridSpan w:val="2"/>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CA</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tcBorders>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30,119,390</w:t>
            </w:r>
            <w:r>
              <w:rPr>
                <w:rFonts w:ascii="Times New Roman" w:cs="Times New Roman" w:eastAsia="Times New Roman" w:hAnsi="Times New Roman"/>
                <w:sz w:val="26"/>
                <w:szCs w:val="26"/>
                <w:color w:val="auto"/>
                <w:vertAlign w:val="superscript"/>
              </w:rPr>
              <w:t>(1)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15"/>
                <w:szCs w:val="15"/>
                <w:color w:val="auto"/>
              </w:rPr>
            </w:pPr>
          </w:p>
        </w:tc>
        <w:tc>
          <w:tcPr>
            <w:tcW w:w="652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tcBorders>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3,011,939</w:t>
            </w:r>
          </w:p>
        </w:tc>
        <w:tc>
          <w:tcPr>
            <w:tcW w:w="2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2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80" w:type="dxa"/>
            <w:vAlign w:val="bottom"/>
            <w:tcBorders>
              <w:left w:val="single" w:sz="8" w:color="auto"/>
            </w:tcBorders>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12"/>
                <w:szCs w:val="12"/>
                <w:color w:val="auto"/>
              </w:rPr>
            </w:pPr>
          </w:p>
        </w:tc>
        <w:tc>
          <w:tcPr>
            <w:tcW w:w="6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8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520" w:type="dxa"/>
            <w:vAlign w:val="bottom"/>
            <w:vMerge w:val="continue"/>
          </w:tcPr>
          <w:p>
            <w:pPr>
              <w:spacing w:after="0"/>
              <w:rPr>
                <w:sz w:val="7"/>
                <w:szCs w:val="7"/>
                <w:color w:val="auto"/>
              </w:rPr>
            </w:pPr>
          </w:p>
        </w:tc>
        <w:tc>
          <w:tcPr>
            <w:tcW w:w="24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8020" w:type="dxa"/>
            <w:vAlign w:val="bottom"/>
            <w:tcBorders>
              <w:bottom w:val="single" w:sz="8" w:color="auto"/>
            </w:tcBorders>
            <w:gridSpan w:val="5"/>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6.9%</w:t>
            </w:r>
            <w:r>
              <w:rPr>
                <w:rFonts w:ascii="Times New Roman" w:cs="Times New Roman" w:eastAsia="Times New Roman" w:hAnsi="Times New Roman"/>
                <w:sz w:val="11"/>
                <w:szCs w:val="11"/>
                <w:b w:val="1"/>
                <w:bCs w:val="1"/>
                <w:color w:val="auto"/>
              </w:rPr>
              <w:t>(2)</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3.8%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11" w:name="page12"/>
    <w:bookmarkEnd w:id="11"/>
    <w:tbl>
      <w:tblPr>
        <w:tblLayout w:type="fixed"/>
        <w:tblInd w:w="14" w:type="dxa"/>
        <w:tblCellMar>
          <w:top w:w="0" w:type="dxa"/>
          <w:left w:w="0" w:type="dxa"/>
          <w:bottom w:w="0" w:type="dxa"/>
          <w:right w:w="0" w:type="dxa"/>
        </w:tblCellMar>
      </w:tblPr>
      <w:tr>
        <w:trPr>
          <w:trHeight w:val="238"/>
        </w:trPr>
        <w:tc>
          <w:tcPr>
            <w:tcW w:w="19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CUSIP No. 69376K 106</w:t>
            </w:r>
          </w:p>
        </w:tc>
        <w:tc>
          <w:tcPr>
            <w:tcW w:w="652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13G</w:t>
            </w:r>
          </w:p>
        </w:tc>
        <w:tc>
          <w:tcPr>
            <w:tcW w:w="24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Page 12 of 19 Pages</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4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Souder Family LLC</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802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2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52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520" w:type="dxa"/>
            <w:vAlign w:val="bottom"/>
          </w:tcPr>
          <w:p>
            <w:pPr>
              <w:spacing w:after="0"/>
              <w:rPr>
                <w:sz w:val="20"/>
                <w:szCs w:val="20"/>
                <w:color w:val="auto"/>
              </w:rPr>
            </w:pP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40" w:type="dxa"/>
            <w:vAlign w:val="bottom"/>
            <w:tcBorders>
              <w:bottom w:val="single" w:sz="8" w:color="auto"/>
            </w:tcBorders>
            <w:gridSpan w:val="2"/>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FL</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Borders>
              <w:right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400" w:type="dxa"/>
            <w:vAlign w:val="bottom"/>
            <w:tcBorders>
              <w:left w:val="single" w:sz="8" w:color="auto"/>
            </w:tcBorders>
            <w:gridSpan w:val="2"/>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Pr>
          <w:p>
            <w:pPr>
              <w:spacing w:after="0"/>
              <w:rPr>
                <w:sz w:val="10"/>
                <w:szCs w:val="10"/>
                <w:color w:val="auto"/>
              </w:rPr>
            </w:pPr>
          </w:p>
        </w:tc>
        <w:tc>
          <w:tcPr>
            <w:tcW w:w="6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6520" w:type="dxa"/>
            <w:vAlign w:val="bottom"/>
            <w:vMerge w:val="continue"/>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92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42,619,390</w:t>
            </w:r>
            <w:r>
              <w:rPr>
                <w:rFonts w:ascii="Times New Roman" w:cs="Times New Roman" w:eastAsia="Times New Roman" w:hAnsi="Times New Roman"/>
                <w:sz w:val="26"/>
                <w:szCs w:val="26"/>
                <w:color w:val="auto"/>
                <w:vertAlign w:val="superscript"/>
              </w:rPr>
              <w:t>(1)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tcBorders>
            <w:gridSpan w:val="2"/>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OWNED BY</w:t>
            </w:r>
          </w:p>
        </w:tc>
        <w:tc>
          <w:tcPr>
            <w:tcW w:w="120" w:type="dxa"/>
            <w:vAlign w:val="bottom"/>
            <w:tcBorders>
              <w:right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520" w:type="dxa"/>
            <w:vAlign w:val="bottom"/>
            <w:tcBorders>
              <w:bottom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00" w:type="dxa"/>
            <w:vAlign w:val="bottom"/>
            <w:tcBorders>
              <w:left w:val="single" w:sz="8" w:color="auto"/>
            </w:tcBorders>
            <w:gridSpan w:val="2"/>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Pr>
          <w:p>
            <w:pPr>
              <w:spacing w:after="0"/>
              <w:rPr>
                <w:sz w:val="6"/>
                <w:szCs w:val="6"/>
                <w:color w:val="auto"/>
              </w:rPr>
            </w:pPr>
          </w:p>
        </w:tc>
        <w:tc>
          <w:tcPr>
            <w:tcW w:w="6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2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80" w:type="dxa"/>
            <w:vAlign w:val="bottom"/>
            <w:tcBorders>
              <w:left w:val="single" w:sz="8" w:color="auto"/>
            </w:tcBorders>
          </w:tcPr>
          <w:p>
            <w:pPr>
              <w:spacing w:after="0"/>
              <w:rPr>
                <w:sz w:val="14"/>
                <w:szCs w:val="14"/>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EACH</w:t>
            </w:r>
          </w:p>
        </w:tc>
        <w:tc>
          <w:tcPr>
            <w:tcW w:w="12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520" w:type="dxa"/>
            <w:vAlign w:val="bottom"/>
            <w:vMerge w:val="continue"/>
          </w:tcPr>
          <w:p>
            <w:pPr>
              <w:spacing w:after="0"/>
              <w:rPr>
                <w:sz w:val="14"/>
                <w:szCs w:val="14"/>
                <w:color w:val="auto"/>
              </w:rPr>
            </w:pP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tcBorders>
          </w:tcPr>
          <w:p>
            <w:pPr>
              <w:spacing w:after="0"/>
              <w:rPr>
                <w:sz w:val="4"/>
                <w:szCs w:val="4"/>
                <w:color w:val="auto"/>
              </w:rPr>
            </w:pPr>
          </w:p>
        </w:tc>
        <w:tc>
          <w:tcPr>
            <w:tcW w:w="920" w:type="dxa"/>
            <w:vAlign w:val="bottom"/>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520" w:type="dxa"/>
            <w:vAlign w:val="bottom"/>
          </w:tcPr>
          <w:p>
            <w:pPr>
              <w:spacing w:after="0"/>
              <w:rPr>
                <w:sz w:val="4"/>
                <w:szCs w:val="4"/>
                <w:color w:val="auto"/>
              </w:rPr>
            </w:pPr>
          </w:p>
        </w:tc>
        <w:tc>
          <w:tcPr>
            <w:tcW w:w="2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REPORTING</w:t>
            </w:r>
          </w:p>
        </w:tc>
        <w:tc>
          <w:tcPr>
            <w:tcW w:w="1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4,261,939</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80" w:type="dxa"/>
            <w:vAlign w:val="bottom"/>
            <w:tcBorders>
              <w:left w:val="single" w:sz="8" w:color="auto"/>
            </w:tcBorders>
          </w:tcPr>
          <w:p>
            <w:pPr>
              <w:spacing w:after="0"/>
              <w:rPr>
                <w:sz w:val="15"/>
                <w:szCs w:val="15"/>
                <w:color w:val="auto"/>
              </w:rPr>
            </w:pPr>
          </w:p>
        </w:tc>
        <w:tc>
          <w:tcPr>
            <w:tcW w:w="92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8"/>
                <w:szCs w:val="18"/>
                <w:color w:val="auto"/>
              </w:rPr>
              <w:t>PERSON</w:t>
            </w:r>
          </w:p>
        </w:tc>
        <w:tc>
          <w:tcPr>
            <w:tcW w:w="120" w:type="dxa"/>
            <w:vAlign w:val="bottom"/>
            <w:tcBorders>
              <w:right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520" w:type="dxa"/>
            <w:vAlign w:val="bottom"/>
            <w:tcBorders>
              <w:bottom w:val="single" w:sz="8" w:color="auto"/>
            </w:tcBorders>
            <w:vMerge w:val="continue"/>
          </w:tcPr>
          <w:p>
            <w:pPr>
              <w:spacing w:after="0"/>
              <w:rPr>
                <w:sz w:val="15"/>
                <w:szCs w:val="15"/>
                <w:color w:val="auto"/>
              </w:rPr>
            </w:pPr>
          </w:p>
        </w:tc>
        <w:tc>
          <w:tcPr>
            <w:tcW w:w="24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0" w:type="dxa"/>
            <w:vAlign w:val="bottom"/>
            <w:tcBorders>
              <w:left w:val="single" w:sz="8" w:color="auto"/>
            </w:tcBorders>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Pr>
          <w:p>
            <w:pPr>
              <w:spacing w:after="0"/>
              <w:rPr>
                <w:sz w:val="21"/>
                <w:szCs w:val="21"/>
                <w:color w:val="auto"/>
              </w:rPr>
            </w:pPr>
          </w:p>
        </w:tc>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48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6"/>
              </w:rPr>
              <w:t>AGGREGATE</w:t>
            </w:r>
          </w:p>
        </w:tc>
        <w:tc>
          <w:tcPr>
            <w:tcW w:w="34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8020" w:type="dxa"/>
            <w:vAlign w:val="bottom"/>
            <w:tcBorders>
              <w:bottom w:val="single" w:sz="8" w:color="auto"/>
            </w:tcBorders>
            <w:gridSpan w:val="5"/>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80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9.4%</w:t>
            </w:r>
            <w:r>
              <w:rPr>
                <w:rFonts w:ascii="Times New Roman" w:cs="Times New Roman" w:eastAsia="Times New Roman" w:hAnsi="Times New Roman"/>
                <w:sz w:val="11"/>
                <w:szCs w:val="11"/>
                <w:b w:val="1"/>
                <w:bCs w:val="1"/>
                <w:color w:val="auto"/>
              </w:rPr>
              <w:t>(2)</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w:t>
            </w:r>
          </w:p>
        </w:tc>
        <w:tc>
          <w:tcPr>
            <w:tcW w:w="80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line="261"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shares of Class B common stock (“Class B Stock”), which as of the date of this statement entitles its holder to ten votes for each share held.</w:t>
      </w:r>
    </w:p>
    <w:p>
      <w:pPr>
        <w:ind w:left="424" w:right="20" w:hanging="424"/>
        <w:spacing w:after="0" w:line="253"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percentage of Class A common stock (“Class A Stock”) beneficially owned, as calculated in accordance with Rule 13d-3(d)(1)(i) under the Act. The shares beneficially owned represent 5.3% of the combined voting power of the Class A Stock and Class B Stock collectively based upon the total number of shares of Class A Stock and Class B Stock reported outstanding as of November 11, 2022. Shares of Class B Stock are convertible into shares of Class A Stock on a one-for-one basis.</w:t>
      </w:r>
    </w:p>
    <w:p>
      <w:pPr>
        <w:sectPr>
          <w:pgSz w:w="11900" w:h="16838" w:orient="portrait"/>
          <w:cols w:equalWidth="0" w:num="1">
            <w:col w:w="11004"/>
          </w:cols>
          <w:pgMar w:left="436" w:top="266" w:right="459" w:bottom="1440" w:gutter="0" w:footer="0" w:header="0"/>
        </w:sectPr>
      </w:pPr>
    </w:p>
    <w:bookmarkStart w:id="12" w:name="page13"/>
    <w:bookmarkEnd w:id="12"/>
    <w:p>
      <w:pPr>
        <w:spacing w:after="0"/>
        <w:tabs>
          <w:tab w:leader="none" w:pos="5560" w:val="left"/>
          <w:tab w:leader="none" w:pos="92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13 of 19 Pages</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P10, Inc. (the “Issuer”)</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4514 Cole Avenue, Suite 1600 Dallas, Texas 75205</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Each of the following is hereinafter individually referred to as a “Reporting Person” and collectively as the “Reporting Persons.”</w:t>
      </w:r>
    </w:p>
    <w:p>
      <w:pPr>
        <w:spacing w:after="0" w:line="131" w:lineRule="exact"/>
        <w:rPr>
          <w:sz w:val="20"/>
          <w:szCs w:val="20"/>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Nell M. Blatherwick</w:t>
      </w:r>
    </w:p>
    <w:p>
      <w:pPr>
        <w:spacing w:after="0" w:line="27"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 McCoy</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Alexander I. Abell</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Feinglass</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Rowan Nelson</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P. Danis Revocable Trust</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Prism 2, LLC</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K. Huebner Trust</w:t>
      </w:r>
    </w:p>
    <w:p>
      <w:pPr>
        <w:spacing w:after="0" w:line="9" w:lineRule="exact"/>
        <w:rPr>
          <w:rFonts w:ascii="Times New Roman" w:cs="Times New Roman" w:eastAsia="Times New Roman" w:hAnsi="Times New Roman"/>
          <w:sz w:val="18"/>
          <w:szCs w:val="18"/>
          <w:color w:val="auto"/>
        </w:rPr>
      </w:pPr>
    </w:p>
    <w:p>
      <w:pPr>
        <w:ind w:left="1180" w:hanging="185"/>
        <w:spacing w:after="0"/>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 I. Madorsky Revocable Trust</w:t>
      </w:r>
    </w:p>
    <w:p>
      <w:pPr>
        <w:spacing w:after="0" w:line="9" w:lineRule="exact"/>
        <w:rPr>
          <w:rFonts w:ascii="Times New Roman" w:cs="Times New Roman" w:eastAsia="Times New Roman" w:hAnsi="Times New Roman"/>
          <w:sz w:val="18"/>
          <w:szCs w:val="18"/>
          <w:color w:val="auto"/>
        </w:rPr>
      </w:pPr>
    </w:p>
    <w:p>
      <w:pPr>
        <w:ind w:left="1280" w:hanging="285"/>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P. Gehl Living Trust</w:t>
      </w:r>
    </w:p>
    <w:p>
      <w:pPr>
        <w:spacing w:after="0" w:line="9" w:lineRule="exact"/>
        <w:rPr>
          <w:rFonts w:ascii="Times New Roman" w:cs="Times New Roman" w:eastAsia="Times New Roman" w:hAnsi="Times New Roman"/>
          <w:sz w:val="18"/>
          <w:szCs w:val="18"/>
          <w:color w:val="auto"/>
        </w:rPr>
      </w:pPr>
    </w:p>
    <w:p>
      <w:pPr>
        <w:ind w:left="1280" w:hanging="285"/>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Souder Family LLC</w:t>
      </w:r>
    </w:p>
    <w:p>
      <w:pPr>
        <w:spacing w:after="0" w:line="32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address of each Reporting Person is c/o 4514 Cole Avenue, Suite 1600 Dallas, Texas 75205</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Each natural person Reporting Person is a citizen of the United States.</w:t>
      </w:r>
    </w:p>
    <w:p>
      <w:pPr>
        <w:spacing w:after="0" w:line="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Thomas P. Danis Revocable Trust is organized under the laws of Illinois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Prism 2, LLC is a Wyoming limited liability company</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Charles K. Huebner Trust is organized under the laws of Illinois</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Jon I. Madorsky Revocable Trust is organized under the laws of Florida</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Jeff P. Gehl Living Trust is organized under the laws of California</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Souder Family LLC is a Florida limited liability company</w:t>
      </w:r>
    </w:p>
    <w:p>
      <w:pPr>
        <w:spacing w:after="0" w:line="32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Class A Common Stock, $0.001 par value per share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69376K106</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indicate type of person filing.</w:t>
      </w:r>
    </w:p>
    <w:p>
      <w:pPr>
        <w:spacing w:after="0" w:line="1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    Amount beneficially owned: See row 9 of the cover pages.</w:t>
      </w:r>
    </w:p>
    <w:p>
      <w:pPr>
        <w:sectPr>
          <w:pgSz w:w="11900" w:h="16838" w:orient="portrait"/>
          <w:cols w:equalWidth="0" w:num="1">
            <w:col w:w="10840"/>
          </w:cols>
          <w:pgMar w:left="440" w:top="266" w:right="619" w:bottom="1440" w:gutter="0" w:footer="0" w:header="0"/>
        </w:sectPr>
      </w:pPr>
    </w:p>
    <w:bookmarkStart w:id="13" w:name="page14"/>
    <w:bookmarkEnd w:id="13"/>
    <w:p>
      <w:pPr>
        <w:spacing w:after="0"/>
        <w:tabs>
          <w:tab w:leader="none" w:pos="5560" w:val="left"/>
          <w:tab w:leader="none" w:pos="92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14 of 19 Pages</w:t>
      </w:r>
    </w:p>
    <w:p>
      <w:pPr>
        <w:spacing w:after="0" w:line="27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    Percent of class: See row 11 of the cover pages.</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    Number of shares as to which such person has:</w:t>
      </w:r>
    </w:p>
    <w:p>
      <w:pPr>
        <w:sectPr>
          <w:pgSz w:w="11900" w:h="16838" w:orient="portrait"/>
          <w:cols w:equalWidth="0" w:num="1">
            <w:col w:w="11000"/>
          </w:cols>
          <w:pgMar w:left="440" w:top="266" w:right="459" w:bottom="1440" w:gutter="0" w:footer="0" w:header="0"/>
        </w:sectPr>
      </w:pP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(i)   Sole power to vote or direct the vote:</w:t>
      </w:r>
    </w:p>
    <w:p>
      <w:pPr>
        <w:spacing w:after="0" w:line="1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color w:val="auto"/>
        </w:rPr>
        <w:t>(ii)   Shared power to vote or direct the vote: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row 5 of the cover pages.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See row 6 of the cover page.</w:t>
      </w:r>
    </w:p>
    <w:p>
      <w:pPr>
        <w:spacing w:after="0" w:line="129" w:lineRule="exact"/>
        <w:rPr>
          <w:sz w:val="20"/>
          <w:szCs w:val="20"/>
          <w:color w:val="auto"/>
        </w:rPr>
      </w:pPr>
    </w:p>
    <w:p>
      <w:pPr>
        <w:sectPr>
          <w:pgSz w:w="11900" w:h="16838" w:orient="portrait"/>
          <w:cols w:equalWidth="0" w:num="2">
            <w:col w:w="4560" w:space="0"/>
            <w:col w:w="6440"/>
          </w:cols>
          <w:pgMar w:left="440" w:top="266" w:right="459" w:bottom="1440" w:gutter="0" w:footer="0" w:header="0"/>
          <w:type w:val="continuous"/>
        </w:sectPr>
      </w:pPr>
    </w:p>
    <w:p>
      <w:pPr>
        <w:ind w:left="1360"/>
        <w:spacing w:after="0"/>
        <w:tabs>
          <w:tab w:leader="none" w:pos="5620" w:val="left"/>
        </w:tabs>
        <w:rPr>
          <w:sz w:val="20"/>
          <w:szCs w:val="20"/>
          <w:color w:val="auto"/>
        </w:rPr>
      </w:pPr>
      <w:r>
        <w:rPr>
          <w:rFonts w:ascii="Times New Roman" w:cs="Times New Roman" w:eastAsia="Times New Roman" w:hAnsi="Times New Roman"/>
          <w:sz w:val="18"/>
          <w:szCs w:val="18"/>
          <w:color w:val="auto"/>
        </w:rPr>
        <w:t>(iii)  Sole power to dispose or to direct the disposition of:</w:t>
      </w:r>
      <w:r>
        <w:rPr>
          <w:sz w:val="20"/>
          <w:szCs w:val="20"/>
          <w:color w:val="auto"/>
        </w:rPr>
        <w:tab/>
      </w:r>
      <w:r>
        <w:rPr>
          <w:rFonts w:ascii="Times New Roman" w:cs="Times New Roman" w:eastAsia="Times New Roman" w:hAnsi="Times New Roman"/>
          <w:sz w:val="17"/>
          <w:szCs w:val="17"/>
          <w:color w:val="auto"/>
        </w:rPr>
        <w:t>See row 7 of the cover pages.</w:t>
      </w:r>
    </w:p>
    <w:p>
      <w:pPr>
        <w:spacing w:after="0" w:line="117" w:lineRule="exact"/>
        <w:rPr>
          <w:sz w:val="20"/>
          <w:szCs w:val="20"/>
          <w:color w:val="auto"/>
        </w:rPr>
      </w:pPr>
    </w:p>
    <w:p>
      <w:pPr>
        <w:ind w:left="1360"/>
        <w:spacing w:after="0"/>
        <w:tabs>
          <w:tab w:leader="none" w:pos="5800" w:val="left"/>
        </w:tabs>
        <w:rPr>
          <w:sz w:val="20"/>
          <w:szCs w:val="20"/>
          <w:color w:val="auto"/>
        </w:rPr>
      </w:pPr>
      <w:r>
        <w:rPr>
          <w:rFonts w:ascii="Times New Roman" w:cs="Times New Roman" w:eastAsia="Times New Roman" w:hAnsi="Times New Roman"/>
          <w:sz w:val="18"/>
          <w:szCs w:val="18"/>
          <w:color w:val="auto"/>
        </w:rPr>
        <w:t>(iv)  Shared power to dispose or to direct the disposition of:</w:t>
        <w:tab/>
        <w:t>See row 8 of the cover pages.</w:t>
      </w:r>
    </w:p>
    <w:p>
      <w:pPr>
        <w:spacing w:after="0" w:line="117" w:lineRule="exact"/>
        <w:rPr>
          <w:sz w:val="20"/>
          <w:szCs w:val="20"/>
          <w:color w:val="auto"/>
        </w:rPr>
      </w:pPr>
    </w:p>
    <w:p>
      <w:pPr>
        <w:ind w:left="1000" w:right="220"/>
        <w:spacing w:after="0" w:line="261" w:lineRule="auto"/>
        <w:rPr>
          <w:sz w:val="20"/>
          <w:szCs w:val="20"/>
          <w:color w:val="auto"/>
        </w:rPr>
      </w:pPr>
      <w:r>
        <w:rPr>
          <w:rFonts w:ascii="Times New Roman" w:cs="Times New Roman" w:eastAsia="Times New Roman" w:hAnsi="Times New Roman"/>
          <w:sz w:val="18"/>
          <w:szCs w:val="18"/>
          <w:color w:val="auto"/>
        </w:rPr>
        <w:t>Percent of class is based on (i) the number of shares that may be deemed to be beneficially owned by each Reporting Person as of December 31, 2022 and (ii) the number of shares of Class A common stock outstanding (40,911,416 shares) and Class B common stock outstanding (76,142,242 shares) as of November 10, 2022 as reported by the Issuer in its definitive proxy statement filed with the Securities and Exchange Commission on November 15, 2022.</w:t>
      </w:r>
    </w:p>
    <w:p>
      <w:pPr>
        <w:spacing w:after="0" w:line="85" w:lineRule="exact"/>
        <w:rPr>
          <w:sz w:val="20"/>
          <w:szCs w:val="20"/>
          <w:color w:val="auto"/>
        </w:rPr>
      </w:pPr>
    </w:p>
    <w:p>
      <w:pPr>
        <w:ind w:left="1000"/>
        <w:spacing w:after="0" w:line="261" w:lineRule="auto"/>
        <w:rPr>
          <w:sz w:val="20"/>
          <w:szCs w:val="20"/>
          <w:color w:val="auto"/>
        </w:rPr>
      </w:pPr>
      <w:r>
        <w:rPr>
          <w:rFonts w:ascii="Times New Roman" w:cs="Times New Roman" w:eastAsia="Times New Roman" w:hAnsi="Times New Roman"/>
          <w:sz w:val="18"/>
          <w:szCs w:val="18"/>
          <w:color w:val="auto"/>
        </w:rPr>
        <w:t>Each Reporting Person is party to that certain Controlled Company Agreement, dated as of October 9, 2021, with the Issuer, entities affiliated with 210 Capital, LLC, and entities affiliated with TrueBridge Capital Partners LLC, pursuant to which, among other things, each stockholder group has certain director designation rights, has agreed to vote their shares for the designated director nominees, and has agreed to certain lock-up provisions.</w:t>
      </w:r>
    </w:p>
    <w:p>
      <w:pPr>
        <w:spacing w:after="0" w:line="85" w:lineRule="exact"/>
        <w:rPr>
          <w:sz w:val="20"/>
          <w:szCs w:val="20"/>
          <w:color w:val="auto"/>
        </w:rPr>
      </w:pPr>
    </w:p>
    <w:p>
      <w:pPr>
        <w:ind w:left="1000" w:right="40"/>
        <w:spacing w:after="0" w:line="261" w:lineRule="auto"/>
        <w:rPr>
          <w:sz w:val="20"/>
          <w:szCs w:val="20"/>
          <w:color w:val="auto"/>
        </w:rPr>
      </w:pPr>
      <w:r>
        <w:rPr>
          <w:rFonts w:ascii="Times New Roman" w:cs="Times New Roman" w:eastAsia="Times New Roman" w:hAnsi="Times New Roman"/>
          <w:sz w:val="18"/>
          <w:szCs w:val="18"/>
          <w:color w:val="auto"/>
        </w:rPr>
        <w:t>The Reporting Persons may be deemed to be members of a Section 13(d) group that collectively beneficially owns more than 10% of the Issuer’s common stock. Each Reporting Person declares that neither the filing of this Schedule 13G nor anything herein shall be construed as an admission that such person is, for the purposes of Section 13(d) or 13(g) of the Securities Exchange Act of 1934, as amended, the beneficial owner of any securities held by any other Reporting Person covered by this Schedule 13G.</w:t>
      </w:r>
    </w:p>
    <w:p>
      <w:pPr>
        <w:spacing w:after="0" w:line="29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1000" w:right="40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28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000" w:right="680" w:hanging="998"/>
        <w:spacing w:after="0" w:line="286" w:lineRule="auto"/>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66" w:right="459" w:bottom="1440" w:gutter="0" w:footer="0" w:header="0"/>
          <w:type w:val="continuous"/>
        </w:sectPr>
      </w:pPr>
    </w:p>
    <w:bookmarkStart w:id="14" w:name="page15"/>
    <w:bookmarkEnd w:id="14"/>
    <w:p>
      <w:pPr>
        <w:spacing w:after="0"/>
        <w:tabs>
          <w:tab w:leader="none" w:pos="5560" w:val="left"/>
          <w:tab w:leader="none" w:pos="92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 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15 of 19 Pages</w:t>
      </w:r>
    </w:p>
    <w:p>
      <w:pPr>
        <w:spacing w:after="0" w:line="158" w:lineRule="exact"/>
        <w:rPr>
          <w:sz w:val="20"/>
          <w:szCs w:val="20"/>
          <w:color w:val="auto"/>
        </w:rPr>
      </w:pPr>
    </w:p>
    <w:p>
      <w:pPr>
        <w:jc w:val="right"/>
        <w:ind w:right="8760"/>
        <w:spacing w:after="0"/>
        <w:tabs>
          <w:tab w:leader="none" w:pos="98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121" w:lineRule="exact"/>
        <w:rPr>
          <w:sz w:val="20"/>
          <w:szCs w:val="20"/>
          <w:color w:val="auto"/>
        </w:rPr>
      </w:pPr>
    </w:p>
    <w:p>
      <w:pPr>
        <w:jc w:val="right"/>
        <w:ind w:right="87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40"/>
          </w:cols>
          <w:pgMar w:left="440" w:top="266" w:right="6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Nell M.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Nell M. Blatherwick</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M. McCoy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Alexander I.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Alexander I. Abell</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Feinglass</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Andrew R.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Andrew Rowan Nelson</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Thomas P. Danis Revocable Living Trust dated</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March 10, 2003</w:t>
      </w:r>
    </w:p>
    <w:p>
      <w:pPr>
        <w:spacing w:after="0" w:line="207"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Prism 2,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ectPr>
          <w:pgSz w:w="11900" w:h="16838" w:orient="portrait"/>
          <w:cols w:equalWidth="0" w:num="1">
            <w:col w:w="11020"/>
          </w:cols>
          <w:pgMar w:left="440" w:top="266" w:right="4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Charles K. Huebner Trust dated January 16, 2001</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Charles K. Huebner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Charles K. Huebner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Jon I. Madorsky Revocable Trust dated December 1,</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2008</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Jon I. Madorsky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Jon I. Madorsky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Jeff P. Gehl Living Trust dated January 25, 2011</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Jeff P. Gehl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Jeff P. Gehl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Souder Family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F. Sounder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William F. Souder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Partner</w:t>
            </w:r>
          </w:p>
        </w:tc>
      </w:tr>
    </w:tbl>
    <w:p>
      <w:pPr>
        <w:sectPr>
          <w:pgSz w:w="11900" w:h="16838" w:orient="portrait"/>
          <w:cols w:equalWidth="0" w:num="1">
            <w:col w:w="10020"/>
          </w:cols>
          <w:pgMar w:left="1440" w:top="266" w:right="4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Joint Filer Agreement</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undersigned hereby agree and acknowledge that the statement containing the information required by Schedule 13G, to which this agreement is attached as an exhibit, is filed on behalf of each of them, and any amendments or supplements to the Schedule 13G shall also be filed on behalf of each of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Nell M.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Nell M. Blatherwick</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M. McCoy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Alexander I.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Alexander I. Abell</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Feinglass</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Andrew R.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Andrew Rowan Nelson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Thomas P. Danis Revocable Living Trust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dated March 10, 2003</w:t>
      </w:r>
    </w:p>
    <w:p>
      <w:pPr>
        <w:spacing w:after="0" w:line="23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Prism 2,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P. Danis,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P. Danis,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ectPr>
          <w:pgSz w:w="11900" w:h="16838" w:orient="portrait"/>
          <w:cols w:equalWidth="0" w:num="1">
            <w:col w:w="11020"/>
          </w:cols>
          <w:pgMar w:left="440" w:top="117" w:right="43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Charles K. Huebner Trust dated January 16, 2001</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Charles K. Huebner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Charles K. Huebner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Jon I. Madorsky Revocable Trust dated December 1,</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2008</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Jon I. Madorsky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Jon I. Madorsky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bl>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Jeff P. Gehl Living Trust dated January 25, 2011</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Jeff P. Gehl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Jeff P. Gehl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Souder Family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F. Sounder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William F. Souder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Partner</w:t>
            </w:r>
          </w:p>
        </w:tc>
      </w:tr>
    </w:tbl>
    <w:p>
      <w:pPr>
        <w:spacing w:after="0" w:line="1" w:lineRule="exact"/>
        <w:rPr>
          <w:sz w:val="20"/>
          <w:szCs w:val="20"/>
          <w:color w:val="auto"/>
        </w:rPr>
      </w:pPr>
    </w:p>
    <w:sectPr>
      <w:pgSz w:w="11900" w:h="16838" w:orient="portrait"/>
      <w:cols w:equalWidth="0" w:num="1">
        <w:col w:w="10020"/>
      </w:cols>
      <w:pgMar w:left="1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2023-02-14T14:34:35Z</dcterms:created>
  <dcterms:modified xsi:type="dcterms:W3CDTF">2023-02-14T14:34:35Z</dcterms:modified>
</cp:coreProperties>
</file>