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2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5441950</wp:posOffset>
            </wp:positionH>
            <wp:positionV relativeFrom="paragraph">
              <wp:posOffset>80010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19" w:lineRule="exact"/>
        <w:rPr>
          <w:sz w:val="24"/>
          <w:szCs w:val="24"/>
          <w:color w:val="auto"/>
        </w:rPr>
      </w:pPr>
    </w:p>
    <w:p>
      <w:pPr>
        <w:ind w:left="8580"/>
        <w:spacing w:after="0"/>
        <w:rPr>
          <w:sz w:val="20"/>
          <w:szCs w:val="20"/>
          <w:color w:val="auto"/>
        </w:rPr>
      </w:pPr>
      <w:r>
        <w:rPr>
          <w:rFonts w:ascii="Arial" w:cs="Arial" w:eastAsia="Arial" w:hAnsi="Arial"/>
          <w:sz w:val="18"/>
          <w:szCs w:val="18"/>
          <w:color w:val="auto"/>
        </w:rPr>
        <w:t>OMB Number: 3235-0145</w:t>
      </w:r>
    </w:p>
    <w:p>
      <w:pPr>
        <w:spacing w:after="0" w:line="15" w:lineRule="exact"/>
        <w:rPr>
          <w:sz w:val="24"/>
          <w:szCs w:val="24"/>
          <w:color w:val="auto"/>
        </w:rPr>
      </w:pPr>
    </w:p>
    <w:p>
      <w:pPr>
        <w:ind w:left="8580"/>
        <w:spacing w:after="0"/>
        <w:rPr>
          <w:sz w:val="20"/>
          <w:szCs w:val="20"/>
          <w:color w:val="auto"/>
        </w:rPr>
      </w:pPr>
      <w:r>
        <w:rPr>
          <w:rFonts w:ascii="Arial" w:cs="Arial" w:eastAsia="Arial" w:hAnsi="Arial"/>
          <w:sz w:val="18"/>
          <w:szCs w:val="18"/>
          <w:color w:val="auto"/>
        </w:rPr>
        <w:t>Expires: December 31, 2005</w:t>
      </w:r>
    </w:p>
    <w:p>
      <w:pPr>
        <w:spacing w:after="0" w:line="9" w:lineRule="exact"/>
        <w:rPr>
          <w:sz w:val="24"/>
          <w:szCs w:val="24"/>
          <w:color w:val="auto"/>
        </w:rPr>
      </w:pPr>
    </w:p>
    <w:p>
      <w:pPr>
        <w:ind w:left="8580"/>
        <w:spacing w:after="0"/>
        <w:rPr>
          <w:sz w:val="20"/>
          <w:szCs w:val="20"/>
          <w:color w:val="auto"/>
        </w:rPr>
      </w:pPr>
      <w:r>
        <w:rPr>
          <w:rFonts w:ascii="Arial" w:cs="Arial" w:eastAsia="Arial" w:hAnsi="Arial"/>
          <w:sz w:val="18"/>
          <w:szCs w:val="18"/>
          <w:color w:val="auto"/>
        </w:rPr>
        <w:t>Estimated average burden</w:t>
      </w:r>
    </w:p>
    <w:p>
      <w:pPr>
        <w:spacing w:after="0" w:line="9" w:lineRule="exact"/>
        <w:rPr>
          <w:sz w:val="24"/>
          <w:szCs w:val="24"/>
          <w:color w:val="auto"/>
        </w:rPr>
      </w:pPr>
    </w:p>
    <w:p>
      <w:pPr>
        <w:ind w:left="8580"/>
        <w:spacing w:after="0"/>
        <w:rPr>
          <w:sz w:val="20"/>
          <w:szCs w:val="20"/>
          <w:color w:val="auto"/>
        </w:rPr>
      </w:pPr>
      <w:r>
        <w:rPr>
          <w:rFonts w:ascii="Arial" w:cs="Arial" w:eastAsia="Arial" w:hAnsi="Arial"/>
          <w:sz w:val="18"/>
          <w:szCs w:val="18"/>
          <w:color w:val="auto"/>
        </w:rPr>
        <w:t>hours per response……..11</w:t>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SCHEDULE 13G</w:t>
      </w:r>
    </w:p>
    <w:p>
      <w:pPr>
        <w:spacing w:after="0" w:line="23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(Amendment No. 2)</w:t>
      </w:r>
      <w:r>
        <w:rPr>
          <w:rFonts w:ascii="Arial" w:cs="Arial" w:eastAsia="Arial" w:hAnsi="Arial"/>
          <w:sz w:val="18"/>
          <w:szCs w:val="18"/>
          <w:color w:val="auto"/>
        </w:rPr>
        <w:t>*</w:t>
      </w:r>
    </w:p>
    <w:p>
      <w:pPr>
        <w:spacing w:after="0" w:line="21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(Name of Issuer)</w:t>
      </w:r>
    </w:p>
    <w:p>
      <w:pPr>
        <w:spacing w:after="0" w:line="158"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(Title of Class of Securities)</w:t>
      </w:r>
    </w:p>
    <w:p>
      <w:pPr>
        <w:spacing w:after="0" w:line="15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(CUSIP Number)</w:t>
      </w:r>
    </w:p>
    <w:p>
      <w:pPr>
        <w:spacing w:after="0" w:line="15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December 31,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jc w:val="both"/>
        <w:ind w:right="9860" w:firstLine="8"/>
        <w:spacing w:after="0" w:line="500" w:lineRule="auto"/>
        <w:tabs>
          <w:tab w:leader="none" w:pos="332"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240" w:top="239"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340" w:hanging="736"/>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5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Dimensional Fund Advisors Inc. (Tax ID: 22-2370029)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340" w:hanging="736"/>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7" w:lineRule="exact"/>
        <w:rPr>
          <w:rFonts w:ascii="Arial" w:cs="Arial" w:eastAsia="Arial" w:hAnsi="Arial"/>
          <w:sz w:val="18"/>
          <w:szCs w:val="18"/>
          <w:color w:val="auto"/>
        </w:rPr>
      </w:pPr>
    </w:p>
    <w:p>
      <w:pPr>
        <w:spacing w:after="0"/>
        <w:tabs>
          <w:tab w:leader="none" w:pos="0" w:val="left"/>
        </w:tabs>
        <w:numPr>
          <w:ilvl w:val="1"/>
          <w:numId w:val="3"/>
        </w:numPr>
        <w:rPr>
          <w:rFonts w:ascii="Arial" w:cs="Arial" w:eastAsia="Arial" w:hAnsi="Arial"/>
          <w:sz w:val="18"/>
          <w:szCs w:val="18"/>
          <w:color w:val="auto"/>
        </w:rPr>
      </w:pPr>
    </w:p>
    <w:p>
      <w:pPr>
        <w:spacing w:after="0" w:line="157" w:lineRule="exact"/>
        <w:rPr>
          <w:rFonts w:ascii="Arial" w:cs="Arial" w:eastAsia="Arial" w:hAnsi="Arial"/>
          <w:sz w:val="18"/>
          <w:szCs w:val="18"/>
          <w:color w:val="auto"/>
        </w:rPr>
      </w:pPr>
    </w:p>
    <w:p>
      <w:pPr>
        <w:ind w:left="1940" w:hanging="608"/>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736"/>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736"/>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-768985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948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65"/>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2883345 **see Note 1**</w:t>
            </w:r>
          </w:p>
        </w:tc>
        <w:tc>
          <w:tcPr>
            <w:tcW w:w="0" w:type="dxa"/>
            <w:vAlign w:val="bottom"/>
          </w:tcPr>
          <w:p>
            <w:pPr>
              <w:spacing w:after="0"/>
              <w:rPr>
                <w:sz w:val="1"/>
                <w:szCs w:val="1"/>
                <w:color w:val="auto"/>
              </w:rPr>
            </w:pPr>
          </w:p>
        </w:tc>
      </w:tr>
      <w:tr>
        <w:trPr>
          <w:trHeight w:val="259"/>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00" w:type="dxa"/>
            <w:vAlign w:val="bottom"/>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948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80" w:type="dxa"/>
            <w:vAlign w:val="bottom"/>
          </w:tcPr>
          <w:p>
            <w:pPr>
              <w:spacing w:after="0"/>
              <w:rPr>
                <w:sz w:val="20"/>
                <w:szCs w:val="20"/>
                <w:color w:val="auto"/>
              </w:rPr>
            </w:pPr>
            <w:r>
              <w:rPr>
                <w:rFonts w:ascii="Arial" w:cs="Arial" w:eastAsia="Arial" w:hAnsi="Arial"/>
                <w:sz w:val="18"/>
                <w:szCs w:val="18"/>
                <w:color w:val="auto"/>
              </w:rPr>
              <w:t>Shares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948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80" w:type="dxa"/>
            <w:vAlign w:val="bottom"/>
            <w:vMerge w:val="restart"/>
          </w:tcPr>
          <w:p>
            <w:pPr>
              <w:ind w:left="8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20"/>
                <w:szCs w:val="20"/>
                <w:color w:val="auto"/>
              </w:rPr>
            </w:pPr>
            <w:r>
              <w:rPr>
                <w:rFonts w:ascii="Arial" w:cs="Arial" w:eastAsia="Arial" w:hAnsi="Arial"/>
                <w:sz w:val="18"/>
                <w:szCs w:val="18"/>
                <w:color w:val="auto"/>
              </w:rPr>
              <w:t>Reporting</w:t>
            </w:r>
          </w:p>
        </w:tc>
        <w:tc>
          <w:tcPr>
            <w:tcW w:w="400" w:type="dxa"/>
            <w:vAlign w:val="bottom"/>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line="202" w:lineRule="exact"/>
              <w:rPr>
                <w:sz w:val="20"/>
                <w:szCs w:val="20"/>
                <w:color w:val="auto"/>
              </w:rPr>
            </w:pPr>
            <w:r>
              <w:rPr>
                <w:rFonts w:ascii="Arial" w:cs="Arial" w:eastAsia="Arial" w:hAnsi="Arial"/>
                <w:sz w:val="18"/>
                <w:szCs w:val="18"/>
                <w:color w:val="auto"/>
              </w:rPr>
              <w:t>Person With</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w:t>
            </w:r>
          </w:p>
        </w:tc>
        <w:tc>
          <w:tcPr>
            <w:tcW w:w="948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64"/>
        </w:trPr>
        <w:tc>
          <w:tcPr>
            <w:tcW w:w="1280" w:type="dxa"/>
            <w:vAlign w:val="bottom"/>
          </w:tcPr>
          <w:p>
            <w:pPr>
              <w:spacing w:after="0"/>
              <w:rPr>
                <w:sz w:val="22"/>
                <w:szCs w:val="22"/>
                <w:color w:val="auto"/>
              </w:rPr>
            </w:pPr>
          </w:p>
        </w:tc>
        <w:tc>
          <w:tcPr>
            <w:tcW w:w="680" w:type="dxa"/>
            <w:vAlign w:val="bottom"/>
            <w:gridSpan w:val="2"/>
            <w:vMerge w:val="continue"/>
          </w:tcPr>
          <w:p>
            <w:pPr>
              <w:spacing w:after="0"/>
              <w:rPr>
                <w:sz w:val="22"/>
                <w:szCs w:val="22"/>
                <w:color w:val="auto"/>
              </w:rPr>
            </w:pPr>
          </w:p>
        </w:tc>
        <w:tc>
          <w:tcPr>
            <w:tcW w:w="9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2883345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173990</wp:posOffset>
            </wp:positionV>
            <wp:extent cx="6200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820" w:right="7520" w:hanging="1137"/>
        <w:spacing w:after="0" w:line="440" w:lineRule="auto"/>
        <w:tabs>
          <w:tab w:leader="none" w:pos="2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48" w:lineRule="exact"/>
        <w:rPr>
          <w:rFonts w:ascii="Arial" w:cs="Arial" w:eastAsia="Arial" w:hAnsi="Arial"/>
          <w:sz w:val="18"/>
          <w:szCs w:val="18"/>
          <w:color w:val="auto"/>
        </w:rPr>
      </w:pPr>
    </w:p>
    <w:p>
      <w:pPr>
        <w:ind w:left="1780" w:right="5420" w:hanging="1176"/>
        <w:spacing w:after="0" w:line="440" w:lineRule="auto"/>
        <w:tabs>
          <w:tab w:leader="none" w:pos="1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2883345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8" w:lineRule="exact"/>
        <w:rPr>
          <w:sz w:val="20"/>
          <w:szCs w:val="20"/>
          <w:color w:val="auto"/>
        </w:rPr>
      </w:pPr>
    </w:p>
    <w:p>
      <w:pPr>
        <w:ind w:left="1780" w:right="4000" w:hanging="1220"/>
        <w:spacing w:after="0" w:line="440" w:lineRule="auto"/>
        <w:tabs>
          <w:tab w:leader="none" w:pos="133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spacing w:after="0" w:line="348" w:lineRule="exact"/>
        <w:rPr>
          <w:rFonts w:ascii="Arial" w:cs="Arial" w:eastAsia="Arial" w:hAnsi="Arial"/>
          <w:sz w:val="18"/>
          <w:szCs w:val="18"/>
          <w:color w:val="auto"/>
        </w:rPr>
      </w:pPr>
    </w:p>
    <w:p>
      <w:pPr>
        <w:ind w:left="1340" w:hanging="777"/>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8"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340" w:hanging="780"/>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57"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58" w:lineRule="exact"/>
        <w:rPr>
          <w:sz w:val="20"/>
          <w:szCs w:val="20"/>
          <w:color w:val="auto"/>
        </w:rPr>
      </w:pPr>
    </w:p>
    <w:p>
      <w:pPr>
        <w:ind w:left="1780" w:hanging="448"/>
        <w:spacing w:after="0"/>
        <w:tabs>
          <w:tab w:leader="none" w:pos="1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322" w:lineRule="exact"/>
        <w:rPr>
          <w:sz w:val="20"/>
          <w:szCs w:val="20"/>
          <w:color w:val="auto"/>
        </w:rPr>
      </w:pPr>
    </w:p>
    <w:p>
      <w:pPr>
        <w:ind w:left="1780" w:hanging="448"/>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ectPr>
          <w:pgSz w:w="11900" w:h="16838" w:orient="portrait"/>
          <w:cols w:equalWidth="0" w:num="1">
            <w:col w:w="11440"/>
          </w:cols>
          <w:pgMar w:left="240" w:top="374" w:right="219" w:bottom="0" w:gutter="0" w:footer="0" w:header="0"/>
        </w:sectPr>
      </w:pPr>
    </w:p>
    <w:bookmarkStart w:id="2" w:name="page3"/>
    <w:bookmarkEnd w:id="2"/>
    <w:p>
      <w:pPr>
        <w:ind w:left="2320"/>
        <w:spacing w:after="0"/>
        <w:rPr>
          <w:sz w:val="20"/>
          <w:szCs w:val="20"/>
          <w:color w:val="auto"/>
        </w:rPr>
      </w:pPr>
      <w:r>
        <w:rPr>
          <w:rFonts w:ascii="Arial" w:cs="Arial" w:eastAsia="Arial" w:hAnsi="Arial"/>
          <w:sz w:val="18"/>
          <w:szCs w:val="18"/>
          <w:color w:val="auto"/>
        </w:rPr>
        <w:t>2128 W Braker Ln B12, Austin, TX 78758-4028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58" w:lineRule="exact"/>
        <w:rPr>
          <w:sz w:val="20"/>
          <w:szCs w:val="20"/>
          <w:color w:val="auto"/>
        </w:rPr>
      </w:pPr>
    </w:p>
    <w:p>
      <w:pPr>
        <w:ind w:left="1780" w:hanging="448"/>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58"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Dimensional Fund Advisors Inc.</w:t>
      </w:r>
    </w:p>
    <w:p>
      <w:pPr>
        <w:spacing w:after="0" w:line="158" w:lineRule="exact"/>
        <w:rPr>
          <w:sz w:val="20"/>
          <w:szCs w:val="20"/>
          <w:color w:val="auto"/>
        </w:rPr>
      </w:pPr>
    </w:p>
    <w:p>
      <w:pPr>
        <w:ind w:left="1780" w:hanging="448"/>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58"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1299 Ocean Avenue, 11th Floor, Santa Monica, CA 90401</w:t>
      </w:r>
    </w:p>
    <w:p>
      <w:pPr>
        <w:spacing w:after="0" w:line="158" w:lineRule="exact"/>
        <w:rPr>
          <w:sz w:val="20"/>
          <w:szCs w:val="20"/>
          <w:color w:val="auto"/>
        </w:rPr>
      </w:pPr>
    </w:p>
    <w:p>
      <w:pPr>
        <w:ind w:left="1780" w:hanging="448"/>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58"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Delaware Corporation</w:t>
      </w:r>
    </w:p>
    <w:p>
      <w:pPr>
        <w:spacing w:after="0" w:line="158" w:lineRule="exact"/>
        <w:rPr>
          <w:sz w:val="20"/>
          <w:szCs w:val="20"/>
          <w:color w:val="auto"/>
        </w:rPr>
      </w:pPr>
    </w:p>
    <w:p>
      <w:pPr>
        <w:ind w:left="2320" w:right="7700" w:hanging="988"/>
        <w:spacing w:after="0" w:line="475" w:lineRule="auto"/>
        <w:tabs>
          <w:tab w:leader="none" w:pos="1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 w:lineRule="exact"/>
        <w:rPr>
          <w:rFonts w:ascii="Arial" w:cs="Arial" w:eastAsia="Arial" w:hAnsi="Arial"/>
          <w:sz w:val="16"/>
          <w:szCs w:val="16"/>
          <w:color w:val="auto"/>
        </w:rPr>
      </w:pPr>
    </w:p>
    <w:p>
      <w:pPr>
        <w:ind w:left="2320" w:right="8160" w:hanging="988"/>
        <w:spacing w:after="0" w:line="576" w:lineRule="auto"/>
        <w:tabs>
          <w:tab w:leader="none" w:pos="17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CUSIP Number 00504W100</w:t>
      </w:r>
    </w:p>
    <w:p>
      <w:pPr>
        <w:spacing w:after="0" w:line="5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58" w:lineRule="exact"/>
        <w:rPr>
          <w:sz w:val="20"/>
          <w:szCs w:val="20"/>
          <w:color w:val="auto"/>
        </w:rPr>
      </w:pPr>
    </w:p>
    <w:tbl>
      <w:tblPr>
        <w:tblLayout w:type="fixed"/>
        <w:tblInd w:w="1340" w:type="dxa"/>
        <w:tblCellMar>
          <w:top w:w="0" w:type="dxa"/>
          <w:left w:w="0" w:type="dxa"/>
          <w:bottom w:w="0" w:type="dxa"/>
          <w:right w:w="0" w:type="dxa"/>
        </w:tblCellMar>
      </w:tblP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40" w:type="dxa"/>
            <w:vAlign w:val="bottom"/>
          </w:tcPr>
          <w:p>
            <w:pPr>
              <w:ind w:left="14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365"/>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40" w:type="dxa"/>
            <w:vAlign w:val="bottom"/>
          </w:tcPr>
          <w:p>
            <w:pPr>
              <w:ind w:left="140"/>
              <w:spacing w:after="0"/>
              <w:rPr>
                <w:sz w:val="20"/>
                <w:szCs w:val="20"/>
                <w:color w:val="auto"/>
              </w:rPr>
            </w:pPr>
            <w:r>
              <w:rPr>
                <w:rFonts w:ascii="Arial" w:cs="Arial" w:eastAsia="Arial" w:hAnsi="Arial"/>
                <w:sz w:val="18"/>
                <w:szCs w:val="18"/>
                <w:color w:val="auto"/>
              </w:rPr>
              <w:t>Bank as defined in section 3(a)(6) of the Act (15 U.S.C. 78c).</w:t>
            </w:r>
          </w:p>
        </w:tc>
      </w:tr>
      <w:tr>
        <w:trPr>
          <w:trHeight w:val="365"/>
        </w:trPr>
        <w:tc>
          <w:tcPr>
            <w:tcW w:w="320" w:type="dxa"/>
            <w:vAlign w:val="bottom"/>
          </w:tcPr>
          <w:p>
            <w:pPr>
              <w:spacing w:after="0"/>
              <w:rPr>
                <w:sz w:val="20"/>
                <w:szCs w:val="20"/>
                <w:color w:val="auto"/>
              </w:rPr>
            </w:pPr>
            <w:r>
              <w:rPr>
                <w:rFonts w:ascii="Arial" w:cs="Arial" w:eastAsia="Arial" w:hAnsi="Arial"/>
                <w:sz w:val="18"/>
                <w:szCs w:val="18"/>
                <w:color w:val="auto"/>
              </w:rPr>
              <w:t>(c)</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40" w:type="dxa"/>
            <w:vAlign w:val="bottom"/>
          </w:tcPr>
          <w:p>
            <w:pPr>
              <w:ind w:left="14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365"/>
        </w:trPr>
        <w:tc>
          <w:tcPr>
            <w:tcW w:w="320" w:type="dxa"/>
            <w:vAlign w:val="bottom"/>
          </w:tcPr>
          <w:p>
            <w:pPr>
              <w:spacing w:after="0"/>
              <w:rPr>
                <w:sz w:val="20"/>
                <w:szCs w:val="20"/>
                <w:color w:val="auto"/>
              </w:rPr>
            </w:pPr>
            <w:r>
              <w:rPr>
                <w:rFonts w:ascii="Arial" w:cs="Arial" w:eastAsia="Arial" w:hAnsi="Arial"/>
                <w:sz w:val="18"/>
                <w:szCs w:val="18"/>
                <w:color w:val="auto"/>
              </w:rPr>
              <w:t>(d)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40" w:type="dxa"/>
            <w:vAlign w:val="bottom"/>
          </w:tcPr>
          <w:p>
            <w:pPr>
              <w:ind w:left="140"/>
              <w:spacing w:after="0"/>
              <w:rPr>
                <w:sz w:val="20"/>
                <w:szCs w:val="20"/>
                <w:color w:val="auto"/>
              </w:rPr>
            </w:pPr>
            <w:r>
              <w:rPr>
                <w:rFonts w:ascii="Arial" w:cs="Arial" w:eastAsia="Arial" w:hAnsi="Arial"/>
                <w:sz w:val="18"/>
                <w:szCs w:val="18"/>
                <w:color w:val="auto"/>
                <w:w w:val="88"/>
              </w:rPr>
              <w:t>Investment company registered under section 8 of the Investment Company Act of 1940 (15 U.S.C 80a-8).</w:t>
            </w:r>
          </w:p>
        </w:tc>
      </w:tr>
    </w:tbl>
    <w:p>
      <w:pPr>
        <w:spacing w:after="0" w:line="142" w:lineRule="exact"/>
        <w:rPr>
          <w:sz w:val="20"/>
          <w:szCs w:val="20"/>
          <w:color w:val="auto"/>
        </w:rPr>
      </w:pPr>
    </w:p>
    <w:p>
      <w:pPr>
        <w:ind w:left="1780" w:hanging="448"/>
        <w:spacing w:after="0"/>
        <w:tabs>
          <w:tab w:leader="none" w:pos="1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158" w:lineRule="exact"/>
        <w:rPr>
          <w:sz w:val="20"/>
          <w:szCs w:val="20"/>
          <w:color w:val="auto"/>
        </w:rPr>
      </w:pPr>
    </w:p>
    <w:tbl>
      <w:tblPr>
        <w:tblLayout w:type="fixed"/>
        <w:tblInd w:w="1340" w:type="dxa"/>
        <w:tblCellMar>
          <w:top w:w="0" w:type="dxa"/>
          <w:left w:w="0" w:type="dxa"/>
          <w:bottom w:w="0" w:type="dxa"/>
          <w:right w:w="0" w:type="dxa"/>
        </w:tblCellMar>
      </w:tblP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(f)</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160" w:type="dxa"/>
            <w:vAlign w:val="bottom"/>
          </w:tcPr>
          <w:p>
            <w:pPr>
              <w:ind w:left="14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365"/>
        </w:trPr>
        <w:tc>
          <w:tcPr>
            <w:tcW w:w="320" w:type="dxa"/>
            <w:vAlign w:val="bottom"/>
          </w:tcPr>
          <w:p>
            <w:pPr>
              <w:spacing w:after="0"/>
              <w:rPr>
                <w:sz w:val="20"/>
                <w:szCs w:val="20"/>
                <w:color w:val="auto"/>
              </w:rPr>
            </w:pPr>
            <w:r>
              <w:rPr>
                <w:rFonts w:ascii="Arial" w:cs="Arial" w:eastAsia="Arial" w:hAnsi="Arial"/>
                <w:sz w:val="18"/>
                <w:szCs w:val="18"/>
                <w:color w:val="auto"/>
              </w:rPr>
              <w:t>(g)</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160" w:type="dxa"/>
            <w:vAlign w:val="bottom"/>
          </w:tcPr>
          <w:p>
            <w:pPr>
              <w:ind w:left="14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365"/>
        </w:trPr>
        <w:tc>
          <w:tcPr>
            <w:tcW w:w="320" w:type="dxa"/>
            <w:vAlign w:val="bottom"/>
          </w:tcPr>
          <w:p>
            <w:pPr>
              <w:spacing w:after="0"/>
              <w:rPr>
                <w:sz w:val="20"/>
                <w:szCs w:val="20"/>
                <w:color w:val="auto"/>
              </w:rPr>
            </w:pPr>
            <w:r>
              <w:rPr>
                <w:rFonts w:ascii="Arial" w:cs="Arial" w:eastAsia="Arial" w:hAnsi="Arial"/>
                <w:sz w:val="18"/>
                <w:szCs w:val="18"/>
                <w:color w:val="auto"/>
              </w:rPr>
              <w:t>(h)</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160" w:type="dxa"/>
            <w:vAlign w:val="bottom"/>
          </w:tcPr>
          <w:p>
            <w:pPr>
              <w:ind w:left="14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358"/>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160" w:type="dxa"/>
            <w:vAlign w:val="bottom"/>
          </w:tcPr>
          <w:p>
            <w:pPr>
              <w:ind w:left="140"/>
              <w:spacing w:after="0"/>
              <w:rPr>
                <w:sz w:val="20"/>
                <w:szCs w:val="20"/>
                <w:color w:val="auto"/>
              </w:rPr>
            </w:pPr>
            <w:r>
              <w:rPr>
                <w:rFonts w:ascii="Arial" w:cs="Arial" w:eastAsia="Arial" w:hAnsi="Arial"/>
                <w:sz w:val="18"/>
                <w:szCs w:val="18"/>
                <w:color w:val="auto"/>
                <w:w w:val="89"/>
              </w:rPr>
              <w:t>A church plan that is excluded from the definition of an investment company under section 3(c)(14) of the Investment Company</w:t>
            </w:r>
          </w:p>
        </w:tc>
      </w:tr>
      <w:tr>
        <w:trPr>
          <w:trHeight w:val="222"/>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Act of 1940 (15 U.S.C. 80a-3);</w:t>
            </w:r>
          </w:p>
        </w:tc>
      </w:tr>
      <w:tr>
        <w:trPr>
          <w:trHeight w:val="365"/>
        </w:trPr>
        <w:tc>
          <w:tcPr>
            <w:tcW w:w="320" w:type="dxa"/>
            <w:vAlign w:val="bottom"/>
          </w:tcPr>
          <w:p>
            <w:pPr>
              <w:spacing w:after="0"/>
              <w:rPr>
                <w:sz w:val="20"/>
                <w:szCs w:val="20"/>
                <w:color w:val="auto"/>
              </w:rPr>
            </w:pPr>
            <w:r>
              <w:rPr>
                <w:rFonts w:ascii="Arial" w:cs="Arial" w:eastAsia="Arial" w:hAnsi="Arial"/>
                <w:sz w:val="18"/>
                <w:szCs w:val="18"/>
                <w:color w:val="auto"/>
              </w:rPr>
              <w:t>(j)</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160" w:type="dxa"/>
            <w:vAlign w:val="bottom"/>
          </w:tcPr>
          <w:p>
            <w:pPr>
              <w:ind w:left="140"/>
              <w:spacing w:after="0"/>
              <w:rPr>
                <w:sz w:val="20"/>
                <w:szCs w:val="20"/>
                <w:color w:val="auto"/>
              </w:rPr>
            </w:pPr>
            <w:r>
              <w:rPr>
                <w:rFonts w:ascii="Arial" w:cs="Arial" w:eastAsia="Arial" w:hAnsi="Arial"/>
                <w:sz w:val="18"/>
                <w:szCs w:val="18"/>
                <w:color w:val="auto"/>
              </w:rPr>
              <w:t>Group, in accordance with §240.13d-1(b)(1)(ii)(J).</w:t>
            </w:r>
          </w:p>
        </w:tc>
      </w:tr>
    </w:tbl>
    <w:p>
      <w:pPr>
        <w:spacing w:after="0" w:line="29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Ownership.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58" w:lineRule="exact"/>
        <w:rPr>
          <w:sz w:val="20"/>
          <w:szCs w:val="20"/>
          <w:color w:val="auto"/>
        </w:rPr>
      </w:pPr>
    </w:p>
    <w:p>
      <w:pPr>
        <w:ind w:left="2320" w:right="7220" w:hanging="988"/>
        <w:spacing w:after="0" w:line="475" w:lineRule="auto"/>
        <w:tabs>
          <w:tab w:leader="none" w:pos="1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 beneficially owned: 2883345 **see Note 1**</w:t>
      </w:r>
    </w:p>
    <w:p>
      <w:pPr>
        <w:spacing w:after="0" w:line="1" w:lineRule="exact"/>
        <w:rPr>
          <w:rFonts w:ascii="Arial" w:cs="Arial" w:eastAsia="Arial" w:hAnsi="Arial"/>
          <w:sz w:val="16"/>
          <w:szCs w:val="16"/>
          <w:color w:val="auto"/>
        </w:rPr>
      </w:pPr>
    </w:p>
    <w:p>
      <w:pPr>
        <w:ind w:left="1780" w:hanging="448"/>
        <w:spacing w:after="0"/>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58"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6.76%</w:t>
      </w:r>
    </w:p>
    <w:p>
      <w:pPr>
        <w:spacing w:after="0" w:line="158" w:lineRule="exact"/>
        <w:rPr>
          <w:sz w:val="20"/>
          <w:szCs w:val="20"/>
          <w:color w:val="auto"/>
        </w:rPr>
      </w:pPr>
    </w:p>
    <w:p>
      <w:pPr>
        <w:ind w:left="1780" w:hanging="448"/>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57" w:lineRule="exact"/>
        <w:rPr>
          <w:rFonts w:ascii="Arial" w:cs="Arial" w:eastAsia="Arial" w:hAnsi="Arial"/>
          <w:sz w:val="18"/>
          <w:szCs w:val="18"/>
          <w:color w:val="auto"/>
        </w:rPr>
      </w:pPr>
    </w:p>
    <w:p>
      <w:pPr>
        <w:ind w:left="2760" w:right="6240" w:hanging="983"/>
        <w:spacing w:after="0" w:line="475" w:lineRule="auto"/>
        <w:tabs>
          <w:tab w:leader="none" w:pos="2314" w:val="left"/>
        </w:tabs>
        <w:numPr>
          <w:ilvl w:val="1"/>
          <w:numId w:val="16"/>
        </w:numPr>
        <w:rPr>
          <w:rFonts w:ascii="Arial" w:cs="Arial" w:eastAsia="Arial" w:hAnsi="Arial"/>
          <w:sz w:val="16"/>
          <w:szCs w:val="16"/>
          <w:color w:val="auto"/>
        </w:rPr>
      </w:pPr>
      <w:r>
        <w:rPr>
          <w:rFonts w:ascii="Arial" w:cs="Arial" w:eastAsia="Arial" w:hAnsi="Arial"/>
          <w:sz w:val="16"/>
          <w:szCs w:val="16"/>
          <w:color w:val="auto"/>
        </w:rPr>
        <w:t>Sole power to vote or to direct the vote: 2883345 **see Note 1**</w:t>
      </w:r>
    </w:p>
    <w:p>
      <w:pPr>
        <w:spacing w:after="0" w:line="1" w:lineRule="exact"/>
        <w:rPr>
          <w:rFonts w:ascii="Arial" w:cs="Arial" w:eastAsia="Arial" w:hAnsi="Arial"/>
          <w:sz w:val="16"/>
          <w:szCs w:val="16"/>
          <w:color w:val="auto"/>
        </w:rPr>
      </w:pPr>
    </w:p>
    <w:p>
      <w:pPr>
        <w:ind w:left="2760" w:right="6060" w:hanging="983"/>
        <w:spacing w:after="0" w:line="422" w:lineRule="auto"/>
        <w:tabs>
          <w:tab w:leader="none" w:pos="2314"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 w:lineRule="exact"/>
        <w:rPr>
          <w:rFonts w:ascii="Arial" w:cs="Arial" w:eastAsia="Arial" w:hAnsi="Arial"/>
          <w:sz w:val="18"/>
          <w:szCs w:val="18"/>
          <w:color w:val="auto"/>
        </w:rPr>
      </w:pPr>
    </w:p>
    <w:p>
      <w:pPr>
        <w:ind w:left="2760" w:right="5360" w:hanging="983"/>
        <w:spacing w:after="0" w:line="422" w:lineRule="auto"/>
        <w:tabs>
          <w:tab w:leader="none" w:pos="2314"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2883345 **see Note 1**</w:t>
      </w:r>
    </w:p>
    <w:p>
      <w:pPr>
        <w:spacing w:after="0" w:line="1" w:lineRule="exact"/>
        <w:rPr>
          <w:rFonts w:ascii="Arial" w:cs="Arial" w:eastAsia="Arial" w:hAnsi="Arial"/>
          <w:sz w:val="18"/>
          <w:szCs w:val="18"/>
          <w:color w:val="auto"/>
        </w:rPr>
      </w:pPr>
    </w:p>
    <w:p>
      <w:pPr>
        <w:ind w:left="2760" w:right="5180" w:hanging="983"/>
        <w:spacing w:after="0" w:line="440" w:lineRule="auto"/>
        <w:tabs>
          <w:tab w:leader="none" w:pos="2314"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19" w:lineRule="exact"/>
        <w:rPr>
          <w:sz w:val="20"/>
          <w:szCs w:val="20"/>
          <w:color w:val="auto"/>
        </w:rPr>
      </w:pPr>
    </w:p>
    <w:p>
      <w:pPr>
        <w:ind w:left="1340" w:right="80" w:hanging="8"/>
        <w:spacing w:after="0" w:line="288" w:lineRule="auto"/>
        <w:tabs>
          <w:tab w:leader="none" w:pos="1559"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Note 1 **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ectPr>
          <w:pgSz w:w="11900" w:h="16838" w:orient="portrait"/>
          <w:cols w:equalWidth="0" w:num="1">
            <w:col w:w="11340"/>
          </w:cols>
          <w:pgMar w:left="240" w:top="131" w:right="319" w:bottom="0" w:gutter="0" w:footer="0" w:header="0"/>
        </w:sectPr>
      </w:pPr>
    </w:p>
    <w:bookmarkStart w:id="3" w:name="page4"/>
    <w:bookmarkEnd w:id="3"/>
    <w:p>
      <w:pPr>
        <w:spacing w:after="0"/>
        <w:tabs>
          <w:tab w:leader="none" w:pos="13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36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306" w:lineRule="exact"/>
        <w:rPr>
          <w:sz w:val="20"/>
          <w:szCs w:val="20"/>
          <w:color w:val="auto"/>
        </w:rPr>
      </w:pPr>
    </w:p>
    <w:p>
      <w:pPr>
        <w:jc w:val="both"/>
        <w:ind w:left="1340" w:right="20"/>
        <w:spacing w:after="0" w:line="259" w:lineRule="auto"/>
        <w:rPr>
          <w:sz w:val="20"/>
          <w:szCs w:val="20"/>
          <w:color w:val="auto"/>
        </w:rPr>
      </w:pPr>
      <w:r>
        <w:rPr>
          <w:rFonts w:ascii="Arial" w:cs="Arial" w:eastAsia="Arial" w:hAnsi="Arial"/>
          <w:sz w:val="18"/>
          <w:szCs w:val="18"/>
          <w:color w:val="auto"/>
        </w:rPr>
        <w:t>All securities reported in this schedule are owned by advisory clients of Dimensional Fund Advisors Inc., no one of which, to the knowledge of Dimensional Fund Advisors, Inc., owns more than 5% of the class. Dimensional Fund Advisors Inc. disclaims beneficial ownership of all such securities.</w:t>
      </w:r>
    </w:p>
    <w:p>
      <w:pPr>
        <w:spacing w:after="0" w:line="275" w:lineRule="exact"/>
        <w:rPr>
          <w:sz w:val="20"/>
          <w:szCs w:val="20"/>
          <w:color w:val="auto"/>
        </w:rPr>
      </w:pPr>
    </w:p>
    <w:p>
      <w:pPr>
        <w:ind w:left="1340" w:hanging="1323"/>
        <w:spacing w:after="0" w:line="268" w:lineRule="auto"/>
        <w:tabs>
          <w:tab w:leader="none" w:pos="13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N/A</w:t>
      </w:r>
    </w:p>
    <w:p>
      <w:pPr>
        <w:spacing w:after="0" w:line="30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N/A</w:t>
      </w:r>
    </w:p>
    <w:p>
      <w:pPr>
        <w:spacing w:after="0" w:line="30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N/A</w:t>
      </w:r>
    </w:p>
    <w:p>
      <w:pPr>
        <w:spacing w:after="0" w:line="30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58" w:lineRule="exact"/>
        <w:rPr>
          <w:sz w:val="20"/>
          <w:szCs w:val="20"/>
          <w:color w:val="auto"/>
        </w:rPr>
      </w:pPr>
    </w:p>
    <w:p>
      <w:pPr>
        <w:ind w:left="1580" w:right="4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428" w:right="23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DIMENSIONAL FUND ADVISORS INC.</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February 9, 2005</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15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Catherine L. Newell</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15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Vice President and Secretary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58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2"/>
    </w:lvl>
    <w:lvl w:ilvl="1">
      <w:lvlJc w:val="left"/>
      <w:lvlText w:val="(%2)"/>
      <w:numFmt w:val="lowerLetter"/>
      <w:start w:val="1"/>
    </w:lvl>
  </w:abstractNum>
  <w:abstractNum w:abstractNumId="3">
    <w:nsid w:val="216231B"/>
    <w:multiLevelType w:val="hybridMultilevel"/>
    <w:lvl w:ilvl="0">
      <w:lvlJc w:val="left"/>
      <w:lvlText w:val="%1"/>
      <w:numFmt w:val="decimal"/>
      <w:start w:val="1"/>
    </w:lvl>
    <w:lvl w:ilvl="1">
      <w:lvlJc w:val="left"/>
      <w:lvlText w:val="%2."/>
      <w:numFmt w:val="decimal"/>
      <w:start w:val="8"/>
    </w:lvl>
  </w:abstractNum>
  <w:abstractNum w:abstractNumId="4">
    <w:nsid w:val="1F16E9E8"/>
    <w:multiLevelType w:val="hybridMultilevel"/>
    <w:lvl w:ilvl="0">
      <w:lvlJc w:val="left"/>
      <w:lvlText w:val="%1."/>
      <w:numFmt w:val="decimal"/>
      <w:start w:val="9"/>
    </w:lvl>
    <w:lvl w:ilvl="1">
      <w:lvlJc w:val="left"/>
      <w:lvlText w:val="%2"/>
      <w:numFmt w:val="decimal"/>
      <w:start w:val="1"/>
    </w:lvl>
  </w:abstractNum>
  <w:abstractNum w:abstractNumId="5">
    <w:nsid w:val="1190CDE7"/>
    <w:multiLevelType w:val="hybridMultilevel"/>
    <w:lvl w:ilvl="0">
      <w:lvlJc w:val="left"/>
      <w:lvlText w:val="%1."/>
      <w:numFmt w:val="decimal"/>
      <w:start w:val="10"/>
    </w:lvl>
  </w:abstractNum>
  <w:abstractNum w:abstractNumId="6">
    <w:nsid w:val="66EF438D"/>
    <w:multiLevelType w:val="hybridMultilevel"/>
    <w:lvl w:ilvl="0">
      <w:lvlJc w:val="left"/>
      <w:lvlText w:val="%1."/>
      <w:numFmt w:val="decimal"/>
      <w:start w:val="12"/>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2"/>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2"/>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1)"/>
      <w:numFmt w:val="lowerLetter"/>
      <w:start w:val="4"/>
    </w:lvl>
  </w:abstractNum>
  <w:abstractNum w:abstractNumId="13">
    <w:nsid w:val="41A7C4C9"/>
    <w:multiLevelType w:val="hybridMultilevel"/>
    <w:lvl w:ilvl="0">
      <w:lvlJc w:val="left"/>
      <w:lvlText w:val="(%1)"/>
      <w:numFmt w:val="lowerLetter"/>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3"/>
    </w:lvl>
    <w:lvl w:ilvl="1">
      <w:lvlJc w:val="left"/>
      <w:lvlText w:val="(%2)"/>
      <w:numFmt w:val="lowerRoman"/>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2019-12-14T16:11:42Z</dcterms:created>
  <dcterms:modified xsi:type="dcterms:W3CDTF">2019-12-14T16:11:42Z</dcterms:modified>
</cp:coreProperties>
</file>