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5875655</wp:posOffset>
            </wp:positionH>
            <wp:positionV relativeFrom="page">
              <wp:posOffset>155575</wp:posOffset>
            </wp:positionV>
            <wp:extent cx="153035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0350" cy="115570"/>
                    </a:xfrm>
                    <a:prstGeom prst="rect">
                      <a:avLst/>
                    </a:prstGeom>
                    <a:noFill/>
                  </pic:spPr>
                </pic:pic>
              </a:graphicData>
            </a:graphic>
          </wp:anchor>
        </w:drawing>
        <w:t>OMB APPROVAL</w:t>
      </w:r>
    </w:p>
    <w:tbl>
      <w:tblPr>
        <w:tblLayout w:type="fixed"/>
        <w:tblInd w:w="9030" w:type="dxa"/>
        <w:tblCellMar>
          <w:top w:w="0" w:type="dxa"/>
          <w:left w:w="0" w:type="dxa"/>
          <w:bottom w:w="0" w:type="dxa"/>
          <w:right w:w="0" w:type="dxa"/>
        </w:tblCellMar>
      </w:tblPr>
      <w:tr>
        <w:trPr>
          <w:trHeight w:val="145"/>
        </w:trPr>
        <w:tc>
          <w:tcPr>
            <w:tcW w:w="1260" w:type="dxa"/>
            <w:vAlign w:val="bottom"/>
            <w:tcBorders>
              <w:top w:val="single" w:sz="8" w:color="auto"/>
              <w:left w:val="single" w:sz="8" w:color="auto"/>
              <w:bottom w:val="single" w:sz="8" w:color="auto"/>
            </w:tcBorders>
          </w:tcPr>
          <w:p>
            <w:pPr>
              <w:ind w:left="220"/>
              <w:spacing w:after="0" w:line="145" w:lineRule="exact"/>
              <w:rPr>
                <w:sz w:val="20"/>
                <w:szCs w:val="20"/>
                <w:color w:val="auto"/>
              </w:rPr>
            </w:pPr>
            <w:r>
              <w:rPr>
                <w:rFonts w:ascii="Arial" w:cs="Arial" w:eastAsia="Arial" w:hAnsi="Arial"/>
                <w:sz w:val="14"/>
                <w:szCs w:val="14"/>
                <w:color w:val="auto"/>
              </w:rPr>
              <w:t>OMB Number:</w:t>
            </w:r>
          </w:p>
        </w:tc>
        <w:tc>
          <w:tcPr>
            <w:tcW w:w="1140" w:type="dxa"/>
            <w:vAlign w:val="bottom"/>
            <w:tcBorders>
              <w:top w:val="single" w:sz="8" w:color="auto"/>
              <w:bottom w:val="single" w:sz="8" w:color="auto"/>
              <w:right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3235-0145</w:t>
            </w:r>
          </w:p>
        </w:tc>
      </w:tr>
      <w:tr>
        <w:trPr>
          <w:trHeight w:val="142"/>
        </w:trPr>
        <w:tc>
          <w:tcPr>
            <w:tcW w:w="1260" w:type="dxa"/>
            <w:vAlign w:val="bottom"/>
            <w:tcBorders>
              <w:left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Expires:</w:t>
            </w:r>
          </w:p>
        </w:tc>
        <w:tc>
          <w:tcPr>
            <w:tcW w:w="11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7"/>
              </w:rPr>
              <w:t>February 28, 2009</w:t>
            </w:r>
          </w:p>
        </w:tc>
      </w:tr>
      <w:tr>
        <w:trPr>
          <w:trHeight w:val="131"/>
        </w:trPr>
        <w:tc>
          <w:tcPr>
            <w:tcW w:w="2400" w:type="dxa"/>
            <w:vAlign w:val="bottom"/>
            <w:tcBorders>
              <w:left w:val="single" w:sz="8" w:color="auto"/>
              <w:right w:val="single" w:sz="8" w:color="auto"/>
            </w:tcBorders>
            <w:gridSpan w:val="2"/>
          </w:tcPr>
          <w:p>
            <w:pPr>
              <w:ind w:left="220"/>
              <w:spacing w:after="0" w:line="131" w:lineRule="exact"/>
              <w:rPr>
                <w:sz w:val="20"/>
                <w:szCs w:val="20"/>
                <w:color w:val="auto"/>
              </w:rPr>
            </w:pPr>
            <w:r>
              <w:rPr>
                <w:rFonts w:ascii="Arial" w:cs="Arial" w:eastAsia="Arial" w:hAnsi="Arial"/>
                <w:sz w:val="14"/>
                <w:szCs w:val="14"/>
                <w:color w:val="auto"/>
              </w:rPr>
              <w:t>Estimated average burden</w:t>
            </w:r>
          </w:p>
        </w:tc>
      </w:tr>
      <w:tr>
        <w:trPr>
          <w:trHeight w:val="159"/>
        </w:trPr>
        <w:tc>
          <w:tcPr>
            <w:tcW w:w="1260" w:type="dxa"/>
            <w:vAlign w:val="bottom"/>
            <w:tcBorders>
              <w:left w:val="single" w:sz="8" w:color="auto"/>
              <w:bottom w:val="single" w:sz="8" w:color="auto"/>
            </w:tcBorders>
          </w:tcPr>
          <w:p>
            <w:pPr>
              <w:ind w:left="220"/>
              <w:spacing w:after="0" w:line="159" w:lineRule="exact"/>
              <w:rPr>
                <w:sz w:val="20"/>
                <w:szCs w:val="20"/>
                <w:color w:val="auto"/>
              </w:rPr>
            </w:pPr>
            <w:r>
              <w:rPr>
                <w:rFonts w:ascii="Arial" w:cs="Arial" w:eastAsia="Arial" w:hAnsi="Arial"/>
                <w:sz w:val="14"/>
                <w:szCs w:val="14"/>
                <w:color w:val="auto"/>
                <w:w w:val="84"/>
              </w:rPr>
              <w:t>hours per response</w:t>
            </w:r>
          </w:p>
        </w:tc>
        <w:tc>
          <w:tcPr>
            <w:tcW w:w="1140" w:type="dxa"/>
            <w:vAlign w:val="bottom"/>
            <w:tcBorders>
              <w:bottom w:val="single" w:sz="8" w:color="auto"/>
              <w:right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11</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0" w:lineRule="exact"/>
        <w:rPr>
          <w:sz w:val="24"/>
          <w:szCs w:val="24"/>
          <w:color w:val="auto"/>
        </w:rPr>
      </w:pPr>
    </w:p>
    <w:p>
      <w:pPr>
        <w:spacing w:after="0" w:line="208" w:lineRule="exact"/>
        <w:rPr>
          <w:sz w:val="24"/>
          <w:szCs w:val="24"/>
          <w:color w:val="auto"/>
        </w:rPr>
      </w:pPr>
    </w:p>
    <w:p>
      <w:pPr>
        <w:jc w:val="center"/>
        <w:ind w:left="260" w:right="2760"/>
        <w:spacing w:after="0" w:line="262" w:lineRule="auto"/>
        <w:rPr>
          <w:sz w:val="20"/>
          <w:szCs w:val="20"/>
          <w:color w:val="auto"/>
        </w:rPr>
      </w:pPr>
      <w:r>
        <w:rPr>
          <w:rFonts w:ascii="Arial" w:cs="Arial" w:eastAsia="Arial" w:hAnsi="Arial"/>
          <w:sz w:val="18"/>
          <w:szCs w:val="18"/>
          <w:b w:val="1"/>
          <w:bCs w:val="1"/>
          <w:color w:val="auto"/>
        </w:rPr>
        <w:t>INFORMATION TO BE INCLUDED IN STATEMENTS FILED PURSUANT TO RULES 13d-1(b)(c), AND (d) AND AMENDMENTS THERETO FILED PURSUANT TO RULE 13D-2(b)</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r>
        <w:rPr>
          <w:rFonts w:ascii="Arial" w:cs="Arial" w:eastAsia="Arial" w:hAnsi="Arial"/>
          <w:sz w:val="11"/>
          <w:szCs w:val="11"/>
          <w:b w:val="1"/>
          <w:bCs w:val="1"/>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87" w:lineRule="exact"/>
        <w:rPr>
          <w:rFonts w:ascii="MS PGothic" w:cs="MS PGothic" w:eastAsia="MS PGothic" w:hAnsi="MS PGothic"/>
          <w:sz w:val="18"/>
          <w:szCs w:val="18"/>
          <w:color w:val="auto"/>
        </w:rPr>
      </w:pPr>
    </w:p>
    <w:p>
      <w:pPr>
        <w:ind w:left="220" w:right="80" w:hanging="216"/>
        <w:spacing w:after="0" w:line="281" w:lineRule="auto"/>
        <w:rPr>
          <w:rFonts w:ascii="MS PGothic" w:cs="MS PGothic" w:eastAsia="MS PGothic" w:hAnsi="MS PGothic"/>
          <w:sz w:val="18"/>
          <w:szCs w:val="18"/>
          <w:color w:val="auto"/>
        </w:rPr>
      </w:pPr>
      <w:r>
        <w:rPr>
          <w:rFonts w:ascii="Arial" w:cs="Arial" w:eastAsia="Arial" w:hAnsi="Arial"/>
          <w:sz w:val="11"/>
          <w:szCs w:val="11"/>
          <w:color w:val="auto"/>
        </w:rPr>
        <w:t xml:space="preserve">1 </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w:t>
      </w:r>
      <w:r>
        <w:rPr>
          <w:rFonts w:ascii="Arial" w:cs="Arial" w:eastAsia="Arial" w:hAnsi="Arial"/>
          <w:sz w:val="11"/>
          <w:szCs w:val="11"/>
          <w:color w:val="auto"/>
        </w:rPr>
        <w:t xml:space="preserve"> </w:t>
      </w:r>
      <w:r>
        <w:rPr>
          <w:rFonts w:ascii="Arial" w:cs="Arial" w:eastAsia="Arial" w:hAnsi="Arial"/>
          <w:sz w:val="17"/>
          <w:szCs w:val="17"/>
          <w:color w:val="auto"/>
        </w:rPr>
        <w:t>subsequent amendment containing information which would alter the disclosures provided in a prior cover page.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420"/>
          </w:cols>
          <w:pgMar w:left="240" w:top="2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USA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9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1,316,241</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4,000,000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42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3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1,316,241</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4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6240"/>
        <w:spacing w:after="0"/>
        <w:rPr>
          <w:sz w:val="20"/>
          <w:szCs w:val="20"/>
          <w:color w:val="auto"/>
        </w:rPr>
      </w:pPr>
      <w:r>
        <w:rPr>
          <w:rFonts w:ascii="Arial" w:cs="Arial" w:eastAsia="Arial" w:hAnsi="Arial"/>
          <w:sz w:val="22"/>
          <w:szCs w:val="22"/>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5,741,435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38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600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40" w:lineRule="exact"/>
        <w:rPr>
          <w:sz w:val="20"/>
          <w:szCs w:val="20"/>
          <w:color w:val="auto"/>
        </w:rPr>
      </w:pPr>
    </w:p>
    <w:p>
      <w:pPr>
        <w:ind w:left="460" w:right="220" w:hanging="452"/>
        <w:spacing w:after="0" w:line="31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upon 50,828,461 shares of Common Stock outstanding as of December 31, 2006, which includes 703,000 shares of Common Stock that may be acquired by the Reporting Person within 60 days of December 31, 2006 through the exercise of stock options. As of February 1, 2007, 219,531 stock options held by the Reporting Person that were outstanding and exercisable as of December 31, 2006 failed to vest and ceased to be exercisable with respect to such unvested option shares. As of May 2, 2007, the 483,469 options held by the Reporting Person that remained exercisable as of February 1, 2007 will terminate and cease to be outstanding to the extent such options are not exercised for the remaining vested option shares prior to May 2, 2007.</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218" w:lineRule="exact"/>
        <w:rPr>
          <w:sz w:val="20"/>
          <w:szCs w:val="20"/>
          <w:color w:val="auto"/>
        </w:rPr>
      </w:pPr>
    </w:p>
    <w:p>
      <w:pPr>
        <w:ind w:left="900" w:right="90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Issuer Active Power, Inc.</w:t>
      </w:r>
    </w:p>
    <w:p>
      <w:pPr>
        <w:spacing w:after="0" w:line="125" w:lineRule="exact"/>
        <w:rPr>
          <w:rFonts w:ascii="Arial" w:cs="Arial" w:eastAsia="Arial" w:hAnsi="Arial"/>
          <w:sz w:val="16"/>
          <w:szCs w:val="16"/>
          <w:color w:val="auto"/>
        </w:rPr>
      </w:pPr>
    </w:p>
    <w:p>
      <w:pPr>
        <w:ind w:left="900" w:right="7040" w:hanging="446"/>
        <w:spacing w:after="0" w:line="25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2128 W. Braker Lane, Braker 12</w:t>
      </w:r>
    </w:p>
    <w:p>
      <w:pPr>
        <w:ind w:left="900"/>
        <w:spacing w:after="0"/>
        <w:rPr>
          <w:rFonts w:ascii="Arial" w:cs="Arial" w:eastAsia="Arial" w:hAnsi="Arial"/>
          <w:sz w:val="18"/>
          <w:szCs w:val="18"/>
          <w:color w:val="auto"/>
        </w:rPr>
      </w:pPr>
      <w:r>
        <w:rPr>
          <w:rFonts w:ascii="Arial" w:cs="Arial" w:eastAsia="Arial" w:hAnsi="Arial"/>
          <w:sz w:val="18"/>
          <w:szCs w:val="18"/>
          <w:color w:val="auto"/>
        </w:rPr>
        <w:t>Austin, TX 78758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8" w:lineRule="exact"/>
        <w:rPr>
          <w:sz w:val="20"/>
          <w:szCs w:val="20"/>
          <w:color w:val="auto"/>
        </w:rPr>
      </w:pPr>
    </w:p>
    <w:p>
      <w:pPr>
        <w:jc w:val="both"/>
        <w:ind w:left="900" w:right="8740" w:hanging="446"/>
        <w:spacing w:after="0" w:line="370"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Name of Person Filing Joseph F. Pinkerton, III</w:t>
      </w:r>
    </w:p>
    <w:p>
      <w:pPr>
        <w:spacing w:after="0" w:line="102" w:lineRule="exact"/>
        <w:rPr>
          <w:rFonts w:ascii="Arial" w:cs="Arial" w:eastAsia="Arial" w:hAnsi="Arial"/>
          <w:sz w:val="15"/>
          <w:szCs w:val="15"/>
          <w:color w:val="auto"/>
        </w:rPr>
      </w:pPr>
    </w:p>
    <w:p>
      <w:pPr>
        <w:ind w:left="900" w:right="6140" w:hanging="446"/>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 2312 Woodlawn Blvd</w:t>
      </w:r>
    </w:p>
    <w:p>
      <w:pPr>
        <w:ind w:left="900"/>
        <w:spacing w:after="0"/>
        <w:rPr>
          <w:rFonts w:ascii="Arial" w:cs="Arial" w:eastAsia="Arial" w:hAnsi="Arial"/>
          <w:sz w:val="18"/>
          <w:szCs w:val="18"/>
          <w:color w:val="auto"/>
        </w:rPr>
      </w:pPr>
      <w:r>
        <w:rPr>
          <w:rFonts w:ascii="Arial" w:cs="Arial" w:eastAsia="Arial" w:hAnsi="Arial"/>
          <w:sz w:val="18"/>
          <w:szCs w:val="18"/>
          <w:color w:val="auto"/>
        </w:rPr>
        <w:t>Austin TX 78703</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205" w:lineRule="exact"/>
        <w:rPr>
          <w:rFonts w:ascii="Arial" w:cs="Arial" w:eastAsia="Arial" w:hAnsi="Arial"/>
          <w:sz w:val="18"/>
          <w:szCs w:val="18"/>
          <w:color w:val="auto"/>
        </w:rPr>
      </w:pPr>
    </w:p>
    <w:p>
      <w:pPr>
        <w:ind w:left="900" w:right="926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00504W 10 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85" w:lineRule="exact"/>
        <w:rPr>
          <w:sz w:val="20"/>
          <w:szCs w:val="20"/>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11"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11" w:lineRule="exact"/>
        <w:rPr>
          <w:rFonts w:ascii="Arial" w:cs="Arial" w:eastAsia="Arial" w:hAnsi="Arial"/>
          <w:sz w:val="18"/>
          <w:szCs w:val="18"/>
          <w:color w:val="auto"/>
        </w:rPr>
      </w:pPr>
    </w:p>
    <w:p>
      <w:pPr>
        <w:ind w:left="900" w:hanging="446"/>
        <w:spacing w:after="0" w:line="236"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63"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1280"/>
          </w:cols>
          <w:pgMar w:left="24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Ownership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35"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7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As of December 31, 2006, Joseph F. Pinkerton, III was the record owner of 363,796 shares of Common Stock and was deemed to beneficially own an additional 703,000 shares of Common Stock which he could acquire within 60 days of December 31, 2006 through the exercise of stock options. As of February 1, 2007, 219,531 stock options held by Mr. Pinkerton that were outstanding and exercisable as of December 31, 2006 failed to vest and ceased to be exercisable with respect to such unvested option shares. As of May 2, 2007, the 483,469 options held by Mr. Pinkerton that remained exercisable as of February 1, 2007 will terminate and cease to be outstanding to the extent such options are not exercised for the remaining vested option shares prior to May 2, 2007. Mr. Pinkerton also may be deemed to beneficially own 3,750,000 shares of Common Stock, which is held by CJP Partners, Ltd., a limited partnership in which CJP Management, L.L.C. is the sole general partner and Mr. Pinkerton and his spouse are the only limited partners. Mr. Pinkerton may also be deemed to beneficially own an additional 925,194 shares of Common Stock, of which 212,597 shares are held of record by a Grantor Retained Annuity Trust for the benefit of Mr. Pinkerton’s minor children and an additional 250,000 shares are held of record by a Grantor Retained Annuity Trust for the benefit of Mr. Pinkerton’s minor children, and for which Mr. Pinkerton is the trustee for the latter trust, and 212,597 shares are held of record by a Grantor Retained Annuity Trust for the benefit of Mr. Pinkerton’s minor children and an additional 250,000 shares are held of record by a Grantor Retained Annuity Trust for the benefit of Mr. Pinkerton’s minor children, and for which Mr. Pinkerton’s wife is the trustee for the latter trust. Mr. Pinkerton has the power to vote and dispose of the shares held by the trusts for which he is the trustee and has shared power to vote and dispose of the shares held by the trusts for which his spouse is the trustee. Neither Mr. Pinkerton nor his wife have the power to vote or dispose of the shares held by the trusts for which neither is a trustee and Mr. Pinkerton disclaims beneficial ownership of such shares. Therefore, Mr. Pinkerton may be deemed to beneficially own an aggregate of 5,741,435 shares of Common Stock as of December 31, 2006.</w:t>
      </w:r>
    </w:p>
    <w:p>
      <w:pPr>
        <w:spacing w:after="0" w:line="164" w:lineRule="exact"/>
        <w:rPr>
          <w:sz w:val="20"/>
          <w:szCs w:val="20"/>
          <w:color w:val="auto"/>
        </w:rPr>
      </w:pPr>
    </w:p>
    <w:p>
      <w:pPr>
        <w:ind w:left="460" w:right="9340" w:hanging="6"/>
        <w:spacing w:after="0" w:line="268"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11.3%</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12" w:lineRule="exact"/>
        <w:rPr>
          <w:sz w:val="20"/>
          <w:szCs w:val="20"/>
          <w:color w:val="auto"/>
        </w:rPr>
      </w:pPr>
    </w:p>
    <w:p>
      <w:pPr>
        <w:ind w:left="460" w:right="7740" w:hanging="6"/>
        <w:spacing w:after="0" w:line="268"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1,316,241</w:t>
      </w:r>
    </w:p>
    <w:p>
      <w:pPr>
        <w:spacing w:after="0" w:line="172" w:lineRule="exact"/>
        <w:rPr>
          <w:rFonts w:ascii="Arial" w:cs="Arial" w:eastAsia="Arial" w:hAnsi="Arial"/>
          <w:sz w:val="18"/>
          <w:szCs w:val="18"/>
          <w:color w:val="auto"/>
        </w:rPr>
      </w:pPr>
    </w:p>
    <w:p>
      <w:pPr>
        <w:ind w:left="460" w:right="7560" w:hanging="6"/>
        <w:spacing w:after="0" w:line="268"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4,000,000</w:t>
      </w:r>
    </w:p>
    <w:p>
      <w:pPr>
        <w:spacing w:after="0" w:line="172" w:lineRule="exact"/>
        <w:rPr>
          <w:rFonts w:ascii="Arial" w:cs="Arial" w:eastAsia="Arial" w:hAnsi="Arial"/>
          <w:sz w:val="18"/>
          <w:szCs w:val="18"/>
          <w:color w:val="auto"/>
        </w:rPr>
      </w:pPr>
    </w:p>
    <w:p>
      <w:pPr>
        <w:ind w:left="460" w:right="6840" w:hanging="6"/>
        <w:spacing w:after="0" w:line="268"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1,316,241</w:t>
      </w:r>
    </w:p>
    <w:p>
      <w:pPr>
        <w:spacing w:after="0" w:line="172" w:lineRule="exact"/>
        <w:rPr>
          <w:rFonts w:ascii="Arial" w:cs="Arial" w:eastAsia="Arial" w:hAnsi="Arial"/>
          <w:sz w:val="18"/>
          <w:szCs w:val="18"/>
          <w:color w:val="auto"/>
        </w:rPr>
      </w:pPr>
    </w:p>
    <w:p>
      <w:pPr>
        <w:ind w:left="460" w:right="6680" w:hanging="6"/>
        <w:spacing w:after="0" w:line="268"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Notice of Dissolution of Group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that information set forth in this statement is true, complete and correct.</w:t>
      </w:r>
    </w:p>
    <w:p>
      <w:pPr>
        <w:spacing w:after="0" w:line="2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February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Name/Title</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2019-12-14T16:11:49Z</dcterms:created>
  <dcterms:modified xsi:type="dcterms:W3CDTF">2019-12-14T16:11:49Z</dcterms:modified>
</cp:coreProperties>
</file>