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Mel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RIDGEPOST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2699 HOWELL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Ridgepost Capital, Inc.</w:t>
              </w:r>
            </w:hyperlink>
            <w:r>
              <w:rPr/>
              <w:t xml:space="preserve"> [ </w:t>
            </w:r>
            <w:r>
              <w:rPr>
                <w:rFonts w:ascii="Times;serif" w:hAnsi="Times;serif"/>
                <w:color w:val="0000FF"/>
                <w:sz w:val="24"/>
                <w:shd w:fill="FFFFFF" w:val="clear"/>
              </w:rPr>
              <w:t>RPC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2"/>
        <w:gridCol w:w="925"/>
        <w:gridCol w:w="794"/>
        <w:gridCol w:w="614"/>
        <w:gridCol w:w="345"/>
        <w:gridCol w:w="922"/>
        <w:gridCol w:w="432"/>
        <w:gridCol w:w="600"/>
        <w:gridCol w:w="1268"/>
        <w:gridCol w:w="982"/>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45,599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174,635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154,137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4,018,995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Mel Williams Irrevocable Trust u/a/d August 12, 2015</w:t>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146,370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146,370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right to receive one share of the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of the Issuer owned directly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14, 2025, the Reporting Person was granted a total of 45,599 RSUs, all of which vested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17, 2026, the Reporting Person was granted a total of 146,370 RSUs, all of which will vest on the first anniversary of the grant date, provided that the Reporting Person remains in continuous service with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is being filed by Mel Williams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Dominic Hong, as Attorney-in-Fact for the Reporting Person, /s/ Dominic Hong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0819"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4482</Characters>
  <CharactersWithSpaces>5238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