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4514 Cole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1600</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6"/>
              </w:rPr>
              <w:t>Dallas, Texas</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85"/>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Series A Junior Participating Preferred Stock Purchase Rights</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4"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On February 29, 2024, P10, Inc. (the “Company”) issued a press release and presentation announcing its financial results for the fourth quarter and year ended December 31, 2023. A copy of the press release and presentation are furnished as Exhibits 99.1 and 99.2 to this Current Report on Form 8-K and are incorporated herein by reference.</w:t>
      </w:r>
    </w:p>
    <w:p>
      <w:pPr>
        <w:spacing w:after="0" w:line="157"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The information furnished by the Company pursuant to this Item 2.02, including Exhibits 99.1 and 99.2,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tc>
        <w:tc>
          <w:tcPr>
            <w:tcW w:w="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7"/>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 Exhibits</w:t>
            </w:r>
          </w:p>
        </w:tc>
        <w:tc>
          <w:tcPr>
            <w:tcW w:w="7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70"/>
        </w:trPr>
        <w:tc>
          <w:tcPr>
            <w:tcW w:w="566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Exhibit No.</w:t>
            </w:r>
          </w:p>
        </w:tc>
        <w:tc>
          <w:tcPr>
            <w:tcW w:w="560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4920" w:type="dxa"/>
            <w:vAlign w:val="bottom"/>
          </w:tcPr>
          <w:p>
            <w:pPr>
              <w:spacing w:after="0"/>
              <w:rPr>
                <w:sz w:val="15"/>
                <w:szCs w:val="15"/>
                <w:color w:val="auto"/>
              </w:rPr>
            </w:pPr>
          </w:p>
        </w:tc>
        <w:tc>
          <w:tcPr>
            <w:tcW w:w="56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of P10, Inc. dated February 29, 2024</w:t>
            </w:r>
          </w:p>
        </w:tc>
      </w:tr>
      <w:tr>
        <w:trPr>
          <w:trHeight w:val="20"/>
        </w:trPr>
        <w:tc>
          <w:tcPr>
            <w:tcW w:w="74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4920" w:type="dxa"/>
            <w:vAlign w:val="bottom"/>
          </w:tcPr>
          <w:p>
            <w:pPr>
              <w:spacing w:after="0"/>
              <w:rPr>
                <w:sz w:val="15"/>
                <w:szCs w:val="15"/>
                <w:color w:val="auto"/>
              </w:rPr>
            </w:pPr>
          </w:p>
        </w:tc>
        <w:tc>
          <w:tcPr>
            <w:tcW w:w="56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w w:val="99"/>
              </w:rPr>
              <w:t>P10 Fourth Quarter and Full Year 2023 Earnings Presentation, dated February 29, 2024</w:t>
            </w:r>
          </w:p>
        </w:tc>
      </w:tr>
      <w:tr>
        <w:trPr>
          <w:trHeight w:val="20"/>
        </w:trPr>
        <w:tc>
          <w:tcPr>
            <w:tcW w:w="74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9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866"/>
        </w:trPr>
        <w:tc>
          <w:tcPr>
            <w:tcW w:w="7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P10,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February 29,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276860</wp:posOffset>
            </wp:positionV>
            <wp:extent cx="1201420" cy="278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F2F45"/>
        </w:rPr>
        <w:t>P10 Reports Fourth Quarter and Full Year 2023 Earnings Results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2F2F45"/>
        </w:rPr>
        <w:t>Generated Fourth Quarter Revenue and Fee-Paying AUM (FPAUM) Growth of 8% and 10%, Respectively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2F2F45"/>
        </w:rPr>
        <w:t>Announces Key Leadership Appointments</w:t>
      </w:r>
    </w:p>
    <w:p>
      <w:pPr>
        <w:spacing w:after="0" w:line="1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2F2F45"/>
        </w:rPr>
        <w:t>Authorizes Additional Stock Repurchase, Now More Than $50 Million Available</w:t>
      </w:r>
    </w:p>
    <w:p>
      <w:pPr>
        <w:spacing w:after="0" w:line="29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2F2F45"/>
        </w:rPr>
        <w:t xml:space="preserve">DALLAS, February 29, 2024 (GLOBE NEWSWIRE) - </w:t>
      </w:r>
      <w:r>
        <w:rPr>
          <w:rFonts w:ascii="Times New Roman" w:cs="Times New Roman" w:eastAsia="Times New Roman" w:hAnsi="Times New Roman"/>
          <w:sz w:val="16"/>
          <w:szCs w:val="16"/>
          <w:color w:val="000000"/>
        </w:rPr>
        <w:t>P10, Inc.</w:t>
      </w:r>
      <w:r>
        <w:rPr>
          <w:rFonts w:ascii="Times New Roman" w:cs="Times New Roman" w:eastAsia="Times New Roman" w:hAnsi="Times New Roman"/>
          <w:sz w:val="16"/>
          <w:szCs w:val="16"/>
          <w:color w:val="2F2F45"/>
        </w:rPr>
        <w:t xml:space="preserve"> (NYSE: PX) (the “Company”), a leading private markets solutions provider, today reported financial results for the fourth quarter and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Fourth Quarter 2023 Financial Highlights</w:t>
      </w:r>
    </w:p>
    <w:p>
      <w:pPr>
        <w:spacing w:after="0" w:line="196"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Revenue: $63.1 million, an 8% increase year over year.</w:t>
      </w:r>
    </w:p>
    <w:p>
      <w:pPr>
        <w:spacing w:after="0" w:line="22"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Fee-Paying Assets Under Management: $23.3 billion, a 10% increase year over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GAAP Net Income (Loss): $(1.9) million compared to $4.8 million in the prior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Adjusted EBITDA: $30.7 million compared to $30.8 million in the prior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Adjusted Net Income: $25.5 million, a 7% decline year over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Fully diluted GAAP EPS: $(0.01) compared to $0.04 in the prior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Fully diluted ANI per share: $0.21, a 5% decline year over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Fiscal Year End 2023 Financial Highlights</w:t>
      </w:r>
    </w:p>
    <w:p>
      <w:pPr>
        <w:spacing w:after="0" w:line="196"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Revenue: $241.7 million, a 22% increase year over year.</w:t>
      </w:r>
    </w:p>
    <w:p>
      <w:pPr>
        <w:spacing w:after="0" w:line="22"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GAAP Net Income (Loss): $(7.8) million, compared to $29.4 million in the prior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Adjusted EBITDA: $123.6 million, a 16% increase year over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Adjusted Net Income: $102 million, a 4% increase year over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Fully diluted GAAP EPS: $(0.06), compared to $0.24 in the prior year.</w:t>
      </w:r>
    </w:p>
    <w:p>
      <w:pPr>
        <w:spacing w:after="0" w:line="5"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2F2F45"/>
        </w:rPr>
      </w:pPr>
      <w:r>
        <w:rPr>
          <w:rFonts w:ascii="Times New Roman" w:cs="Times New Roman" w:eastAsia="Times New Roman" w:hAnsi="Times New Roman"/>
          <w:sz w:val="16"/>
          <w:szCs w:val="16"/>
          <w:color w:val="2F2F45"/>
        </w:rPr>
        <w:t>Fully diluted ANI per share: $0.82, a 2% increase year over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45"/>
        </w:rPr>
        <w:t xml:space="preserve">A presentation of the quarterly financials may be accessed </w:t>
      </w:r>
      <w:r>
        <w:rPr>
          <w:rFonts w:ascii="Times New Roman" w:cs="Times New Roman" w:eastAsia="Times New Roman" w:hAnsi="Times New Roman"/>
          <w:sz w:val="16"/>
          <w:szCs w:val="16"/>
          <w:color w:val="000000"/>
        </w:rPr>
        <w:t>here</w:t>
      </w:r>
      <w:r>
        <w:rPr>
          <w:rFonts w:ascii="Times New Roman" w:cs="Times New Roman" w:eastAsia="Times New Roman" w:hAnsi="Times New Roman"/>
          <w:sz w:val="16"/>
          <w:szCs w:val="16"/>
          <w:color w:val="2F2F45"/>
        </w:rPr>
        <w:t xml:space="preserve"> and is available on the Company’s website.</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2F2F45"/>
        </w:rPr>
        <w:t>“P10 advanced key operational and investment initiatives in 2023 while generating double-digit asset growth and strong top line growth to close the year,” said Luke Sarsfield, P10 Chief Executive Officer. “We are capitalizing on the attractive middle market opportunity that the current operating environment is offering in the alternatives sector. In 2024, P10 will execute on strategic priorities and make key investments in our platform that will both continue our near-term growth trajectory and set us up for accelerated organic and inorganic growth in future years. The fundamentals of our business are strong. We are a world-class platform that has momentum across each of our strategies. P10 is committed to optimizing our organizational and capital structure in the year ahead to deliver long-term value for our managers, clients and investors.”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Strategic Executive Leadership Update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45"/>
        </w:rPr>
        <w:t>P10 has made the following appointments to support optimizing the firm’s organizational structure and invest in future growth.</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2F2F45"/>
        </w:rPr>
        <w:t>On February 27, 2024, P10 appointed Arjay Jensen to the newly formed role of EVP, Head of Strategy and M&amp;A. Mr. Jensen will oversee P10’s corporate strategy and lead its corporate development and M&amp;A activities. Mr. Jensen, who most recently served as a Managing Director on the Financial Institutions Group’s M&amp;A team at Goldman Sachs, brings over 20 years of dealmaking expertise with other previous experience at Guggenheim Securities and Perella Weinberg Partners. Mr. Jensen has built a distinguished M&amp;A track record and brings extensive transactional, team management and financial markets experience to P10.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881380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79" w:lineRule="auto"/>
        <w:rPr>
          <w:sz w:val="20"/>
          <w:szCs w:val="20"/>
          <w:color w:val="auto"/>
        </w:rPr>
      </w:pPr>
      <w:r>
        <w:rPr>
          <w:rFonts w:ascii="Times New Roman" w:cs="Times New Roman" w:eastAsia="Times New Roman" w:hAnsi="Times New Roman"/>
          <w:sz w:val="15"/>
          <w:szCs w:val="15"/>
          <w:color w:val="2F2F45"/>
        </w:rPr>
        <w:t>Also, on February 27, 2024, Mark Hood was promoted to the role of Chief Administrative Officer, in addition to continuing his current role of EVP of Operations. Mr. Hood will oversee P10’s operations, data and technology, human resources, public relations, communications, and will continue oversight of the investor relations function. He joined P10 in October of 2021 to serve as the Company’s Director of Investor Relations before adding the position of Executive Vice President of Operations to his responsibilities in April of 2022. Mr. Hood has over 30 years of experience in capital markets and business operations, holding various leadership roles at both public and private entities.</w:t>
      </w:r>
    </w:p>
    <w:p>
      <w:pPr>
        <w:spacing w:after="0" w:line="14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2F2F45"/>
        </w:rPr>
        <w:t>The go-forward corporate-level organizational structure at P10 will have four key functional areas, each led by a senior, Executive Vice President-level leader, reporting directly to Luke Sarsfield, P10 Chief Executive Officer. Management will provide further updates on the Company’s earnings conference call.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Additional Stock Repurchase Authorization</w:t>
      </w:r>
    </w:p>
    <w:p>
      <w:pPr>
        <w:spacing w:after="0" w:line="1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2F2F45"/>
        </w:rPr>
        <w:t>On February 27, 2024, the P10 Board of Directors approved a stock repurchase program under which P10 may repurchase up to $40 million of its common stock in the open market from time to time. This amount is incremental to the previously approved program which has $10.6 million remaining in its authorization. Between both programs, P10 has more than $50 million authorized for share repurchases.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Declaration of Dividend</w:t>
      </w:r>
    </w:p>
    <w:p>
      <w:pPr>
        <w:spacing w:after="0" w:line="19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2F2F45"/>
        </w:rPr>
        <w:t>The Board of Directors of the Company has declared a quarterly cash dividend of $0.0325 per share on Class A and Class B common stock, payable on March 26, 2024, to the holders of record as of the close of business on March 11,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Conference Call Details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45"/>
        </w:rPr>
        <w:t>The Company will host a conference call at 5:00 p.m. Eastern Time on Thursday, February 29, 2024. All participants must register prior to joining the event.</w:t>
      </w:r>
    </w:p>
    <w:p>
      <w:pPr>
        <w:spacing w:after="0" w:line="206" w:lineRule="exact"/>
        <w:rPr>
          <w:sz w:val="20"/>
          <w:szCs w:val="20"/>
          <w:color w:val="auto"/>
        </w:rPr>
      </w:pPr>
    </w:p>
    <w:p>
      <w:pPr>
        <w:ind w:left="740" w:hanging="370"/>
        <w:spacing w:after="0"/>
        <w:tabs>
          <w:tab w:leader="none" w:pos="740" w:val="left"/>
        </w:tabs>
        <w:numPr>
          <w:ilvl w:val="0"/>
          <w:numId w:val="4"/>
        </w:numPr>
        <w:rPr>
          <w:rFonts w:ascii="Times New Roman" w:cs="Times New Roman" w:eastAsia="Times New Roman" w:hAnsi="Times New Roman"/>
          <w:sz w:val="19"/>
          <w:szCs w:val="19"/>
          <w:color w:val="2F2F45"/>
        </w:rPr>
      </w:pPr>
      <w:r>
        <w:rPr>
          <w:rFonts w:ascii="Times New Roman" w:cs="Times New Roman" w:eastAsia="Times New Roman" w:hAnsi="Times New Roman"/>
          <w:sz w:val="16"/>
          <w:szCs w:val="16"/>
          <w:color w:val="2F2F45"/>
        </w:rPr>
        <w:t xml:space="preserve">To join and view the live webcast, please register </w:t>
      </w:r>
      <w:r>
        <w:rPr>
          <w:rFonts w:ascii="Times New Roman" w:cs="Times New Roman" w:eastAsia="Times New Roman" w:hAnsi="Times New Roman"/>
          <w:sz w:val="16"/>
          <w:szCs w:val="16"/>
          <w:color w:val="000000"/>
        </w:rPr>
        <w:t>here</w:t>
      </w:r>
      <w:r>
        <w:rPr>
          <w:rFonts w:ascii="Times New Roman" w:cs="Times New Roman" w:eastAsia="Times New Roman" w:hAnsi="Times New Roman"/>
          <w:sz w:val="16"/>
          <w:szCs w:val="16"/>
          <w:color w:val="2F2F45"/>
        </w:rPr>
        <w:t>.</w:t>
      </w:r>
    </w:p>
    <w:p>
      <w:pPr>
        <w:spacing w:after="0" w:line="7" w:lineRule="exact"/>
        <w:rPr>
          <w:rFonts w:ascii="Times New Roman" w:cs="Times New Roman" w:eastAsia="Times New Roman" w:hAnsi="Times New Roman"/>
          <w:sz w:val="19"/>
          <w:szCs w:val="19"/>
          <w:color w:val="2F2F45"/>
        </w:rPr>
      </w:pPr>
    </w:p>
    <w:p>
      <w:pPr>
        <w:ind w:left="740" w:hanging="370"/>
        <w:spacing w:after="0" w:line="225" w:lineRule="auto"/>
        <w:tabs>
          <w:tab w:leader="none" w:pos="740" w:val="left"/>
        </w:tabs>
        <w:numPr>
          <w:ilvl w:val="0"/>
          <w:numId w:val="4"/>
        </w:numPr>
        <w:rPr>
          <w:rFonts w:ascii="Times New Roman" w:cs="Times New Roman" w:eastAsia="Times New Roman" w:hAnsi="Times New Roman"/>
          <w:sz w:val="19"/>
          <w:szCs w:val="19"/>
          <w:color w:val="2F2F45"/>
        </w:rPr>
      </w:pPr>
      <w:r>
        <w:rPr>
          <w:rFonts w:ascii="Times New Roman" w:cs="Times New Roman" w:eastAsia="Times New Roman" w:hAnsi="Times New Roman"/>
          <w:sz w:val="16"/>
          <w:szCs w:val="16"/>
          <w:color w:val="2F2F45"/>
        </w:rPr>
        <w:t xml:space="preserve">To join by telephone, please register </w:t>
      </w:r>
      <w:r>
        <w:rPr>
          <w:rFonts w:ascii="Times New Roman" w:cs="Times New Roman" w:eastAsia="Times New Roman" w:hAnsi="Times New Roman"/>
          <w:sz w:val="16"/>
          <w:szCs w:val="16"/>
          <w:color w:val="000000"/>
        </w:rPr>
        <w:t>here</w:t>
      </w:r>
      <w:r>
        <w:rPr>
          <w:rFonts w:ascii="Times New Roman" w:cs="Times New Roman" w:eastAsia="Times New Roman" w:hAnsi="Times New Roman"/>
          <w:sz w:val="16"/>
          <w:szCs w:val="16"/>
          <w:color w:val="2F2F45"/>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45"/>
        </w:rPr>
        <w:t xml:space="preserve">For those unable to participate in the live event, a replay will be made available on P10’s investor relations page at </w:t>
      </w:r>
      <w:r>
        <w:rPr>
          <w:rFonts w:ascii="Times New Roman" w:cs="Times New Roman" w:eastAsia="Times New Roman" w:hAnsi="Times New Roman"/>
          <w:sz w:val="16"/>
          <w:szCs w:val="16"/>
          <w:color w:val="000000"/>
        </w:rPr>
        <w:t>www.p10alts.com</w:t>
      </w:r>
      <w:r>
        <w:rPr>
          <w:rFonts w:ascii="Times New Roman" w:cs="Times New Roman" w:eastAsia="Times New Roman" w:hAnsi="Times New Roman"/>
          <w:sz w:val="16"/>
          <w:szCs w:val="16"/>
          <w:color w:val="2F2F45"/>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About P10</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302C45"/>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December 31, 2023, P10 has a global investor base of more than 3,600 investors across 50 states, 60 countries, and six continents, which includes some of the world’s largest pension funds, endowments, foundations, corporate pensions, and financial institutions. Visit </w:t>
      </w:r>
      <w:r>
        <w:rPr>
          <w:rFonts w:ascii="Times New Roman" w:cs="Times New Roman" w:eastAsia="Times New Roman" w:hAnsi="Times New Roman"/>
          <w:sz w:val="16"/>
          <w:szCs w:val="16"/>
          <w:color w:val="000000"/>
        </w:rPr>
        <w:t>www.p10alts.com</w:t>
      </w:r>
      <w:r>
        <w:rPr>
          <w:rFonts w:ascii="Times New Roman" w:cs="Times New Roman" w:eastAsia="Times New Roman" w:hAnsi="Times New Roman"/>
          <w:sz w:val="16"/>
          <w:szCs w:val="16"/>
          <w:color w:val="302C45"/>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Forward-Looking Statements</w:t>
      </w:r>
    </w:p>
    <w:p>
      <w:pPr>
        <w:spacing w:after="0" w:line="1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302C45"/>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302C45"/>
        </w:rPr>
        <w:t>forward-looking statements are subject to known and unknown risks, uncertainties, assumptions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U.S. Securities and Exchange Commission (“SEC”) on March 27, 2023,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Use of Non-GAAP Financial Measures by P10</w:t>
      </w:r>
    </w:p>
    <w:p>
      <w:pPr>
        <w:spacing w:after="0" w:line="1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302C45"/>
        </w:rPr>
        <w:t>The non-GAAP financial measures contained in this press release (including, without limitation, Adjusted EBITDA, Adjusted Net Income and fully-diluted ANI per share),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results.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Key Financial &amp; Operating Metrics</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302C45"/>
        </w:rPr>
        <w:t>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Ownership Limitations</w:t>
      </w:r>
    </w:p>
    <w:p>
      <w:pPr>
        <w:spacing w:after="0" w:line="10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302C45"/>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P10 Investor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563C1"/>
        </w:rPr>
        <w:t>info@p10alts.com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2F45"/>
        </w:rPr>
        <w:t>P10 Media Contact: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45"/>
        </w:rPr>
        <w:t>Josh Clarkson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jclarkson@prosek.com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770890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1288415</wp:posOffset>
            </wp:positionH>
            <wp:positionV relativeFrom="page">
              <wp:posOffset>1132840</wp:posOffset>
            </wp:positionV>
            <wp:extent cx="4949190" cy="1824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949190"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2F2F45"/>
        </w:rPr>
        <w:t>Reconciliation of Non-GAAP Financial Measures</w:t>
      </w:r>
    </w:p>
    <w:p>
      <w:pPr>
        <w:spacing w:after="0" w:line="194"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6"/>
          <w:szCs w:val="16"/>
          <w:b w:val="1"/>
          <w:bCs w:val="1"/>
          <w:color w:val="2F2F45"/>
        </w:rPr>
        <w:t>Notes to Reconciliation of Non-GAAP Financial Measures</w:t>
      </w:r>
    </w:p>
    <w:p>
      <w:pPr>
        <w:spacing w:after="0" w:line="102" w:lineRule="exact"/>
        <w:rPr>
          <w:sz w:val="20"/>
          <w:szCs w:val="20"/>
          <w:color w:val="auto"/>
        </w:rPr>
      </w:pPr>
    </w:p>
    <w:p>
      <w:pPr>
        <w:ind w:left="5"/>
        <w:spacing w:after="0" w:line="256" w:lineRule="auto"/>
        <w:rPr>
          <w:sz w:val="20"/>
          <w:szCs w:val="20"/>
          <w:color w:val="auto"/>
        </w:rPr>
      </w:pPr>
      <w:r>
        <w:rPr>
          <w:rFonts w:ascii="Times New Roman" w:cs="Times New Roman" w:eastAsia="Times New Roman" w:hAnsi="Times New Roman"/>
          <w:sz w:val="16"/>
          <w:szCs w:val="16"/>
          <w:color w:val="302C45"/>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66" w:lineRule="exact"/>
        <w:rPr>
          <w:sz w:val="20"/>
          <w:szCs w:val="20"/>
          <w:color w:val="auto"/>
        </w:rPr>
      </w:pPr>
    </w:p>
    <w:p>
      <w:pPr>
        <w:ind w:left="5" w:right="280"/>
        <w:spacing w:after="0" w:line="256" w:lineRule="auto"/>
        <w:rPr>
          <w:sz w:val="20"/>
          <w:szCs w:val="20"/>
          <w:color w:val="auto"/>
        </w:rPr>
      </w:pPr>
      <w:r>
        <w:rPr>
          <w:rFonts w:ascii="Times New Roman" w:cs="Times New Roman" w:eastAsia="Times New Roman" w:hAnsi="Times New Roman"/>
          <w:sz w:val="16"/>
          <w:szCs w:val="16"/>
          <w:color w:val="302C45"/>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302C45"/>
        </w:rPr>
        <w:t>In order to compute Adjusted EBITDA, we adjust our GAAP Net Income for the following items:</w:t>
      </w:r>
    </w:p>
    <w:p>
      <w:pPr>
        <w:spacing w:after="0" w:line="111" w:lineRule="exact"/>
        <w:rPr>
          <w:sz w:val="20"/>
          <w:szCs w:val="20"/>
          <w:color w:val="auto"/>
        </w:rPr>
      </w:pPr>
    </w:p>
    <w:p>
      <w:pPr>
        <w:ind w:left="745" w:hanging="370"/>
        <w:spacing w:after="0"/>
        <w:tabs>
          <w:tab w:leader="none" w:pos="745" w:val="left"/>
        </w:tabs>
        <w:numPr>
          <w:ilvl w:val="0"/>
          <w:numId w:val="5"/>
        </w:numPr>
        <w:rPr>
          <w:rFonts w:ascii="Times New Roman" w:cs="Times New Roman" w:eastAsia="Times New Roman" w:hAnsi="Times New Roman"/>
          <w:sz w:val="19"/>
          <w:szCs w:val="19"/>
          <w:color w:val="302C45"/>
        </w:rPr>
      </w:pPr>
      <w:r>
        <w:rPr>
          <w:rFonts w:ascii="Times New Roman" w:cs="Times New Roman" w:eastAsia="Times New Roman" w:hAnsi="Times New Roman"/>
          <w:sz w:val="16"/>
          <w:szCs w:val="16"/>
          <w:color w:val="302C45"/>
        </w:rPr>
        <w:t>Expenses that typically do not require us to pay them in cash in the current period (such as depreciation, amortization and stock-based compensation);</w:t>
      </w:r>
    </w:p>
    <w:p>
      <w:pPr>
        <w:spacing w:after="0" w:line="89" w:lineRule="exact"/>
        <w:rPr>
          <w:rFonts w:ascii="Times New Roman" w:cs="Times New Roman" w:eastAsia="Times New Roman" w:hAnsi="Times New Roman"/>
          <w:sz w:val="19"/>
          <w:szCs w:val="19"/>
          <w:color w:val="302C45"/>
        </w:rPr>
      </w:pPr>
    </w:p>
    <w:p>
      <w:pPr>
        <w:ind w:left="745" w:hanging="370"/>
        <w:spacing w:after="0"/>
        <w:tabs>
          <w:tab w:leader="none" w:pos="745" w:val="left"/>
        </w:tabs>
        <w:numPr>
          <w:ilvl w:val="0"/>
          <w:numId w:val="5"/>
        </w:numPr>
        <w:rPr>
          <w:rFonts w:ascii="Times New Roman" w:cs="Times New Roman" w:eastAsia="Times New Roman" w:hAnsi="Times New Roman"/>
          <w:sz w:val="19"/>
          <w:szCs w:val="19"/>
          <w:color w:val="302C45"/>
        </w:rPr>
      </w:pPr>
      <w:r>
        <w:rPr>
          <w:rFonts w:ascii="Times New Roman" w:cs="Times New Roman" w:eastAsia="Times New Roman" w:hAnsi="Times New Roman"/>
          <w:sz w:val="16"/>
          <w:szCs w:val="16"/>
          <w:color w:val="302C45"/>
        </w:rPr>
        <w:t>The cost of financing our business;</w:t>
      </w:r>
    </w:p>
    <w:p>
      <w:pPr>
        <w:spacing w:after="0" w:line="89" w:lineRule="exact"/>
        <w:rPr>
          <w:rFonts w:ascii="Times New Roman" w:cs="Times New Roman" w:eastAsia="Times New Roman" w:hAnsi="Times New Roman"/>
          <w:sz w:val="19"/>
          <w:szCs w:val="19"/>
          <w:color w:val="302C45"/>
        </w:rPr>
      </w:pPr>
    </w:p>
    <w:p>
      <w:pPr>
        <w:ind w:left="745" w:hanging="370"/>
        <w:spacing w:after="0"/>
        <w:tabs>
          <w:tab w:leader="none" w:pos="745" w:val="left"/>
        </w:tabs>
        <w:numPr>
          <w:ilvl w:val="0"/>
          <w:numId w:val="5"/>
        </w:numPr>
        <w:rPr>
          <w:rFonts w:ascii="Times New Roman" w:cs="Times New Roman" w:eastAsia="Times New Roman" w:hAnsi="Times New Roman"/>
          <w:sz w:val="19"/>
          <w:szCs w:val="19"/>
          <w:color w:val="302C45"/>
        </w:rPr>
      </w:pPr>
      <w:r>
        <w:rPr>
          <w:rFonts w:ascii="Times New Roman" w:cs="Times New Roman" w:eastAsia="Times New Roman" w:hAnsi="Times New Roman"/>
          <w:sz w:val="16"/>
          <w:szCs w:val="16"/>
          <w:color w:val="302C45"/>
        </w:rPr>
        <w:t>One-time expenses related to restructuring of the management team including signing bonus, severance, and placement/search fees;</w:t>
      </w:r>
    </w:p>
    <w:p>
      <w:pPr>
        <w:spacing w:after="0" w:line="101" w:lineRule="exact"/>
        <w:rPr>
          <w:rFonts w:ascii="Times New Roman" w:cs="Times New Roman" w:eastAsia="Times New Roman" w:hAnsi="Times New Roman"/>
          <w:sz w:val="19"/>
          <w:szCs w:val="19"/>
          <w:color w:val="302C45"/>
        </w:rPr>
      </w:pPr>
    </w:p>
    <w:p>
      <w:pPr>
        <w:ind w:left="745" w:right="340" w:hanging="370"/>
        <w:spacing w:after="0" w:line="235" w:lineRule="auto"/>
        <w:tabs>
          <w:tab w:leader="none" w:pos="745" w:val="left"/>
        </w:tabs>
        <w:numPr>
          <w:ilvl w:val="0"/>
          <w:numId w:val="5"/>
        </w:numPr>
        <w:rPr>
          <w:rFonts w:ascii="Times New Roman" w:cs="Times New Roman" w:eastAsia="Times New Roman" w:hAnsi="Times New Roman"/>
          <w:sz w:val="19"/>
          <w:szCs w:val="19"/>
          <w:color w:val="302C45"/>
        </w:rPr>
      </w:pPr>
      <w:r>
        <w:rPr>
          <w:rFonts w:ascii="Times New Roman" w:cs="Times New Roman" w:eastAsia="Times New Roman" w:hAnsi="Times New Roman"/>
          <w:sz w:val="16"/>
          <w:szCs w:val="16"/>
          <w:color w:val="302C45"/>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90" w:lineRule="exact"/>
        <w:rPr>
          <w:rFonts w:ascii="Times New Roman" w:cs="Times New Roman" w:eastAsia="Times New Roman" w:hAnsi="Times New Roman"/>
          <w:sz w:val="19"/>
          <w:szCs w:val="19"/>
          <w:color w:val="302C45"/>
        </w:rPr>
      </w:pPr>
    </w:p>
    <w:p>
      <w:pPr>
        <w:ind w:left="745" w:hanging="370"/>
        <w:spacing w:after="0"/>
        <w:tabs>
          <w:tab w:leader="none" w:pos="745" w:val="left"/>
        </w:tabs>
        <w:numPr>
          <w:ilvl w:val="0"/>
          <w:numId w:val="5"/>
        </w:numPr>
        <w:rPr>
          <w:rFonts w:ascii="Times New Roman" w:cs="Times New Roman" w:eastAsia="Times New Roman" w:hAnsi="Times New Roman"/>
          <w:sz w:val="19"/>
          <w:szCs w:val="19"/>
          <w:color w:val="302C45"/>
        </w:rPr>
      </w:pPr>
      <w:r>
        <w:rPr>
          <w:rFonts w:ascii="Times New Roman" w:cs="Times New Roman" w:eastAsia="Times New Roman" w:hAnsi="Times New Roman"/>
          <w:sz w:val="16"/>
          <w:szCs w:val="16"/>
          <w:color w:val="302C45"/>
        </w:rPr>
        <w:t>The effects of income taxes.</w:t>
      </w:r>
    </w:p>
    <w:p>
      <w:pPr>
        <w:spacing w:after="0" w:line="77" w:lineRule="exact"/>
        <w:rPr>
          <w:sz w:val="20"/>
          <w:szCs w:val="20"/>
          <w:color w:val="auto"/>
        </w:rPr>
      </w:pPr>
    </w:p>
    <w:p>
      <w:pPr>
        <w:ind w:left="5" w:right="580"/>
        <w:spacing w:after="0" w:line="276" w:lineRule="auto"/>
        <w:rPr>
          <w:sz w:val="20"/>
          <w:szCs w:val="20"/>
          <w:color w:val="auto"/>
        </w:rPr>
      </w:pPr>
      <w:r>
        <w:rPr>
          <w:rFonts w:ascii="Times New Roman" w:cs="Times New Roman" w:eastAsia="Times New Roman" w:hAnsi="Times New Roman"/>
          <w:sz w:val="16"/>
          <w:szCs w:val="16"/>
          <w:color w:val="302C45"/>
        </w:rPr>
        <w:t>Adjusted Net Income reflects net cash paid for federal and state income taxes. In the Second Quarter of 2022, the Company received a state tax refund of $353,000, thus increasing Adjusted Net Income. In the Second Quarter of 2023, the Company received a state tax refund of $327,000, thus increasing Adjusted Net Income.</w:t>
      </w:r>
    </w:p>
    <w:p>
      <w:pPr>
        <w:spacing w:after="0" w:line="145" w:lineRule="exact"/>
        <w:rPr>
          <w:sz w:val="20"/>
          <w:szCs w:val="20"/>
          <w:color w:val="auto"/>
        </w:rPr>
      </w:pPr>
    </w:p>
    <w:p>
      <w:pPr>
        <w:ind w:left="5" w:right="660"/>
        <w:spacing w:after="0" w:line="276" w:lineRule="auto"/>
        <w:rPr>
          <w:sz w:val="20"/>
          <w:szCs w:val="20"/>
          <w:color w:val="auto"/>
        </w:rPr>
      </w:pPr>
      <w:r>
        <w:rPr>
          <w:rFonts w:ascii="Times New Roman" w:cs="Times New Roman" w:eastAsia="Times New Roman" w:hAnsi="Times New Roman"/>
          <w:sz w:val="16"/>
          <w:szCs w:val="16"/>
          <w:color w:val="302C45"/>
        </w:rPr>
        <w:t>Adjusted EBITDA Margin is calculated as Adjusted EBITDA divided by total GAAP revenues. We use Adjusted EBITDA Margin to provide an additional measure of profitability.</w:t>
      </w:r>
    </w:p>
    <w:p>
      <w:pPr>
        <w:spacing w:after="0" w:line="146" w:lineRule="exact"/>
        <w:rPr>
          <w:sz w:val="20"/>
          <w:szCs w:val="20"/>
          <w:color w:val="auto"/>
        </w:rPr>
      </w:pPr>
    </w:p>
    <w:p>
      <w:pPr>
        <w:ind w:left="5" w:right="120" w:hanging="5"/>
        <w:spacing w:after="0" w:line="266" w:lineRule="auto"/>
        <w:tabs>
          <w:tab w:leader="none" w:pos="195" w:val="left"/>
        </w:tabs>
        <w:numPr>
          <w:ilvl w:val="0"/>
          <w:numId w:val="6"/>
        </w:numPr>
        <w:rPr>
          <w:rFonts w:ascii="Times New Roman" w:cs="Times New Roman" w:eastAsia="Times New Roman" w:hAnsi="Times New Roman"/>
          <w:sz w:val="13"/>
          <w:szCs w:val="13"/>
          <w:color w:val="302C45"/>
        </w:rPr>
      </w:pPr>
      <w:r>
        <w:rPr>
          <w:rFonts w:ascii="Times New Roman" w:cs="Times New Roman" w:eastAsia="Times New Roman" w:hAnsi="Times New Roman"/>
          <w:sz w:val="13"/>
          <w:szCs w:val="13"/>
          <w:color w:val="302C45"/>
        </w:rPr>
        <w:t>Fully Diluted ANI EPS calculations include the total of all shares of common stock, stock options under the treasury stock method, restricted stock awards, and the redeemable non-controlling interests of P10 Intermediate converted to Class A stock as of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748030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1440" w:right="37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12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71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7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697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78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697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7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697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2024-02-29T16:50:08Z</dcterms:created>
  <dcterms:modified xsi:type="dcterms:W3CDTF">2024-02-29T16:50:08Z</dcterms:modified>
</cp:coreProperties>
</file>