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Jon I. Madorsky Revocable Trust dated December 1, 2008</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P10,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2699 HOWELL ST.,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P10, Inc.</w:t>
              </w:r>
            </w:hyperlink>
            <w:r>
              <w:rPr/>
              <w:t xml:space="preserve"> [ </w:t>
            </w:r>
            <w:r>
              <w:rPr>
                <w:rFonts w:ascii="Times;serif" w:hAnsi="Times;serif"/>
                <w:color w:val="0000FF"/>
                <w:sz w:val="24"/>
                <w:shd w:fill="FFFFFF" w:val="clear"/>
              </w:rPr>
              <w:t>PX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12.4522</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445,574</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being filed by the Jon I. Madorsky Revocable Trust dated December 1, 2008 (the "Madorsky Trust"). Jon I. Madorsky, as trustee of the Madorsky Trust, is deemed to beneficially own the shares of Class A Common Stock owned directly by the Madorsky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may be deemed to be a member of a Section 13(d) group that collectively owns more than 10%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/s/Amanda Coussens, as Attorney in 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5437" TargetMode="External"/><Relationship Id="rId5" Type="http://schemas.openxmlformats.org/officeDocument/2006/relationships/hyperlink" Target="http://www.sec.gov/cgi-bin/browse-edgar?action=getcompany&amp;CIK=00018419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3455</Characters>
  <CharactersWithSpaces>4044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