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210 Capital, LLC</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10/25/2021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0000FF"/>
              </w:rPr>
              <w:t>DALLAS</w:t>
            </w:r>
          </w:p>
        </w:tc>
        <w:tc>
          <w:tcPr>
            <w:tcW w:w="1100" w:type="dxa"/>
            <w:vAlign w:val="bottom"/>
          </w:tcPr>
          <w:p>
            <w:pPr>
              <w:ind w:left="30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75205</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jc w:val="both"/>
        <w:ind w:left="4040"/>
        <w:spacing w:after="0" w:line="234"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8" w:lineRule="exact"/>
        <w:rPr>
          <w:sz w:val="24"/>
          <w:szCs w:val="24"/>
          <w:color w:val="auto"/>
        </w:rPr>
      </w:pPr>
    </w:p>
    <w:p>
      <w:pPr>
        <w:sectPr>
          <w:pgSz w:w="11900" w:h="16838"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3"/>
                <w:szCs w:val="13"/>
                <w:color w:val="auto"/>
              </w:rPr>
            </w:pPr>
          </w:p>
        </w:tc>
        <w:tc>
          <w:tcPr>
            <w:tcW w:w="1140" w:type="dxa"/>
            <w:vAlign w:val="bottom"/>
            <w:gridSpan w:val="3"/>
          </w:tcPr>
          <w:p>
            <w:pPr>
              <w:ind w:left="1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gridSpan w:val="3"/>
          </w:tcPr>
          <w:p>
            <w:pPr>
              <w:ind w:left="18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w:t>
            </w:r>
          </w:p>
        </w:tc>
        <w:tc>
          <w:tcPr>
            <w:tcW w:w="1760" w:type="dxa"/>
            <w:vAlign w:val="bottom"/>
            <w:gridSpan w:val="4"/>
            <w:vMerge w:val="restart"/>
          </w:tcPr>
          <w:p>
            <w:pPr>
              <w:ind w:left="900"/>
              <w:spacing w:after="0"/>
              <w:rPr>
                <w:sz w:val="20"/>
                <w:szCs w:val="20"/>
                <w:color w:val="auto"/>
              </w:rPr>
            </w:pPr>
            <w:r>
              <w:rPr>
                <w:rFonts w:ascii="Arial" w:cs="Arial" w:eastAsia="Arial" w:hAnsi="Arial"/>
                <w:sz w:val="16"/>
                <w:szCs w:val="16"/>
                <w:color w:val="0000FF"/>
              </w:rPr>
              <w:t>10/25/2021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960" w:type="dxa"/>
            <w:vAlign w:val="bottom"/>
            <w:gridSpan w:val="2"/>
            <w:vMerge w:val="restart"/>
          </w:tcPr>
          <w:p>
            <w:pPr>
              <w:ind w:left="180"/>
              <w:spacing w:after="0"/>
              <w:rPr>
                <w:sz w:val="20"/>
                <w:szCs w:val="20"/>
                <w:color w:val="auto"/>
              </w:rPr>
            </w:pPr>
            <w:r>
              <w:rPr>
                <w:rFonts w:ascii="Arial" w:cs="Arial" w:eastAsia="Arial" w:hAnsi="Arial"/>
                <w:sz w:val="16"/>
                <w:szCs w:val="16"/>
                <w:color w:val="0000FF"/>
              </w:rPr>
              <w:t>1,172,884</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20"/>
                <w:szCs w:val="20"/>
                <w:color w:val="auto"/>
              </w:rPr>
            </w:pPr>
          </w:p>
        </w:tc>
        <w:tc>
          <w:tcPr>
            <w:tcW w:w="1180" w:type="dxa"/>
            <w:vAlign w:val="bottom"/>
            <w:gridSpan w:val="2"/>
            <w:vMerge w:val="restart"/>
          </w:tcPr>
          <w:p>
            <w:pPr>
              <w:jc w:val="right"/>
              <w:ind w:right="223"/>
              <w:spacing w:after="0"/>
              <w:rPr>
                <w:sz w:val="20"/>
                <w:szCs w:val="20"/>
                <w:color w:val="auto"/>
              </w:rPr>
            </w:pPr>
            <w:r>
              <w:rPr>
                <w:rFonts w:ascii="Arial" w:cs="Arial" w:eastAsia="Arial" w:hAnsi="Arial"/>
                <w:sz w:val="16"/>
                <w:szCs w:val="16"/>
                <w:color w:val="0000FF"/>
              </w:rPr>
              <w:t>1,172,884</w:t>
            </w: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7"/>
            <w:vMerge w:val="continue"/>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(4)</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7"/>
            <w:vMerge w:val="restart"/>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w:t>
            </w:r>
          </w:p>
        </w:tc>
        <w:tc>
          <w:tcPr>
            <w:tcW w:w="1760" w:type="dxa"/>
            <w:vAlign w:val="bottom"/>
            <w:gridSpan w:val="4"/>
            <w:vMerge w:val="restart"/>
          </w:tcPr>
          <w:p>
            <w:pPr>
              <w:ind w:left="900"/>
              <w:spacing w:after="0"/>
              <w:rPr>
                <w:sz w:val="20"/>
                <w:szCs w:val="20"/>
                <w:color w:val="auto"/>
              </w:rPr>
            </w:pPr>
            <w:r>
              <w:rPr>
                <w:rFonts w:ascii="Arial" w:cs="Arial" w:eastAsia="Arial" w:hAnsi="Arial"/>
                <w:sz w:val="16"/>
                <w:szCs w:val="16"/>
                <w:color w:val="0000FF"/>
              </w:rPr>
              <w:t>10/25/2021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960" w:type="dxa"/>
            <w:vAlign w:val="bottom"/>
            <w:gridSpan w:val="2"/>
            <w:vMerge w:val="restart"/>
          </w:tcPr>
          <w:p>
            <w:pPr>
              <w:ind w:left="180"/>
              <w:spacing w:after="0"/>
              <w:rPr>
                <w:sz w:val="20"/>
                <w:szCs w:val="20"/>
                <w:color w:val="auto"/>
              </w:rPr>
            </w:pPr>
            <w:r>
              <w:rPr>
                <w:rFonts w:ascii="Arial" w:cs="Arial" w:eastAsia="Arial" w:hAnsi="Arial"/>
                <w:sz w:val="16"/>
                <w:szCs w:val="16"/>
                <w:color w:val="0000FF"/>
              </w:rPr>
              <w:t>1,172,884</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0000FF"/>
              </w:rPr>
              <w:t>D</w:t>
            </w:r>
          </w:p>
        </w:tc>
        <w:tc>
          <w:tcPr>
            <w:tcW w:w="700" w:type="dxa"/>
            <w:vAlign w:val="bottom"/>
            <w:vMerge w:val="restart"/>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12</w:t>
            </w:r>
          </w:p>
        </w:tc>
        <w:tc>
          <w:tcPr>
            <w:tcW w:w="20" w:type="dxa"/>
            <w:vAlign w:val="bottom"/>
          </w:tcPr>
          <w:p>
            <w:pPr>
              <w:spacing w:after="0"/>
              <w:rPr>
                <w:sz w:val="20"/>
                <w:szCs w:val="20"/>
                <w:color w:val="auto"/>
              </w:rPr>
            </w:pPr>
          </w:p>
        </w:tc>
        <w:tc>
          <w:tcPr>
            <w:tcW w:w="700" w:type="dxa"/>
            <w:vAlign w:val="bottom"/>
            <w:vMerge w:val="restart"/>
          </w:tcPr>
          <w:p>
            <w:pPr>
              <w:jc w:val="right"/>
              <w:ind w:right="40"/>
              <w:spacing w:after="0"/>
              <w:rPr>
                <w:sz w:val="20"/>
                <w:szCs w:val="20"/>
                <w:color w:val="auto"/>
              </w:rPr>
            </w:pPr>
            <w:r>
              <w:rPr>
                <w:rFonts w:ascii="Arial" w:cs="Arial" w:eastAsia="Arial" w:hAnsi="Arial"/>
                <w:sz w:val="16"/>
                <w:szCs w:val="16"/>
                <w:color w:val="0000FF"/>
              </w:rPr>
              <w:t>0</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gridSpan w:val="7"/>
            <w:vMerge w:val="continue"/>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14"/>
          </w:tcPr>
          <w:p>
            <w:pPr>
              <w:jc w:val="center"/>
              <w:ind w:righ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940" w:type="dxa"/>
            <w:vAlign w:val="bottom"/>
            <w:gridSpan w:val="12"/>
          </w:tcPr>
          <w:p>
            <w:pPr>
              <w:jc w:val="center"/>
              <w:ind w:righ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2"/>
                <w:szCs w:val="12"/>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gridSpan w:val="2"/>
          </w:tcPr>
          <w:p>
            <w:pPr>
              <w:ind w:left="12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spacing w:after="0"/>
              <w:rPr>
                <w:sz w:val="20"/>
                <w:szCs w:val="20"/>
                <w:color w:val="auto"/>
              </w:rPr>
            </w:pPr>
            <w:r>
              <w:rPr>
                <w:rFonts w:ascii="Arial" w:cs="Arial" w:eastAsia="Arial" w:hAnsi="Arial"/>
                <w:sz w:val="16"/>
                <w:szCs w:val="16"/>
                <w:color w:val="0000FF"/>
                <w:w w:val="95"/>
              </w:rPr>
              <w:t>1,172,884</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4"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260"/>
              <w:spacing w:after="0"/>
              <w:rPr>
                <w:sz w:val="20"/>
                <w:szCs w:val="20"/>
                <w:color w:val="auto"/>
              </w:rPr>
            </w:pPr>
            <w:r>
              <w:rPr>
                <w:rFonts w:ascii="Arial" w:cs="Arial" w:eastAsia="Arial" w:hAnsi="Arial"/>
                <w:sz w:val="10"/>
                <w:szCs w:val="10"/>
                <w:color w:val="008000"/>
              </w:rPr>
              <w:t>(2)(3)</w:t>
            </w:r>
          </w:p>
        </w:tc>
        <w:tc>
          <w:tcPr>
            <w:tcW w:w="880" w:type="dxa"/>
            <w:vAlign w:val="bottom"/>
            <w:gridSpan w:val="2"/>
            <w:vMerge w:val="restart"/>
          </w:tcPr>
          <w:p>
            <w:pPr>
              <w:ind w:left="240"/>
              <w:spacing w:after="0" w:line="134" w:lineRule="exact"/>
              <w:rPr>
                <w:sz w:val="20"/>
                <w:szCs w:val="20"/>
                <w:color w:val="auto"/>
              </w:rPr>
            </w:pPr>
            <w:r>
              <w:rPr>
                <w:rFonts w:ascii="Arial" w:cs="Arial" w:eastAsia="Arial" w:hAnsi="Arial"/>
                <w:sz w:val="13"/>
                <w:szCs w:val="13"/>
                <w:color w:val="0000FF"/>
                <w:w w:val="95"/>
              </w:rPr>
              <w:t>10/25/2021</w:t>
            </w: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20"/>
              <w:spacing w:after="0" w:line="134" w:lineRule="exact"/>
              <w:rPr>
                <w:sz w:val="20"/>
                <w:szCs w:val="20"/>
                <w:color w:val="auto"/>
              </w:rPr>
            </w:pPr>
            <w:r>
              <w:rPr>
                <w:rFonts w:ascii="Arial" w:cs="Arial" w:eastAsia="Arial" w:hAnsi="Arial"/>
                <w:sz w:val="13"/>
                <w:szCs w:val="13"/>
                <w:color w:val="0000FF"/>
              </w:rPr>
              <w:t>C</w:t>
            </w:r>
          </w:p>
        </w:tc>
        <w:tc>
          <w:tcPr>
            <w:tcW w:w="1020" w:type="dxa"/>
            <w:vAlign w:val="bottom"/>
            <w:gridSpan w:val="2"/>
            <w:vMerge w:val="restart"/>
          </w:tcPr>
          <w:p>
            <w:pPr>
              <w:ind w:left="400"/>
              <w:spacing w:after="0" w:line="134" w:lineRule="exact"/>
              <w:rPr>
                <w:sz w:val="20"/>
                <w:szCs w:val="20"/>
                <w:color w:val="auto"/>
              </w:rPr>
            </w:pPr>
            <w:r>
              <w:rPr>
                <w:rFonts w:ascii="Arial" w:cs="Arial" w:eastAsia="Arial" w:hAnsi="Arial"/>
                <w:sz w:val="13"/>
                <w:szCs w:val="13"/>
                <w:color w:val="0000FF"/>
              </w:rPr>
              <w:t>1,172,884</w:t>
            </w:r>
          </w:p>
        </w:tc>
        <w:tc>
          <w:tcPr>
            <w:tcW w:w="760" w:type="dxa"/>
            <w:vAlign w:val="bottom"/>
            <w:gridSpan w:val="2"/>
            <w:vMerge w:val="restart"/>
          </w:tcPr>
          <w:p>
            <w:pPr>
              <w:ind w:left="200"/>
              <w:spacing w:after="0"/>
              <w:rPr>
                <w:sz w:val="20"/>
                <w:szCs w:val="20"/>
                <w:color w:val="auto"/>
              </w:rPr>
            </w:pPr>
            <w:r>
              <w:rPr>
                <w:rFonts w:ascii="Arial" w:cs="Arial" w:eastAsia="Arial" w:hAnsi="Arial"/>
                <w:sz w:val="10"/>
                <w:szCs w:val="10"/>
                <w:color w:val="008000"/>
              </w:rPr>
              <w:t>(2)(3)</w:t>
            </w:r>
          </w:p>
        </w:tc>
        <w:tc>
          <w:tcPr>
            <w:tcW w:w="620" w:type="dxa"/>
            <w:vAlign w:val="bottom"/>
            <w:vMerge w:val="restart"/>
          </w:tcPr>
          <w:p>
            <w:pPr>
              <w:ind w:left="160"/>
              <w:spacing w:after="0"/>
              <w:rPr>
                <w:sz w:val="20"/>
                <w:szCs w:val="20"/>
                <w:color w:val="auto"/>
              </w:rPr>
            </w:pPr>
            <w:r>
              <w:rPr>
                <w:rFonts w:ascii="Arial" w:cs="Arial" w:eastAsia="Arial" w:hAnsi="Arial"/>
                <w:sz w:val="10"/>
                <w:szCs w:val="10"/>
                <w:color w:val="008000"/>
              </w:rPr>
              <w:t>(2)(3)</w:t>
            </w:r>
          </w:p>
        </w:tc>
        <w:tc>
          <w:tcPr>
            <w:tcW w:w="680" w:type="dxa"/>
            <w:vAlign w:val="bottom"/>
            <w:gridSpan w:val="2"/>
            <w:vMerge w:val="restart"/>
          </w:tcPr>
          <w:p>
            <w:pPr>
              <w:ind w:left="80"/>
              <w:spacing w:after="0" w:line="134" w:lineRule="exact"/>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restart"/>
          </w:tcPr>
          <w:p>
            <w:pPr>
              <w:ind w:left="200"/>
              <w:spacing w:after="0"/>
              <w:rPr>
                <w:sz w:val="20"/>
                <w:szCs w:val="20"/>
                <w:color w:val="auto"/>
              </w:rPr>
            </w:pPr>
            <w:r>
              <w:rPr>
                <w:rFonts w:ascii="Arial" w:cs="Arial" w:eastAsia="Arial" w:hAnsi="Arial"/>
                <w:sz w:val="10"/>
                <w:szCs w:val="10"/>
                <w:color w:val="008000"/>
              </w:rPr>
              <w:t>(2)(3)</w:t>
            </w:r>
          </w:p>
        </w:tc>
        <w:tc>
          <w:tcPr>
            <w:tcW w:w="840" w:type="dxa"/>
            <w:vAlign w:val="bottom"/>
            <w:gridSpan w:val="2"/>
            <w:vMerge w:val="restart"/>
          </w:tcPr>
          <w:p>
            <w:pPr>
              <w:ind w:left="140"/>
              <w:spacing w:after="0" w:line="134" w:lineRule="exact"/>
              <w:rPr>
                <w:sz w:val="20"/>
                <w:szCs w:val="20"/>
                <w:color w:val="auto"/>
              </w:rPr>
            </w:pPr>
            <w:r>
              <w:rPr>
                <w:rFonts w:ascii="Arial" w:cs="Arial" w:eastAsia="Arial" w:hAnsi="Arial"/>
                <w:sz w:val="13"/>
                <w:szCs w:val="13"/>
                <w:color w:val="0000FF"/>
              </w:rPr>
              <w:t>13,688,895</w:t>
            </w:r>
          </w:p>
        </w:tc>
        <w:tc>
          <w:tcPr>
            <w:tcW w:w="500" w:type="dxa"/>
            <w:vAlign w:val="bottom"/>
            <w:vMerge w:val="restart"/>
          </w:tcPr>
          <w:p>
            <w:pPr>
              <w:ind w:left="360"/>
              <w:spacing w:after="0" w:line="134"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Borders>
              <w:right w:val="single" w:sz="8" w:color="2C2C2C"/>
            </w:tcBorders>
            <w:gridSpan w:val="3"/>
          </w:tcPr>
          <w:p>
            <w:pPr>
              <w:ind w:left="500"/>
              <w:spacing w:after="0" w:line="76" w:lineRule="exact"/>
              <w:rPr>
                <w:sz w:val="20"/>
                <w:szCs w:val="20"/>
                <w:color w:val="auto"/>
              </w:rPr>
            </w:pPr>
            <w:r>
              <w:rPr>
                <w:rFonts w:ascii="Arial" w:cs="Arial" w:eastAsia="Arial" w:hAnsi="Arial"/>
                <w:sz w:val="8"/>
                <w:szCs w:val="8"/>
                <w:color w:val="008000"/>
              </w:rPr>
              <w:t>(4)</w:t>
            </w:r>
          </w:p>
        </w:tc>
        <w:tc>
          <w:tcPr>
            <w:tcW w:w="0" w:type="dxa"/>
            <w:vAlign w:val="bottom"/>
          </w:tcPr>
          <w:p>
            <w:pPr>
              <w:spacing w:after="0"/>
              <w:rPr>
                <w:sz w:val="1"/>
                <w:szCs w:val="1"/>
                <w:color w:val="auto"/>
              </w:rPr>
            </w:pPr>
          </w:p>
        </w:tc>
      </w:tr>
      <w:tr>
        <w:trPr>
          <w:trHeight w:val="270"/>
        </w:trPr>
        <w:tc>
          <w:tcPr>
            <w:tcW w:w="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gridSpan w:val="3"/>
          </w:tcPr>
          <w:p>
            <w:pPr>
              <w:ind w:left="60"/>
              <w:spacing w:after="0" w:line="225" w:lineRule="exact"/>
              <w:rPr>
                <w:sz w:val="20"/>
                <w:szCs w:val="20"/>
                <w:color w:val="auto"/>
              </w:rPr>
            </w:pPr>
            <w:r>
              <w:rPr>
                <w:rFonts w:ascii="Arial" w:cs="Arial" w:eastAsia="Arial" w:hAnsi="Arial"/>
                <w:sz w:val="13"/>
                <w:szCs w:val="13"/>
                <w:color w:val="0000FF"/>
              </w:rPr>
              <w:t>Stock</w:t>
            </w:r>
            <w:r>
              <w:rPr>
                <w:rFonts w:ascii="Arial" w:cs="Arial" w:eastAsia="Arial" w:hAnsi="Arial"/>
                <w:sz w:val="20"/>
                <w:szCs w:val="20"/>
                <w:color w:val="008000"/>
                <w:vertAlign w:val="superscript"/>
              </w:rPr>
              <w:t>(1)</w:t>
            </w:r>
          </w:p>
        </w:tc>
        <w:tc>
          <w:tcPr>
            <w:tcW w:w="7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2"/>
          </w:tcPr>
          <w:p>
            <w:pPr>
              <w:ind w:left="160"/>
              <w:spacing w:after="0"/>
              <w:rPr>
                <w:sz w:val="20"/>
                <w:szCs w:val="20"/>
                <w:color w:val="auto"/>
              </w:rPr>
            </w:pPr>
            <w:r>
              <w:rPr>
                <w:rFonts w:ascii="Arial" w:cs="Arial" w:eastAsia="Arial" w:hAnsi="Arial"/>
                <w:sz w:val="13"/>
                <w:szCs w:val="13"/>
                <w:color w:val="0000FF"/>
              </w:rPr>
              <w:t>Stock</w:t>
            </w: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right w:val="single" w:sz="8" w:color="2C2C2C"/>
            </w:tcBorders>
            <w:gridSpan w:val="3"/>
          </w:tcPr>
          <w:p>
            <w:pPr>
              <w:ind w:left="60"/>
              <w:spacing w:after="0"/>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210 Capital, LLC</w:t>
              </w:r>
            </w:hyperlink>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Arial" w:cs="Arial" w:eastAsia="Arial" w:hAnsi="Arial"/>
                <w:sz w:val="16"/>
                <w:szCs w:val="16"/>
                <w:color w:val="0000FF"/>
                <w:w w:val="95"/>
              </w:rPr>
              <w:t>4514 COLE AVENUE, SUITE 1600</w:t>
            </w: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DALLAS</w:t>
            </w:r>
          </w:p>
        </w:tc>
        <w:tc>
          <w:tcPr>
            <w:tcW w:w="108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gridSpan w:val="2"/>
          </w:tcPr>
          <w:p>
            <w:pPr>
              <w:ind w:left="400"/>
              <w:spacing w:after="0"/>
              <w:rPr>
                <w:sz w:val="20"/>
                <w:szCs w:val="20"/>
                <w:color w:val="auto"/>
              </w:rPr>
            </w:pPr>
            <w:r>
              <w:rPr>
                <w:rFonts w:ascii="Arial" w:cs="Arial" w:eastAsia="Arial" w:hAnsi="Arial"/>
                <w:sz w:val="16"/>
                <w:szCs w:val="16"/>
                <w:color w:val="0000FF"/>
              </w:rPr>
              <w:t>75205</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gridSpan w:val="2"/>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gridSpan w:val="8"/>
          </w:tcPr>
          <w:p>
            <w:pPr>
              <w:spacing w:after="0" w:line="208" w:lineRule="exact"/>
              <w:rPr>
                <w:rFonts w:ascii="Arial" w:cs="Arial" w:eastAsia="Arial" w:hAnsi="Arial"/>
                <w:sz w:val="20"/>
                <w:szCs w:val="20"/>
                <w:color w:val="0000EE"/>
              </w:rPr>
            </w:pPr>
            <w:hyperlink r:id="rId14">
              <w:r>
                <w:rPr>
                  <w:rFonts w:ascii="Arial" w:cs="Arial" w:eastAsia="Arial" w:hAnsi="Arial"/>
                  <w:sz w:val="20"/>
                  <w:szCs w:val="20"/>
                  <w:color w:val="0000EE"/>
                </w:rPr>
                <w:t>COVENANT RHA PARTNERS, L.P.</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Arial" w:cs="Arial" w:eastAsia="Arial" w:hAnsi="Arial"/>
                <w:sz w:val="16"/>
                <w:szCs w:val="16"/>
                <w:color w:val="0000FF"/>
                <w:w w:val="95"/>
              </w:rPr>
              <w:t>4514 COLE AVENUE, SUITE 1600</w:t>
            </w: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DALLAS</w:t>
            </w:r>
          </w:p>
        </w:tc>
        <w:tc>
          <w:tcPr>
            <w:tcW w:w="108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gridSpan w:val="2"/>
          </w:tcPr>
          <w:p>
            <w:pPr>
              <w:ind w:left="400"/>
              <w:spacing w:after="0"/>
              <w:rPr>
                <w:sz w:val="20"/>
                <w:szCs w:val="20"/>
                <w:color w:val="auto"/>
              </w:rPr>
            </w:pPr>
            <w:r>
              <w:rPr>
                <w:rFonts w:ascii="Arial" w:cs="Arial" w:eastAsia="Arial" w:hAnsi="Arial"/>
                <w:sz w:val="16"/>
                <w:szCs w:val="16"/>
                <w:color w:val="0000FF"/>
              </w:rPr>
              <w:t>75205</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gridSpan w:val="2"/>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08" w:lineRule="exact"/>
              <w:rPr>
                <w:rFonts w:ascii="Arial" w:cs="Arial" w:eastAsia="Arial" w:hAnsi="Arial"/>
                <w:sz w:val="20"/>
                <w:szCs w:val="20"/>
                <w:color w:val="0000EE"/>
              </w:rPr>
            </w:pPr>
            <w:hyperlink r:id="rId15">
              <w:r>
                <w:rPr>
                  <w:rFonts w:ascii="Arial" w:cs="Arial" w:eastAsia="Arial" w:hAnsi="Arial"/>
                  <w:sz w:val="20"/>
                  <w:szCs w:val="20"/>
                  <w:color w:val="0000EE"/>
                </w:rPr>
                <w:t>CCW/LAW Holdings, LLC</w:t>
              </w:r>
            </w:hyperlink>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6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5"/>
          </w:tcPr>
          <w:p>
            <w:pPr>
              <w:spacing w:after="0"/>
              <w:rPr>
                <w:sz w:val="20"/>
                <w:szCs w:val="20"/>
                <w:color w:val="auto"/>
              </w:rPr>
            </w:pPr>
            <w:r>
              <w:rPr>
                <w:rFonts w:ascii="Arial" w:cs="Arial" w:eastAsia="Arial" w:hAnsi="Arial"/>
                <w:sz w:val="16"/>
                <w:szCs w:val="16"/>
                <w:color w:val="0000FF"/>
                <w:w w:val="95"/>
              </w:rPr>
              <w:t>4514 COLE AVENUE, SUITE 1600</w:t>
            </w: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DALLAS</w:t>
            </w:r>
          </w:p>
        </w:tc>
        <w:tc>
          <w:tcPr>
            <w:tcW w:w="108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gridSpan w:val="2"/>
          </w:tcPr>
          <w:p>
            <w:pPr>
              <w:ind w:left="400"/>
              <w:spacing w:after="0"/>
              <w:rPr>
                <w:sz w:val="20"/>
                <w:szCs w:val="20"/>
                <w:color w:val="auto"/>
              </w:rPr>
            </w:pPr>
            <w:r>
              <w:rPr>
                <w:rFonts w:ascii="Arial" w:cs="Arial" w:eastAsia="Arial" w:hAnsi="Arial"/>
                <w:sz w:val="16"/>
                <w:szCs w:val="16"/>
                <w:color w:val="0000FF"/>
              </w:rPr>
              <w:t>75205</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-5958840</wp:posOffset>
            </wp:positionV>
            <wp:extent cx="28575" cy="1653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653540"/>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p>
      <w:pPr>
        <w:spacing w:after="0" w:line="30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4626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2415" cy="4626610"/>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RHA Investments, Inc.</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4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240" w:type="dxa"/>
            <w:vAlign w:val="bottom"/>
          </w:tcPr>
          <w:p>
            <w:pPr>
              <w:ind w:left="6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line="208" w:lineRule="exact"/>
              <w:rPr>
                <w:rFonts w:ascii="Arial" w:cs="Arial" w:eastAsia="Arial" w:hAnsi="Arial"/>
                <w:sz w:val="20"/>
                <w:szCs w:val="20"/>
                <w:color w:val="0000EE"/>
                <w:w w:val="95"/>
              </w:rPr>
            </w:pPr>
            <w:hyperlink r:id="rId19">
              <w:r>
                <w:rPr>
                  <w:rFonts w:ascii="Arial" w:cs="Arial" w:eastAsia="Arial" w:hAnsi="Arial"/>
                  <w:sz w:val="20"/>
                  <w:szCs w:val="20"/>
                  <w:color w:val="0000EE"/>
                  <w:w w:val="95"/>
                </w:rPr>
                <w:t>Alpert Robert H</w:t>
              </w:r>
            </w:hyperlink>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4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240" w:type="dxa"/>
            <w:vAlign w:val="bottom"/>
          </w:tcPr>
          <w:p>
            <w:pPr>
              <w:ind w:left="6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line="208" w:lineRule="exact"/>
              <w:rPr>
                <w:rFonts w:ascii="Arial" w:cs="Arial" w:eastAsia="Arial" w:hAnsi="Arial"/>
                <w:sz w:val="20"/>
                <w:szCs w:val="20"/>
                <w:color w:val="0000EE"/>
              </w:rPr>
            </w:pPr>
            <w:hyperlink r:id="rId20">
              <w:r>
                <w:rPr>
                  <w:rFonts w:ascii="Arial" w:cs="Arial" w:eastAsia="Arial" w:hAnsi="Arial"/>
                  <w:sz w:val="20"/>
                  <w:szCs w:val="20"/>
                  <w:color w:val="0000EE"/>
                </w:rPr>
                <w:t>Webb C Clark</w:t>
              </w:r>
            </w:hyperlink>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6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144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240" w:type="dxa"/>
            <w:vAlign w:val="bottom"/>
          </w:tcPr>
          <w:p>
            <w:pPr>
              <w:ind w:left="60"/>
              <w:spacing w:after="0"/>
              <w:rPr>
                <w:sz w:val="20"/>
                <w:szCs w:val="20"/>
                <w:color w:val="auto"/>
              </w:rPr>
            </w:pPr>
            <w:r>
              <w:rPr>
                <w:rFonts w:ascii="Arial" w:cs="Arial" w:eastAsia="Arial" w:hAnsi="Arial"/>
                <w:sz w:val="16"/>
                <w:szCs w:val="16"/>
                <w:color w:val="0000FF"/>
              </w:rPr>
              <w:t>TX</w:t>
            </w:r>
          </w:p>
        </w:tc>
        <w:tc>
          <w:tcPr>
            <w:tcW w:w="1580" w:type="dxa"/>
            <w:vAlign w:val="bottom"/>
          </w:tcPr>
          <w:p>
            <w:pPr>
              <w:ind w:left="220"/>
              <w:spacing w:after="0"/>
              <w:rPr>
                <w:sz w:val="20"/>
                <w:szCs w:val="20"/>
                <w:color w:val="auto"/>
              </w:rPr>
            </w:pPr>
            <w:r>
              <w:rPr>
                <w:rFonts w:ascii="Arial" w:cs="Arial" w:eastAsia="Arial" w:hAnsi="Arial"/>
                <w:sz w:val="16"/>
                <w:szCs w:val="16"/>
                <w:color w:val="0000FF"/>
              </w:rPr>
              <w:t>75205</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40" w:hanging="2"/>
        <w:spacing w:after="0" w:line="275"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Form 4 is being filed by 210/P10 Acquisition Partners, LLC ("210/P10"), in its capacity as direct holder of shares of Class B Common Stock, 210 Capital, LLC ("210 Capital"), in its capacity as sole member of 210/P10, Covenant RHA Partners, L.P. ("RHA Partners"), in its capacity as member of 210 Capital, CCW/LAW Holdings, LLC ("CCW Holdings"), in its capacity as member of 210 Capital, Mr. Webb, in his capacity as sole member of CCW Holdings, RHA Investments, Inc. ("RHA Investments"), in its capacity as general partner of RHA Partners, and Mr. Alpert, in his capacity as President and sole shareholder of RHA Investments (collectively, the "Reporting Persons").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13" w:lineRule="exact"/>
        <w:rPr>
          <w:rFonts w:ascii="Arial" w:cs="Arial" w:eastAsia="Arial" w:hAnsi="Arial"/>
          <w:sz w:val="11"/>
          <w:szCs w:val="11"/>
          <w:color w:val="008000"/>
        </w:rPr>
      </w:pPr>
    </w:p>
    <w:p>
      <w:pPr>
        <w:ind w:left="20" w:right="36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31" w:lineRule="exact"/>
        <w:rPr>
          <w:rFonts w:ascii="Arial" w:cs="Arial" w:eastAsia="Arial" w:hAnsi="Arial"/>
          <w:sz w:val="13"/>
          <w:szCs w:val="13"/>
          <w:color w:val="008000"/>
        </w:rPr>
      </w:pPr>
    </w:p>
    <w:p>
      <w:pPr>
        <w:ind w:left="20" w:hanging="2"/>
        <w:spacing w:after="0" w:line="227"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October 25, 2021, each Reporting Person directed the sale of shares of Class B Common Stock, as reported herein, resulting in the automatic conversion of the shares into Class A Common Stock upon execution of the sale.</w:t>
      </w:r>
    </w:p>
    <w:p>
      <w:pPr>
        <w:spacing w:after="0" w:line="30" w:lineRule="exact"/>
        <w:rPr>
          <w:rFonts w:ascii="Arial" w:cs="Arial" w:eastAsia="Arial" w:hAnsi="Arial"/>
          <w:sz w:val="13"/>
          <w:szCs w:val="13"/>
          <w:color w:val="008000"/>
        </w:rPr>
      </w:pPr>
    </w:p>
    <w:p>
      <w:pPr>
        <w:ind w:left="20" w:right="140" w:hanging="2"/>
        <w:spacing w:after="0" w:line="236" w:lineRule="auto"/>
        <w:tabs>
          <w:tab w:leader="none" w:pos="14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210/P10. By virtue of their relationship with 210/P10 described in Footnote 1, each of 210 Capital, RHA Partners, CCW/Law Holdings, RHA Investments, Mr. Webb and Mr. Alpert may be deemed to beneficially own the securities of the Issuer owned directly by 210/P10.</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26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Attorney-in-Fact for the</w:t>
      </w:r>
      <w:r>
        <w:rPr>
          <w:sz w:val="20"/>
          <w:szCs w:val="20"/>
          <w:color w:val="auto"/>
        </w:rPr>
        <w:tab/>
      </w:r>
      <w:r>
        <w:rPr>
          <w:rFonts w:ascii="Arial" w:cs="Arial" w:eastAsia="Arial" w:hAnsi="Arial"/>
          <w:sz w:val="14"/>
          <w:szCs w:val="14"/>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868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760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60095" cy="8255"/>
                    </a:xfrm>
                    <a:prstGeom prst="rect">
                      <a:avLst/>
                    </a:prstGeom>
                    <a:noFill/>
                  </pic:spPr>
                </pic:pic>
              </a:graphicData>
            </a:graphic>
          </wp:anchor>
        </w:drawing>
      </w:r>
    </w:p>
    <w:p>
      <w:pPr>
        <w:spacing w:after="0" w:line="4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68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69478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274195" TargetMode="External"/><Relationship Id="rId15" Type="http://schemas.openxmlformats.org/officeDocument/2006/relationships/hyperlink" Target="http://www.sec.gov/cgi-bin/browse-edgar?action=getcompany&amp;CIK=0001694778" TargetMode="External"/><Relationship Id="rId18" Type="http://schemas.openxmlformats.org/officeDocument/2006/relationships/hyperlink" Target="http://www.sec.gov/cgi-bin/browse-edgar?action=getcompany&amp;CIK=0001694781" TargetMode="External"/><Relationship Id="rId19" Type="http://schemas.openxmlformats.org/officeDocument/2006/relationships/hyperlink" Target="http://www.sec.gov/cgi-bin/browse-edgar?action=getcompany&amp;CIK=0001694574" TargetMode="External"/><Relationship Id="rId20" Type="http://schemas.openxmlformats.org/officeDocument/2006/relationships/hyperlink" Target="http://www.sec.gov/cgi-bin/browse-edgar?action=getcompany&amp;CIK=00016945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2021-10-27T16:58:20Z</dcterms:created>
  <dcterms:modified xsi:type="dcterms:W3CDTF">2021-10-27T16:58:20Z</dcterms:modified>
</cp:coreProperties>
</file>