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Craft Melodie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26,930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02/14/2025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26,930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02/14/2035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26,930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26,930 stock options, which will vest ratably on the second, third, fourth and fifth anniversaries of the grant date, provided that the reporting person remains in continuous service with the Issuer through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Compliance Officer &amp; GC</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42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Melodie</w:t>
      </w:r>
      <w:r>
        <w:rPr>
          <w:sz w:val="20"/>
          <w:szCs w:val="20"/>
          <w:color w:val="auto"/>
        </w:rPr>
        <w:tab/>
      </w:r>
      <w:r>
        <w:rPr>
          <w:rFonts w:ascii="Times New Roman" w:cs="Times New Roman" w:eastAsia="Times New Roman" w:hAnsi="Times New Roman"/>
          <w:sz w:val="16"/>
          <w:szCs w:val="16"/>
          <w:color w:val="0000FF"/>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Craft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8114"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2025-02-19T17:45:10Z</dcterms:created>
  <dcterms:modified xsi:type="dcterms:W3CDTF">2025-02-19T17:45:10Z</dcterms:modified>
</cp:coreProperties>
</file>