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Date of Report (Date of earliest event reported): February 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(Commission File Number)</w:t>
      </w:r>
    </w:p>
    <w:p>
      <w:pPr>
        <w:spacing w:after="0" w:line="178"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8"/>
              </w:rPr>
              <w:t>Delaware</w:t>
            </w:r>
          </w:p>
        </w:tc>
        <w:tc>
          <w:tcPr>
            <w:tcW w:w="134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6620" w:type="dxa"/>
            <w:vAlign w:val="bottom"/>
          </w:tcPr>
          <w:p>
            <w:pPr>
              <w:jc w:val="center"/>
              <w:ind w:right="3323"/>
              <w:spacing w:after="0" w:line="149" w:lineRule="exact"/>
              <w:rPr>
                <w:sz w:val="20"/>
                <w:szCs w:val="20"/>
                <w:color w:val="auto"/>
              </w:rPr>
            </w:pPr>
            <w:r>
              <w:rPr>
                <w:rFonts w:ascii="Arial" w:cs="Arial" w:eastAsia="Arial" w:hAnsi="Arial"/>
                <w:sz w:val="14"/>
                <w:szCs w:val="14"/>
                <w:b w:val="1"/>
                <w:bCs w:val="1"/>
                <w:color w:val="auto"/>
                <w:w w:val="87"/>
              </w:rPr>
              <w:t>(State of Other Jurisdiction</w:t>
            </w:r>
          </w:p>
        </w:tc>
        <w:tc>
          <w:tcPr>
            <w:tcW w:w="134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20" w:type="dxa"/>
            <w:vAlign w:val="bottom"/>
          </w:tcPr>
          <w:p>
            <w:pPr>
              <w:jc w:val="center"/>
              <w:ind w:right="3343"/>
              <w:spacing w:after="0"/>
              <w:rPr>
                <w:sz w:val="20"/>
                <w:szCs w:val="20"/>
                <w:color w:val="auto"/>
              </w:rPr>
            </w:pPr>
            <w:r>
              <w:rPr>
                <w:rFonts w:ascii="Arial" w:cs="Arial" w:eastAsia="Arial" w:hAnsi="Arial"/>
                <w:sz w:val="14"/>
                <w:szCs w:val="14"/>
                <w:b w:val="1"/>
                <w:bCs w:val="1"/>
                <w:color w:val="auto"/>
                <w:w w:val="89"/>
              </w:rPr>
              <w:t>of Incorporation)</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34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620" w:type="dxa"/>
            <w:vAlign w:val="bottom"/>
          </w:tcPr>
          <w:p>
            <w:pPr>
              <w:jc w:val="center"/>
              <w:ind w:right="3323"/>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89"/>
              </w:rPr>
              <w:t>(512) 836-6464</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40" w:type="dxa"/>
            <w:vAlign w:val="bottom"/>
          </w:tcPr>
          <w:p>
            <w:pPr>
              <w:spacing w:after="0"/>
              <w:rPr>
                <w:sz w:val="15"/>
                <w:szCs w:val="15"/>
                <w:color w:val="auto"/>
              </w:rPr>
            </w:pPr>
          </w:p>
        </w:tc>
      </w:tr>
      <w:tr>
        <w:trPr>
          <w:trHeight w:val="352"/>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96"/>
              </w:rPr>
              <w:t>N/A</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3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355"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On February 2, 2007, Active Power, Inc. issued a press release reporting its preliminary results of operations for its fiscal quarter and year ended December 31, 2006. A copy of the press release is furnished herewith as Exhibit 99.1.</w:t>
      </w:r>
    </w:p>
    <w:p>
      <w:pPr>
        <w:spacing w:after="0" w:line="132"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accordance with General Instruction B.2 of Form 8-K, the information contained in this Current Report, including the exhibit attached hereto,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pacing w:after="0" w:line="188" w:lineRule="exact"/>
        <w:rPr>
          <w:sz w:val="20"/>
          <w:szCs w:val="20"/>
          <w:color w:val="auto"/>
        </w:rPr>
      </w:pPr>
    </w:p>
    <w:p>
      <w:pPr>
        <w:jc w:val="both"/>
        <w:ind w:right="140"/>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February 1, 2007, Joseph F. Pinkerton, III resigned as a director and as Chairman of the Board of Directors of Active Power. Benjamin J. Scott was elected by the Board to succeed Mr. Pinkerton as Chairman. Mr. Scott will serve as Chairman in a non-executive capacity, in accordance with Section 4.11 of the Company’s newly adopted Second Amended &amp; Restated Bylaws adopted on February 1, 2007. See Item 5.03. Mr. Pinkerton’s seat as a Class III Director shall remain vacant until such time as the Board desires to reduce the number of authorized directors or to fill such vacancy. Mr. Scott will receive $10,000 per year for his service as Chairman, replacing the $10,000 per year compensation he previously received for his service as “lead independent director”. As a result of the election of an independent director as Chairman of the Board, Mr. Scott’s designation as lead independent director no longer serves a significant corporate governance purpose at this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Effective February 1, 2007, the Board of Directors of Active Power amended and restated the Company’s Bylaws in order to effect, among other things, the following amendments:</w:t>
      </w:r>
    </w:p>
    <w:p>
      <w:pPr>
        <w:spacing w:after="0" w:line="51" w:lineRule="exact"/>
        <w:rPr>
          <w:sz w:val="20"/>
          <w:szCs w:val="20"/>
          <w:color w:val="auto"/>
        </w:rPr>
      </w:pPr>
    </w:p>
    <w:p>
      <w:pPr>
        <w:ind w:left="780" w:hanging="326"/>
        <w:spacing w:after="0" w:line="298"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Section 3.1 was revised to provide that the Board of Directors, in its sole discretion, may determine that meetings of stockholders shall not be held at any place, but may instead be held solely by means of remote communication. In furtherance thereof, Section 3.12 was revised to provide, among other things, that the Board of Directors, in its sole discretion, may permit stockholders to participate in a meeting of stockholders by means of remote communication and shall be deemed present in person and permitted to vote at such meeting.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left="780" w:right="14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3.4 was revised to permit notice and waiver of notice of stockholder meetings by electronic transmission. Section 4.6 was revised to permit notice and waiver of notice of meetings of the Board of Directors by electronic transmission. Section 4.8 was revised to permit actions to be taken by the Board of Directors by electronic transmission.</w:t>
      </w:r>
    </w:p>
    <w:p>
      <w:pPr>
        <w:spacing w:after="0" w:line="59"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Section 4.11 was revised to provide that Active Power shall elect a Chairman of the Board from its current directors, and that such Chairman shall not be deemed to be an officer of Active Power solely by virtue of appointment to such role.</w:t>
      </w:r>
    </w:p>
    <w:p>
      <w:pPr>
        <w:spacing w:after="0" w:line="5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Section 5.2 was revised to provide certain changes to update, clarify and streamline the hierarchy, titles and duties of the Company’s various executive officers.</w:t>
      </w:r>
    </w:p>
    <w:p>
      <w:pPr>
        <w:spacing w:after="0" w:line="132"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foregoing summary of amendments to the Bylaws of Active Power does not purport to be a complete description of such amendments. For a complete description of the amendments to the Bylaws of Active Power adopted by its Board of Directors, see Exhibit 3.2, which is incorporated by reference herein.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previously disclosed, the Company’s Board of Directors established a special committee consisting of independent directors to conduct an internal review relating to past stock option grants. The special committee is being assisted by outside legal counsel and accounting experts. The special committee has not yet completed its work or reached final conclusions. The special committee has, however, reached a preliminary conclusion that the actual date of determination for certain past stock option grants differed from the stated grant date for such awards, which would result in additional charges to the Company for stock-based compensation expenses. Any such charges would have the effect of increasing GAAP losses and retained deficit figures contained in the Company’s historical GAAP financial statements for prior periods. The special committee is continuing its investigation.</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 has not yet concluded whether it is highly likely that the Company may need to restate its historical GAAP financial statements to take account of additional charges for stock-based compensation expenses or whether such charges are likely to be material. If the Company were to conclude that a restatement is required, the Company would file a new Form 8-K to state under Item 4.02 that the Company’s audited financial statements and related independent auditors’ reports for prior periods should no longer be relied upon. The Company does not believe that a restatement, if required, would have an impact on its historical revenues, cash position or non-stock option related operating expenses. Additionally, Active Power expects to incur significant legal and professional fees associated with the independent committee’s review.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 Financial Statements and Exhibits.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200" w:type="dxa"/>
            <w:vAlign w:val="bottom"/>
            <w:gridSpan w:val="2"/>
          </w:tcPr>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3"/>
                <w:szCs w:val="13"/>
                <w:b w:val="1"/>
                <w:bCs w:val="1"/>
                <w:color w:val="auto"/>
              </w:rPr>
              <w:t>Exhibit No.</w:t>
            </w:r>
          </w:p>
        </w:tc>
        <w:tc>
          <w:tcPr>
            <w:tcW w:w="10200" w:type="dxa"/>
            <w:vAlign w:val="bottom"/>
            <w:gridSpan w:val="2"/>
          </w:tcPr>
          <w:p>
            <w:pPr>
              <w:ind w:left="20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400" w:type="dxa"/>
            <w:vAlign w:val="bottom"/>
          </w:tcPr>
          <w:p>
            <w:pPr>
              <w:spacing w:after="0"/>
              <w:rPr>
                <w:sz w:val="18"/>
                <w:szCs w:val="18"/>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0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Second Amended and Restated Bylaws of Active Power, Inc. as adopted February 1, 2007</w:t>
            </w:r>
          </w:p>
        </w:tc>
      </w:tr>
      <w:tr>
        <w:trPr>
          <w:trHeight w:val="316"/>
        </w:trPr>
        <w:tc>
          <w:tcPr>
            <w:tcW w:w="1200" w:type="dxa"/>
            <w:vAlign w:val="bottom"/>
            <w:gridSpan w:val="2"/>
          </w:tcPr>
          <w:p>
            <w:pPr>
              <w:ind w:left="400"/>
              <w:spacing w:after="0"/>
              <w:rPr>
                <w:sz w:val="20"/>
                <w:szCs w:val="20"/>
                <w:color w:val="auto"/>
              </w:rPr>
            </w:pPr>
            <w:r>
              <w:rPr>
                <w:rFonts w:ascii="Arial" w:cs="Arial" w:eastAsia="Arial" w:hAnsi="Arial"/>
                <w:sz w:val="18"/>
                <w:szCs w:val="18"/>
                <w:color w:val="auto"/>
              </w:rPr>
              <w:t>99.1</w:t>
            </w:r>
          </w:p>
        </w:tc>
        <w:tc>
          <w:tcPr>
            <w:tcW w:w="10200" w:type="dxa"/>
            <w:vAlign w:val="bottom"/>
            <w:gridSpan w:val="2"/>
          </w:tcPr>
          <w:p>
            <w:pPr>
              <w:ind w:left="200"/>
              <w:spacing w:after="0"/>
              <w:rPr>
                <w:sz w:val="20"/>
                <w:szCs w:val="20"/>
                <w:color w:val="auto"/>
              </w:rPr>
            </w:pPr>
            <w:r>
              <w:rPr>
                <w:rFonts w:ascii="Arial" w:cs="Arial" w:eastAsia="Arial" w:hAnsi="Arial"/>
                <w:sz w:val="18"/>
                <w:szCs w:val="18"/>
                <w:color w:val="auto"/>
              </w:rPr>
              <w:t>Press Release of Active Power, Inc. dated February 2, 2007</w:t>
            </w:r>
          </w:p>
        </w:tc>
      </w:tr>
      <w:tr>
        <w:trPr>
          <w:trHeight w:val="365"/>
        </w:trPr>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0" w:type="dxa"/>
            <w:vAlign w:val="bottom"/>
            <w:gridSpan w:val="2"/>
          </w:tcPr>
          <w:p>
            <w:pPr>
              <w:jc w:val="right"/>
              <w:ind w:right="5572"/>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274" w:right="239" w:bottom="1440" w:gutter="0" w:footer="0" w:header="0"/>
        </w:sectPr>
      </w:pPr>
    </w:p>
    <w:bookmarkStart w:id="4" w:name="page5"/>
    <w:bookmarkEnd w:id="4"/>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Dated: February 2, 2007</w:t>
      </w:r>
      <w:r>
        <w:rPr>
          <w:sz w:val="20"/>
          <w:szCs w:val="20"/>
          <w:color w:val="auto"/>
        </w:rPr>
        <w:tab/>
      </w:r>
      <w:r>
        <w:rPr>
          <w:rFonts w:ascii="Arial" w:cs="Arial" w:eastAsia="Arial" w:hAnsi="Arial"/>
          <w:sz w:val="16"/>
          <w:szCs w:val="16"/>
          <w:b w:val="1"/>
          <w:bCs w:val="1"/>
          <w:color w:val="auto"/>
        </w:rPr>
        <w:t>ACTIVE POWER, INC.</w:t>
      </w:r>
    </w:p>
    <w:p>
      <w:pPr>
        <w:spacing w:after="0" w:line="23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/s/ James A. Clishem</w:t>
      </w:r>
    </w:p>
    <w:p>
      <w:pPr>
        <w:spacing w:after="0" w:line="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James A. Clishem</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240" w:top="274" w:right="11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jc w:val="center"/>
              <w:ind w:right="997"/>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Exhibit No.</w:t>
            </w:r>
          </w:p>
        </w:tc>
        <w:tc>
          <w:tcPr>
            <w:tcW w:w="440" w:type="dxa"/>
            <w:vAlign w:val="bottom"/>
          </w:tcPr>
          <w:p>
            <w:pPr>
              <w:spacing w:after="0"/>
              <w:rPr>
                <w:sz w:val="24"/>
                <w:szCs w:val="24"/>
                <w:color w:val="auto"/>
              </w:rPr>
            </w:pPr>
          </w:p>
        </w:tc>
        <w:tc>
          <w:tcPr>
            <w:tcW w:w="10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Second Amended and Restated Bylaws of Active Power, Inc. as adopted February 1, 2007</w:t>
            </w:r>
          </w:p>
        </w:tc>
      </w:tr>
      <w:tr>
        <w:trPr>
          <w:trHeight w:val="316"/>
        </w:trPr>
        <w:tc>
          <w:tcPr>
            <w:tcW w:w="660" w:type="dxa"/>
            <w:vAlign w:val="bottom"/>
            <w:gridSpan w:val="2"/>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Press Release of Active Power, Inc. dated February 2, 2007</w:t>
            </w: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760" w:type="dxa"/>
            <w:vAlign w:val="bottom"/>
            <w:gridSpan w:val="2"/>
          </w:tcPr>
          <w:p>
            <w:pPr>
              <w:jc w:val="right"/>
              <w:ind w:right="5577"/>
              <w:spacing w:after="0"/>
              <w:rPr>
                <w:sz w:val="20"/>
                <w:szCs w:val="20"/>
                <w:color w:val="auto"/>
              </w:rPr>
            </w:pPr>
            <w:r>
              <w:rPr>
                <w:rFonts w:ascii="Arial" w:cs="Arial" w:eastAsia="Arial" w:hAnsi="Arial"/>
                <w:sz w:val="18"/>
                <w:szCs w:val="18"/>
                <w:color w:val="auto"/>
              </w:rPr>
              <w:t>6</w:t>
            </w:r>
          </w:p>
        </w:tc>
      </w:tr>
    </w:tbl>
    <w:p>
      <w:pPr>
        <w:jc w:val="right"/>
        <w:ind w:right="5577"/>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 w:name="page7"/>
    <w:bookmarkEnd w:id="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1420"/>
          </w:cols>
          <w:pgMar w:left="240" w:top="122"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380" w:type="dxa"/>
            <w:vAlign w:val="bottom"/>
            <w:gridSpan w:val="4"/>
          </w:tcPr>
          <w:p>
            <w:pPr>
              <w:ind w:left="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60" w:type="dxa"/>
            <w:vAlign w:val="bottom"/>
            <w:vMerge w:val="restart"/>
          </w:tcPr>
          <w:p>
            <w:pPr>
              <w:spacing w:after="0"/>
              <w:rPr>
                <w:rFonts w:ascii="Arial" w:cs="Arial" w:eastAsia="Arial" w:hAnsi="Arial"/>
                <w:sz w:val="18"/>
                <w:szCs w:val="18"/>
                <w:color w:val="0000EE"/>
                <w:w w:val="94"/>
              </w:rPr>
            </w:pPr>
            <w:hyperlink w:anchor="page10">
              <w:r>
                <w:rPr>
                  <w:rFonts w:ascii="Arial" w:cs="Arial" w:eastAsia="Arial" w:hAnsi="Arial"/>
                  <w:sz w:val="18"/>
                  <w:szCs w:val="18"/>
                  <w:color w:val="0000EE"/>
                  <w:w w:val="94"/>
                </w:rPr>
                <w:t>Article I Offices</w:t>
              </w:r>
            </w:hyperlink>
          </w:p>
        </w:tc>
        <w:tc>
          <w:tcPr>
            <w:tcW w:w="400" w:type="dxa"/>
            <w:vAlign w:val="bottom"/>
            <w:gridSpan w:val="3"/>
            <w:vMerge w:val="restart"/>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0000EE"/>
            </w:tcBorders>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560" w:type="dxa"/>
            <w:vAlign w:val="bottom"/>
            <w:gridSpan w:val="4"/>
          </w:tcPr>
          <w:p>
            <w:pPr>
              <w:ind w:left="220"/>
              <w:spacing w:after="0"/>
              <w:rPr>
                <w:sz w:val="20"/>
                <w:szCs w:val="20"/>
                <w:color w:val="auto"/>
              </w:rPr>
            </w:pPr>
            <w:r>
              <w:rPr>
                <w:rFonts w:ascii="Arial" w:cs="Arial" w:eastAsia="Arial" w:hAnsi="Arial"/>
                <w:sz w:val="18"/>
                <w:szCs w:val="18"/>
                <w:b w:val="1"/>
                <w:bCs w:val="1"/>
                <w:color w:val="auto"/>
              </w:rPr>
              <w:t>Section 1.1</w:t>
            </w:r>
          </w:p>
        </w:tc>
        <w:tc>
          <w:tcPr>
            <w:tcW w:w="1300" w:type="dxa"/>
            <w:vAlign w:val="bottom"/>
            <w:tcBorders>
              <w:bottom w:val="single" w:sz="8" w:color="0000EE"/>
            </w:tcBorders>
            <w:gridSpan w:val="15"/>
          </w:tcPr>
          <w:p>
            <w:pPr>
              <w:spacing w:after="0"/>
              <w:rPr>
                <w:rFonts w:ascii="Arial" w:cs="Arial" w:eastAsia="Arial" w:hAnsi="Arial"/>
                <w:sz w:val="18"/>
                <w:szCs w:val="18"/>
                <w:b w:val="1"/>
                <w:bCs w:val="1"/>
                <w:color w:val="0000EE"/>
                <w:w w:val="85"/>
              </w:rPr>
            </w:pPr>
            <w:hyperlink w:anchor="page10">
              <w:r>
                <w:rPr>
                  <w:rFonts w:ascii="Arial" w:cs="Arial" w:eastAsia="Arial" w:hAnsi="Arial"/>
                  <w:sz w:val="18"/>
                  <w:szCs w:val="18"/>
                  <w:b w:val="1"/>
                  <w:bCs w:val="1"/>
                  <w:color w:val="0000EE"/>
                  <w:w w:val="85"/>
                </w:rPr>
                <w:t>Registered Office</w:t>
              </w:r>
            </w:hyperlink>
          </w:p>
        </w:tc>
        <w:tc>
          <w:tcPr>
            <w:tcW w:w="8280" w:type="dxa"/>
            <w:vAlign w:val="bottom"/>
            <w:gridSpan w:val="2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1.2</w:t>
            </w:r>
          </w:p>
        </w:tc>
        <w:tc>
          <w:tcPr>
            <w:tcW w:w="9580" w:type="dxa"/>
            <w:vAlign w:val="bottom"/>
            <w:gridSpan w:val="35"/>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Other Offices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140" w:type="dxa"/>
            <w:vAlign w:val="bottom"/>
            <w:gridSpan w:val="3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Article II Corporate Seal</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4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Article III Stockholders’ Meetings</w:t>
              </w:r>
            </w:hyperlink>
          </w:p>
        </w:tc>
        <w:tc>
          <w:tcPr>
            <w:tcW w:w="8700" w:type="dxa"/>
            <w:vAlign w:val="bottom"/>
            <w:gridSpan w:val="2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60" w:type="dxa"/>
            <w:vAlign w:val="bottom"/>
            <w:gridSpan w:val="4"/>
          </w:tcPr>
          <w:p>
            <w:pPr>
              <w:ind w:left="220"/>
              <w:spacing w:after="0"/>
              <w:rPr>
                <w:sz w:val="20"/>
                <w:szCs w:val="20"/>
                <w:color w:val="auto"/>
              </w:rPr>
            </w:pPr>
            <w:r>
              <w:rPr>
                <w:rFonts w:ascii="Arial" w:cs="Arial" w:eastAsia="Arial" w:hAnsi="Arial"/>
                <w:sz w:val="18"/>
                <w:szCs w:val="18"/>
                <w:b w:val="1"/>
                <w:bCs w:val="1"/>
                <w:color w:val="auto"/>
              </w:rPr>
              <w:t>Section 3.1</w:t>
            </w:r>
          </w:p>
        </w:tc>
        <w:tc>
          <w:tcPr>
            <w:tcW w:w="1320" w:type="dxa"/>
            <w:vAlign w:val="bottom"/>
            <w:tcBorders>
              <w:bottom w:val="single" w:sz="8" w:color="0000EE"/>
            </w:tcBorders>
            <w:gridSpan w:val="16"/>
          </w:tcPr>
          <w:p>
            <w:pPr>
              <w:spacing w:after="0"/>
              <w:rPr>
                <w:rFonts w:ascii="Arial" w:cs="Arial" w:eastAsia="Arial" w:hAnsi="Arial"/>
                <w:sz w:val="18"/>
                <w:szCs w:val="18"/>
                <w:b w:val="1"/>
                <w:bCs w:val="1"/>
                <w:color w:val="0000EE"/>
                <w:w w:val="85"/>
              </w:rPr>
            </w:pPr>
            <w:hyperlink w:anchor="page10">
              <w:r>
                <w:rPr>
                  <w:rFonts w:ascii="Arial" w:cs="Arial" w:eastAsia="Arial" w:hAnsi="Arial"/>
                  <w:sz w:val="18"/>
                  <w:szCs w:val="18"/>
                  <w:b w:val="1"/>
                  <w:bCs w:val="1"/>
                  <w:color w:val="0000EE"/>
                  <w:w w:val="85"/>
                </w:rPr>
                <w:t>Place of Meetings</w:t>
              </w:r>
            </w:hyperlink>
          </w:p>
        </w:tc>
        <w:tc>
          <w:tcPr>
            <w:tcW w:w="8260" w:type="dxa"/>
            <w:vAlign w:val="bottom"/>
            <w:gridSpan w:val="1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3.2</w:t>
            </w:r>
          </w:p>
        </w:tc>
        <w:tc>
          <w:tcPr>
            <w:tcW w:w="122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89"/>
              </w:rPr>
            </w:pPr>
            <w:hyperlink w:anchor="page10">
              <w:r>
                <w:rPr>
                  <w:rFonts w:ascii="Arial" w:cs="Arial" w:eastAsia="Arial" w:hAnsi="Arial"/>
                  <w:sz w:val="18"/>
                  <w:szCs w:val="18"/>
                  <w:b w:val="1"/>
                  <w:bCs w:val="1"/>
                  <w:color w:val="0000EE"/>
                  <w:w w:val="89"/>
                </w:rPr>
                <w:t>Annual Meeting</w:t>
              </w:r>
            </w:hyperlink>
          </w:p>
        </w:tc>
        <w:tc>
          <w:tcPr>
            <w:tcW w:w="8360" w:type="dxa"/>
            <w:vAlign w:val="bottom"/>
            <w:gridSpan w:val="2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3.3</w:t>
            </w:r>
          </w:p>
        </w:tc>
        <w:tc>
          <w:tcPr>
            <w:tcW w:w="9580" w:type="dxa"/>
            <w:vAlign w:val="bottom"/>
            <w:gridSpan w:val="35"/>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Special Meetings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3.4</w:t>
            </w:r>
          </w:p>
        </w:tc>
        <w:tc>
          <w:tcPr>
            <w:tcW w:w="140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86"/>
              </w:rPr>
            </w:pPr>
            <w:hyperlink w:anchor="page12">
              <w:r>
                <w:rPr>
                  <w:rFonts w:ascii="Arial" w:cs="Arial" w:eastAsia="Arial" w:hAnsi="Arial"/>
                  <w:sz w:val="18"/>
                  <w:szCs w:val="18"/>
                  <w:b w:val="1"/>
                  <w:bCs w:val="1"/>
                  <w:color w:val="0000EE"/>
                  <w:w w:val="86"/>
                </w:rPr>
                <w:t>Notice of Meetings</w:t>
              </w:r>
            </w:hyperlink>
          </w:p>
        </w:tc>
        <w:tc>
          <w:tcPr>
            <w:tcW w:w="818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3.5</w:t>
            </w:r>
          </w:p>
        </w:tc>
        <w:tc>
          <w:tcPr>
            <w:tcW w:w="9580" w:type="dxa"/>
            <w:vAlign w:val="bottom"/>
            <w:gridSpan w:val="35"/>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Quorum</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3.6</w:t>
            </w:r>
          </w:p>
        </w:tc>
        <w:tc>
          <w:tcPr>
            <w:tcW w:w="3660" w:type="dxa"/>
            <w:vAlign w:val="bottom"/>
            <w:tcBorders>
              <w:bottom w:val="single" w:sz="8" w:color="0000EE"/>
            </w:tcBorders>
            <w:gridSpan w:val="33"/>
          </w:tcPr>
          <w:p>
            <w:pPr>
              <w:spacing w:after="0" w:line="196" w:lineRule="exact"/>
              <w:rPr>
                <w:rFonts w:ascii="Arial" w:cs="Arial" w:eastAsia="Arial" w:hAnsi="Arial"/>
                <w:sz w:val="18"/>
                <w:szCs w:val="18"/>
                <w:b w:val="1"/>
                <w:bCs w:val="1"/>
                <w:color w:val="0000EE"/>
                <w:w w:val="88"/>
              </w:rPr>
            </w:pPr>
            <w:hyperlink w:anchor="page13">
              <w:r>
                <w:rPr>
                  <w:rFonts w:ascii="Arial" w:cs="Arial" w:eastAsia="Arial" w:hAnsi="Arial"/>
                  <w:sz w:val="18"/>
                  <w:szCs w:val="18"/>
                  <w:b w:val="1"/>
                  <w:bCs w:val="1"/>
                  <w:color w:val="0000EE"/>
                  <w:w w:val="88"/>
                </w:rPr>
                <w:t>Adjournment and Notice of Adjourned Meetings</w:t>
              </w:r>
            </w:hyperlink>
          </w:p>
        </w:tc>
        <w:tc>
          <w:tcPr>
            <w:tcW w:w="59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3.7</w:t>
            </w:r>
          </w:p>
        </w:tc>
        <w:tc>
          <w:tcPr>
            <w:tcW w:w="9580" w:type="dxa"/>
            <w:vAlign w:val="bottom"/>
            <w:gridSpan w:val="35"/>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Voting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3.8</w:t>
            </w:r>
          </w:p>
        </w:tc>
        <w:tc>
          <w:tcPr>
            <w:tcW w:w="9580" w:type="dxa"/>
            <w:vAlign w:val="bottom"/>
            <w:gridSpan w:val="35"/>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Joint Owners of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3.9</w:t>
            </w:r>
          </w:p>
        </w:tc>
        <w:tc>
          <w:tcPr>
            <w:tcW w:w="15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b w:val="1"/>
                <w:bCs w:val="1"/>
                <w:color w:val="0000EE"/>
                <w:w w:val="86"/>
              </w:rPr>
            </w:pPr>
            <w:hyperlink w:anchor="page13">
              <w:r>
                <w:rPr>
                  <w:rFonts w:ascii="Arial" w:cs="Arial" w:eastAsia="Arial" w:hAnsi="Arial"/>
                  <w:sz w:val="18"/>
                  <w:szCs w:val="18"/>
                  <w:b w:val="1"/>
                  <w:bCs w:val="1"/>
                  <w:color w:val="0000EE"/>
                  <w:w w:val="86"/>
                </w:rPr>
                <w:t>List of Stockholders</w:t>
              </w:r>
            </w:hyperlink>
          </w:p>
        </w:tc>
        <w:tc>
          <w:tcPr>
            <w:tcW w:w="140" w:type="dxa"/>
            <w:vAlign w:val="bottom"/>
            <w:tcBorders>
              <w:top w:val="single" w:sz="8" w:color="0000EE"/>
            </w:tcBorders>
            <w:gridSpan w:val="2"/>
          </w:tcPr>
          <w:p>
            <w:pPr>
              <w:spacing w:after="0"/>
              <w:rPr>
                <w:sz w:val="17"/>
                <w:szCs w:val="17"/>
                <w:color w:val="auto"/>
              </w:rPr>
            </w:pPr>
          </w:p>
        </w:tc>
        <w:tc>
          <w:tcPr>
            <w:tcW w:w="792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3.10</w:t>
            </w:r>
          </w:p>
        </w:tc>
        <w:tc>
          <w:tcPr>
            <w:tcW w:w="9580" w:type="dxa"/>
            <w:vAlign w:val="bottom"/>
            <w:gridSpan w:val="35"/>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No Action Without Meeting</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3.11</w:t>
            </w:r>
          </w:p>
        </w:tc>
        <w:tc>
          <w:tcPr>
            <w:tcW w:w="10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b w:val="1"/>
                <w:bCs w:val="1"/>
                <w:color w:val="0000EE"/>
                <w:w w:val="89"/>
              </w:rPr>
            </w:pPr>
            <w:hyperlink w:anchor="page14">
              <w:r>
                <w:rPr>
                  <w:rFonts w:ascii="Arial" w:cs="Arial" w:eastAsia="Arial" w:hAnsi="Arial"/>
                  <w:sz w:val="18"/>
                  <w:szCs w:val="18"/>
                  <w:b w:val="1"/>
                  <w:bCs w:val="1"/>
                  <w:color w:val="0000EE"/>
                  <w:w w:val="89"/>
                </w:rPr>
                <w:t>Organization</w:t>
              </w:r>
            </w:hyperlink>
          </w:p>
        </w:tc>
        <w:tc>
          <w:tcPr>
            <w:tcW w:w="1060" w:type="dxa"/>
            <w:vAlign w:val="bottom"/>
            <w:tcBorders>
              <w:top w:val="single" w:sz="8" w:color="0000EE"/>
            </w:tcBorders>
            <w:gridSpan w:val="14"/>
          </w:tcPr>
          <w:p>
            <w:pPr>
              <w:spacing w:after="0"/>
              <w:rPr>
                <w:sz w:val="17"/>
                <w:szCs w:val="17"/>
                <w:color w:val="auto"/>
              </w:rPr>
            </w:pPr>
          </w:p>
        </w:tc>
        <w:tc>
          <w:tcPr>
            <w:tcW w:w="750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3.12</w:t>
            </w:r>
          </w:p>
        </w:tc>
        <w:tc>
          <w:tcPr>
            <w:tcW w:w="9580" w:type="dxa"/>
            <w:vAlign w:val="bottom"/>
            <w:gridSpan w:val="35"/>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Meeting by Remote Communication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560" w:type="dxa"/>
            <w:vAlign w:val="bottom"/>
            <w:gridSpan w:val="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Article IV Directors</w:t>
              </w:r>
            </w:hyperlink>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tcBorders>
            <w:gridSpan w:val="3"/>
          </w:tcPr>
          <w:p>
            <w:pPr>
              <w:ind w:left="220"/>
              <w:spacing w:after="0"/>
              <w:rPr>
                <w:sz w:val="20"/>
                <w:szCs w:val="20"/>
                <w:color w:val="auto"/>
              </w:rPr>
            </w:pPr>
            <w:r>
              <w:rPr>
                <w:rFonts w:ascii="Arial" w:cs="Arial" w:eastAsia="Arial" w:hAnsi="Arial"/>
                <w:sz w:val="18"/>
                <w:szCs w:val="18"/>
                <w:b w:val="1"/>
                <w:bCs w:val="1"/>
                <w:color w:val="auto"/>
              </w:rPr>
              <w:t>Section 4.1</w:t>
            </w:r>
          </w:p>
        </w:tc>
        <w:tc>
          <w:tcPr>
            <w:tcW w:w="140" w:type="dxa"/>
            <w:vAlign w:val="bottom"/>
          </w:tcPr>
          <w:p>
            <w:pPr>
              <w:spacing w:after="0"/>
              <w:rPr>
                <w:sz w:val="24"/>
                <w:szCs w:val="24"/>
                <w:color w:val="auto"/>
              </w:rPr>
            </w:pPr>
          </w:p>
        </w:tc>
        <w:tc>
          <w:tcPr>
            <w:tcW w:w="9580" w:type="dxa"/>
            <w:vAlign w:val="bottom"/>
            <w:gridSpan w:val="35"/>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Number and Term of Office; Classification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4.2</w:t>
            </w:r>
          </w:p>
        </w:tc>
        <w:tc>
          <w:tcPr>
            <w:tcW w:w="3200" w:type="dxa"/>
            <w:vAlign w:val="bottom"/>
            <w:tcBorders>
              <w:top w:val="single" w:sz="8" w:color="0000EE"/>
            </w:tcBorders>
            <w:gridSpan w:val="31"/>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Powers</w:t>
              </w:r>
            </w:hyperlink>
          </w:p>
        </w:tc>
        <w:tc>
          <w:tcPr>
            <w:tcW w:w="638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4.3</w:t>
            </w:r>
          </w:p>
        </w:tc>
        <w:tc>
          <w:tcPr>
            <w:tcW w:w="74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81"/>
              </w:rPr>
            </w:pPr>
            <w:hyperlink w:anchor="page15">
              <w:r>
                <w:rPr>
                  <w:rFonts w:ascii="Arial" w:cs="Arial" w:eastAsia="Arial" w:hAnsi="Arial"/>
                  <w:sz w:val="18"/>
                  <w:szCs w:val="18"/>
                  <w:b w:val="1"/>
                  <w:bCs w:val="1"/>
                  <w:color w:val="0000EE"/>
                  <w:w w:val="81"/>
                </w:rPr>
                <w:t>Vacancies</w:t>
              </w:r>
            </w:hyperlink>
          </w:p>
        </w:tc>
        <w:tc>
          <w:tcPr>
            <w:tcW w:w="8840" w:type="dxa"/>
            <w:vAlign w:val="bottom"/>
            <w:gridSpan w:val="2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4.4</w:t>
            </w:r>
          </w:p>
        </w:tc>
        <w:tc>
          <w:tcPr>
            <w:tcW w:w="9580" w:type="dxa"/>
            <w:vAlign w:val="bottom"/>
            <w:gridSpan w:val="35"/>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Resignation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4.5</w:t>
            </w:r>
          </w:p>
        </w:tc>
        <w:tc>
          <w:tcPr>
            <w:tcW w:w="88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Removal</w:t>
              </w:r>
            </w:hyperlink>
          </w:p>
        </w:tc>
        <w:tc>
          <w:tcPr>
            <w:tcW w:w="8700" w:type="dxa"/>
            <w:vAlign w:val="bottom"/>
            <w:gridSpan w:val="2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4.6</w:t>
            </w:r>
          </w:p>
        </w:tc>
        <w:tc>
          <w:tcPr>
            <w:tcW w:w="9580" w:type="dxa"/>
            <w:vAlign w:val="bottom"/>
            <w:gridSpan w:val="35"/>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Meetings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4.7</w:t>
            </w:r>
          </w:p>
        </w:tc>
        <w:tc>
          <w:tcPr>
            <w:tcW w:w="152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89"/>
              </w:rPr>
            </w:pPr>
            <w:hyperlink w:anchor="page16">
              <w:r>
                <w:rPr>
                  <w:rFonts w:ascii="Arial" w:cs="Arial" w:eastAsia="Arial" w:hAnsi="Arial"/>
                  <w:sz w:val="18"/>
                  <w:szCs w:val="18"/>
                  <w:b w:val="1"/>
                  <w:bCs w:val="1"/>
                  <w:color w:val="0000EE"/>
                  <w:w w:val="89"/>
                </w:rPr>
                <w:t>Quorum and Voting</w:t>
              </w:r>
            </w:hyperlink>
          </w:p>
        </w:tc>
        <w:tc>
          <w:tcPr>
            <w:tcW w:w="806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4.8</w:t>
            </w:r>
          </w:p>
        </w:tc>
        <w:tc>
          <w:tcPr>
            <w:tcW w:w="9580" w:type="dxa"/>
            <w:vAlign w:val="bottom"/>
            <w:gridSpan w:val="35"/>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Action Without Meeting</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4.9</w:t>
            </w:r>
          </w:p>
        </w:tc>
        <w:tc>
          <w:tcPr>
            <w:tcW w:w="180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b w:val="1"/>
                <w:bCs w:val="1"/>
                <w:color w:val="0000EE"/>
                <w:w w:val="85"/>
              </w:rPr>
            </w:pPr>
            <w:hyperlink w:anchor="page16">
              <w:r>
                <w:rPr>
                  <w:rFonts w:ascii="Arial" w:cs="Arial" w:eastAsia="Arial" w:hAnsi="Arial"/>
                  <w:sz w:val="18"/>
                  <w:szCs w:val="18"/>
                  <w:b w:val="1"/>
                  <w:bCs w:val="1"/>
                  <w:color w:val="0000EE"/>
                  <w:w w:val="85"/>
                </w:rPr>
                <w:t>Fees and Compensation</w:t>
              </w:r>
            </w:hyperlink>
          </w:p>
        </w:tc>
        <w:tc>
          <w:tcPr>
            <w:tcW w:w="20" w:type="dxa"/>
            <w:vAlign w:val="bottom"/>
            <w:tcBorders>
              <w:top w:val="single" w:sz="8" w:color="0000EE"/>
            </w:tcBorders>
          </w:tcPr>
          <w:p>
            <w:pPr>
              <w:spacing w:after="0"/>
              <w:rPr>
                <w:sz w:val="17"/>
                <w:szCs w:val="17"/>
                <w:color w:val="auto"/>
              </w:rPr>
            </w:pPr>
          </w:p>
        </w:tc>
        <w:tc>
          <w:tcPr>
            <w:tcW w:w="776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4.10</w:t>
            </w:r>
          </w:p>
        </w:tc>
        <w:tc>
          <w:tcPr>
            <w:tcW w:w="90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85"/>
              </w:rPr>
            </w:pPr>
            <w:hyperlink w:anchor="page17">
              <w:r>
                <w:rPr>
                  <w:rFonts w:ascii="Arial" w:cs="Arial" w:eastAsia="Arial" w:hAnsi="Arial"/>
                  <w:sz w:val="18"/>
                  <w:szCs w:val="18"/>
                  <w:b w:val="1"/>
                  <w:bCs w:val="1"/>
                  <w:color w:val="0000EE"/>
                  <w:w w:val="85"/>
                </w:rPr>
                <w:t>Committees</w:t>
              </w:r>
            </w:hyperlink>
          </w:p>
        </w:tc>
        <w:tc>
          <w:tcPr>
            <w:tcW w:w="8680" w:type="dxa"/>
            <w:vAlign w:val="bottom"/>
            <w:gridSpan w:val="2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4.11</w:t>
            </w:r>
          </w:p>
        </w:tc>
        <w:tc>
          <w:tcPr>
            <w:tcW w:w="9580" w:type="dxa"/>
            <w:vAlign w:val="bottom"/>
            <w:gridSpan w:val="35"/>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Organization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1560" w:type="dxa"/>
            <w:vAlign w:val="bottom"/>
            <w:gridSpan w:val="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Article V Officers</w:t>
              </w:r>
            </w:hyperlink>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1280" w:type="dxa"/>
            <w:vAlign w:val="bottom"/>
            <w:tcBorders>
              <w:top w:val="single" w:sz="8" w:color="0000EE"/>
            </w:tcBorders>
            <w:gridSpan w:val="2"/>
          </w:tcPr>
          <w:p>
            <w:pPr>
              <w:ind w:left="220"/>
              <w:spacing w:after="0"/>
              <w:rPr>
                <w:sz w:val="20"/>
                <w:szCs w:val="20"/>
                <w:color w:val="auto"/>
              </w:rPr>
            </w:pPr>
            <w:r>
              <w:rPr>
                <w:rFonts w:ascii="Arial" w:cs="Arial" w:eastAsia="Arial" w:hAnsi="Arial"/>
                <w:sz w:val="18"/>
                <w:szCs w:val="18"/>
                <w:b w:val="1"/>
                <w:bCs w:val="1"/>
                <w:color w:val="auto"/>
              </w:rPr>
              <w:t>Section 5.1</w:t>
            </w:r>
          </w:p>
        </w:tc>
        <w:tc>
          <w:tcPr>
            <w:tcW w:w="280" w:type="dxa"/>
            <w:vAlign w:val="bottom"/>
            <w:gridSpan w:val="2"/>
          </w:tcPr>
          <w:p>
            <w:pPr>
              <w:spacing w:after="0"/>
              <w:rPr>
                <w:sz w:val="24"/>
                <w:szCs w:val="24"/>
                <w:color w:val="auto"/>
              </w:rPr>
            </w:pPr>
          </w:p>
        </w:tc>
        <w:tc>
          <w:tcPr>
            <w:tcW w:w="1480" w:type="dxa"/>
            <w:vAlign w:val="bottom"/>
            <w:tcBorders>
              <w:bottom w:val="single" w:sz="8" w:color="0000EE"/>
            </w:tcBorders>
            <w:gridSpan w:val="18"/>
          </w:tcPr>
          <w:p>
            <w:pPr>
              <w:spacing w:after="0"/>
              <w:rPr>
                <w:rFonts w:ascii="Arial" w:cs="Arial" w:eastAsia="Arial" w:hAnsi="Arial"/>
                <w:sz w:val="18"/>
                <w:szCs w:val="18"/>
                <w:b w:val="1"/>
                <w:bCs w:val="1"/>
                <w:color w:val="0000EE"/>
                <w:w w:val="85"/>
              </w:rPr>
            </w:pPr>
            <w:hyperlink w:anchor="page18">
              <w:r>
                <w:rPr>
                  <w:rFonts w:ascii="Arial" w:cs="Arial" w:eastAsia="Arial" w:hAnsi="Arial"/>
                  <w:sz w:val="18"/>
                  <w:szCs w:val="18"/>
                  <w:b w:val="1"/>
                  <w:bCs w:val="1"/>
                  <w:color w:val="0000EE"/>
                  <w:w w:val="85"/>
                </w:rPr>
                <w:t>Officers Designated</w:t>
              </w:r>
            </w:hyperlink>
          </w:p>
        </w:tc>
        <w:tc>
          <w:tcPr>
            <w:tcW w:w="8100" w:type="dxa"/>
            <w:vAlign w:val="bottom"/>
            <w:gridSpan w:val="1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5.2</w:t>
            </w:r>
          </w:p>
        </w:tc>
        <w:tc>
          <w:tcPr>
            <w:tcW w:w="222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87"/>
              </w:rPr>
            </w:pPr>
            <w:hyperlink w:anchor="page18">
              <w:r>
                <w:rPr>
                  <w:rFonts w:ascii="Arial" w:cs="Arial" w:eastAsia="Arial" w:hAnsi="Arial"/>
                  <w:sz w:val="18"/>
                  <w:szCs w:val="18"/>
                  <w:b w:val="1"/>
                  <w:bCs w:val="1"/>
                  <w:color w:val="0000EE"/>
                  <w:w w:val="87"/>
                </w:rPr>
                <w:t>Tenure and Duties of Officers</w:t>
              </w:r>
            </w:hyperlink>
          </w:p>
        </w:tc>
        <w:tc>
          <w:tcPr>
            <w:tcW w:w="736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5.3</w:t>
            </w:r>
          </w:p>
        </w:tc>
        <w:tc>
          <w:tcPr>
            <w:tcW w:w="158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87"/>
              </w:rPr>
            </w:pPr>
            <w:hyperlink w:anchor="page19">
              <w:r>
                <w:rPr>
                  <w:rFonts w:ascii="Arial" w:cs="Arial" w:eastAsia="Arial" w:hAnsi="Arial"/>
                  <w:sz w:val="18"/>
                  <w:szCs w:val="18"/>
                  <w:b w:val="1"/>
                  <w:bCs w:val="1"/>
                  <w:color w:val="0000EE"/>
                  <w:w w:val="87"/>
                </w:rPr>
                <w:t>Subordinate Officers</w:t>
              </w:r>
            </w:hyperlink>
          </w:p>
        </w:tc>
        <w:tc>
          <w:tcPr>
            <w:tcW w:w="800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5.4</w:t>
            </w:r>
          </w:p>
        </w:tc>
        <w:tc>
          <w:tcPr>
            <w:tcW w:w="178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w w:val="88"/>
              </w:rPr>
            </w:pPr>
            <w:hyperlink w:anchor="page19">
              <w:r>
                <w:rPr>
                  <w:rFonts w:ascii="Arial" w:cs="Arial" w:eastAsia="Arial" w:hAnsi="Arial"/>
                  <w:sz w:val="18"/>
                  <w:szCs w:val="18"/>
                  <w:b w:val="1"/>
                  <w:bCs w:val="1"/>
                  <w:color w:val="0000EE"/>
                  <w:w w:val="88"/>
                </w:rPr>
                <w:t>Delegation of Authority</w:t>
              </w:r>
            </w:hyperlink>
          </w:p>
        </w:tc>
        <w:tc>
          <w:tcPr>
            <w:tcW w:w="780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5.5</w:t>
            </w:r>
          </w:p>
        </w:tc>
        <w:tc>
          <w:tcPr>
            <w:tcW w:w="96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83"/>
              </w:rPr>
            </w:pPr>
            <w:hyperlink w:anchor="page19">
              <w:r>
                <w:rPr>
                  <w:rFonts w:ascii="Arial" w:cs="Arial" w:eastAsia="Arial" w:hAnsi="Arial"/>
                  <w:sz w:val="18"/>
                  <w:szCs w:val="18"/>
                  <w:b w:val="1"/>
                  <w:bCs w:val="1"/>
                  <w:color w:val="0000EE"/>
                  <w:w w:val="83"/>
                </w:rPr>
                <w:t>Resignations</w:t>
              </w:r>
            </w:hyperlink>
          </w:p>
        </w:tc>
        <w:tc>
          <w:tcPr>
            <w:tcW w:w="862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5.6</w:t>
            </w:r>
          </w:p>
        </w:tc>
        <w:tc>
          <w:tcPr>
            <w:tcW w:w="9580" w:type="dxa"/>
            <w:vAlign w:val="bottom"/>
            <w:gridSpan w:val="35"/>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Removal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560" w:type="dxa"/>
            <w:vAlign w:val="bottom"/>
            <w:gridSpan w:val="4"/>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5.7</w:t>
            </w:r>
          </w:p>
        </w:tc>
        <w:tc>
          <w:tcPr>
            <w:tcW w:w="150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84"/>
              </w:rPr>
            </w:pPr>
            <w:hyperlink w:anchor="page20">
              <w:r>
                <w:rPr>
                  <w:rFonts w:ascii="Arial" w:cs="Arial" w:eastAsia="Arial" w:hAnsi="Arial"/>
                  <w:sz w:val="18"/>
                  <w:szCs w:val="18"/>
                  <w:b w:val="1"/>
                  <w:bCs w:val="1"/>
                  <w:color w:val="0000EE"/>
                  <w:w w:val="84"/>
                </w:rPr>
                <w:t>Vacancies in Offices</w:t>
              </w:r>
            </w:hyperlink>
          </w:p>
        </w:tc>
        <w:tc>
          <w:tcPr>
            <w:tcW w:w="808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5.8</w:t>
            </w:r>
          </w:p>
        </w:tc>
        <w:tc>
          <w:tcPr>
            <w:tcW w:w="9580" w:type="dxa"/>
            <w:vAlign w:val="bottom"/>
            <w:gridSpan w:val="35"/>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Authority and Duties of Officers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560" w:type="dxa"/>
            <w:vAlign w:val="bottom"/>
            <w:gridSpan w:val="4"/>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540" w:type="dxa"/>
            <w:vAlign w:val="bottom"/>
            <w:tcBorders>
              <w:right w:val="single" w:sz="8" w:color="0000EE"/>
            </w:tcBorders>
            <w:gridSpan w:val="7"/>
            <w:shd w:val="clear" w:color="auto" w:fill="0000EE"/>
          </w:tcPr>
          <w:p>
            <w:pPr>
              <w:spacing w:after="0" w:line="20" w:lineRule="exact"/>
              <w:rPr>
                <w:sz w:val="1"/>
                <w:szCs w:val="1"/>
                <w:color w:val="auto"/>
              </w:rPr>
            </w:pPr>
          </w:p>
        </w:tc>
        <w:tc>
          <w:tcPr>
            <w:tcW w:w="1160" w:type="dxa"/>
            <w:vAlign w:val="bottom"/>
            <w:gridSpan w:val="1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140" w:type="dxa"/>
            <w:vAlign w:val="bottom"/>
            <w:gridSpan w:val="3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Article VI Execution of Corporate Instruments and Voting of Securities Owned by the Corporation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560" w:type="dxa"/>
            <w:vAlign w:val="bottom"/>
            <w:tcBorders>
              <w:top w:val="single" w:sz="8" w:color="0000EE"/>
            </w:tcBorders>
            <w:gridSpan w:val="4"/>
          </w:tcPr>
          <w:p>
            <w:pPr>
              <w:ind w:left="220"/>
              <w:spacing w:after="0"/>
              <w:rPr>
                <w:sz w:val="20"/>
                <w:szCs w:val="20"/>
                <w:color w:val="auto"/>
              </w:rPr>
            </w:pPr>
            <w:r>
              <w:rPr>
                <w:rFonts w:ascii="Arial" w:cs="Arial" w:eastAsia="Arial" w:hAnsi="Arial"/>
                <w:sz w:val="18"/>
                <w:szCs w:val="18"/>
                <w:b w:val="1"/>
                <w:bCs w:val="1"/>
                <w:color w:val="auto"/>
              </w:rPr>
              <w:t>Section 6.1</w:t>
            </w:r>
          </w:p>
        </w:tc>
        <w:tc>
          <w:tcPr>
            <w:tcW w:w="5380" w:type="dxa"/>
            <w:vAlign w:val="bottom"/>
            <w:tcBorders>
              <w:top w:val="single" w:sz="8" w:color="0000EE"/>
            </w:tcBorders>
            <w:gridSpan w:val="34"/>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Execution of Corporate Instruments</w:t>
              </w:r>
            </w:hyperlink>
          </w:p>
        </w:tc>
        <w:tc>
          <w:tcPr>
            <w:tcW w:w="42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560" w:type="dxa"/>
            <w:vAlign w:val="bottom"/>
            <w:gridSpan w:val="4"/>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540" w:type="dxa"/>
            <w:vAlign w:val="bottom"/>
            <w:tcBorders>
              <w:right w:val="single" w:sz="8" w:color="0000EE"/>
            </w:tcBorders>
            <w:gridSpan w:val="7"/>
            <w:shd w:val="clear" w:color="auto" w:fill="0000EE"/>
          </w:tcPr>
          <w:p>
            <w:pPr>
              <w:spacing w:after="0" w:line="20" w:lineRule="exact"/>
              <w:rPr>
                <w:sz w:val="1"/>
                <w:szCs w:val="1"/>
                <w:color w:val="auto"/>
              </w:rPr>
            </w:pPr>
          </w:p>
        </w:tc>
        <w:tc>
          <w:tcPr>
            <w:tcW w:w="1380" w:type="dxa"/>
            <w:vAlign w:val="bottom"/>
            <w:gridSpan w:val="1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6.2</w:t>
            </w:r>
          </w:p>
        </w:tc>
        <w:tc>
          <w:tcPr>
            <w:tcW w:w="9580" w:type="dxa"/>
            <w:vAlign w:val="bottom"/>
            <w:gridSpan w:val="35"/>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Voting of Securities Owned by the Corporation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560" w:type="dxa"/>
            <w:vAlign w:val="bottom"/>
            <w:gridSpan w:val="4"/>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540" w:type="dxa"/>
            <w:vAlign w:val="bottom"/>
            <w:tcBorders>
              <w:right w:val="single" w:sz="8" w:color="0000EE"/>
            </w:tcBorders>
            <w:gridSpan w:val="7"/>
            <w:shd w:val="clear" w:color="auto" w:fill="0000EE"/>
          </w:tcPr>
          <w:p>
            <w:pPr>
              <w:spacing w:after="0" w:line="20" w:lineRule="exact"/>
              <w:rPr>
                <w:sz w:val="1"/>
                <w:szCs w:val="1"/>
                <w:color w:val="auto"/>
              </w:rPr>
            </w:pPr>
          </w:p>
        </w:tc>
        <w:tc>
          <w:tcPr>
            <w:tcW w:w="1380" w:type="dxa"/>
            <w:vAlign w:val="bottom"/>
            <w:gridSpan w:val="15"/>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140" w:type="dxa"/>
            <w:vAlign w:val="bottom"/>
            <w:gridSpan w:val="3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Article VII Shares of Stock</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5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1380" w:type="dxa"/>
            <w:vAlign w:val="bottom"/>
            <w:gridSpan w:val="15"/>
          </w:tcPr>
          <w:p>
            <w:pPr>
              <w:spacing w:after="0" w:line="20" w:lineRule="exact"/>
              <w:rPr>
                <w:sz w:val="1"/>
                <w:szCs w:val="1"/>
                <w:color w:val="auto"/>
              </w:rPr>
            </w:pPr>
          </w:p>
        </w:tc>
        <w:tc>
          <w:tcPr>
            <w:tcW w:w="694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4"/>
          </w:tcPr>
          <w:p>
            <w:pPr>
              <w:ind w:left="220"/>
              <w:spacing w:after="0"/>
              <w:rPr>
                <w:sz w:val="20"/>
                <w:szCs w:val="20"/>
                <w:color w:val="auto"/>
              </w:rPr>
            </w:pPr>
            <w:r>
              <w:rPr>
                <w:rFonts w:ascii="Arial" w:cs="Arial" w:eastAsia="Arial" w:hAnsi="Arial"/>
                <w:sz w:val="18"/>
                <w:szCs w:val="18"/>
                <w:b w:val="1"/>
                <w:bCs w:val="1"/>
                <w:color w:val="auto"/>
              </w:rPr>
              <w:t>Section 7.1</w:t>
            </w:r>
          </w:p>
        </w:tc>
        <w:tc>
          <w:tcPr>
            <w:tcW w:w="9580" w:type="dxa"/>
            <w:vAlign w:val="bottom"/>
            <w:gridSpan w:val="35"/>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Form and Execution of Certificates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7.2</w:t>
            </w:r>
          </w:p>
        </w:tc>
        <w:tc>
          <w:tcPr>
            <w:tcW w:w="2640" w:type="dxa"/>
            <w:vAlign w:val="bottom"/>
            <w:tcBorders>
              <w:top w:val="single" w:sz="8" w:color="0000EE"/>
            </w:tcBorders>
            <w:gridSpan w:val="29"/>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Lost Certificates</w:t>
              </w:r>
            </w:hyperlink>
          </w:p>
        </w:tc>
        <w:tc>
          <w:tcPr>
            <w:tcW w:w="694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5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rPr>
              <w:t>Section 7.3</w:t>
            </w:r>
          </w:p>
        </w:tc>
        <w:tc>
          <w:tcPr>
            <w:tcW w:w="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85"/>
              </w:rPr>
            </w:pPr>
            <w:hyperlink w:anchor="page21">
              <w:r>
                <w:rPr>
                  <w:rFonts w:ascii="Arial" w:cs="Arial" w:eastAsia="Arial" w:hAnsi="Arial"/>
                  <w:sz w:val="18"/>
                  <w:szCs w:val="18"/>
                  <w:b w:val="1"/>
                  <w:bCs w:val="1"/>
                  <w:color w:val="0000EE"/>
                  <w:w w:val="85"/>
                </w:rPr>
                <w:t>Transfers</w:t>
              </w:r>
            </w:hyperlink>
          </w:p>
        </w:tc>
        <w:tc>
          <w:tcPr>
            <w:tcW w:w="540" w:type="dxa"/>
            <w:vAlign w:val="bottom"/>
            <w:tcBorders>
              <w:top w:val="single" w:sz="8" w:color="0000EE"/>
            </w:tcBorders>
            <w:gridSpan w:val="7"/>
          </w:tcPr>
          <w:p>
            <w:pPr>
              <w:spacing w:after="0"/>
              <w:rPr>
                <w:sz w:val="17"/>
                <w:szCs w:val="17"/>
                <w:color w:val="auto"/>
              </w:rPr>
            </w:pPr>
          </w:p>
        </w:tc>
        <w:tc>
          <w:tcPr>
            <w:tcW w:w="832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gridSpan w:val="3"/>
          </w:tcPr>
          <w:p>
            <w:pPr>
              <w:ind w:left="220"/>
              <w:spacing w:after="0"/>
              <w:rPr>
                <w:sz w:val="20"/>
                <w:szCs w:val="20"/>
                <w:color w:val="auto"/>
              </w:rPr>
            </w:pPr>
            <w:r>
              <w:rPr>
                <w:rFonts w:ascii="Arial" w:cs="Arial" w:eastAsia="Arial" w:hAnsi="Arial"/>
                <w:sz w:val="18"/>
                <w:szCs w:val="18"/>
                <w:b w:val="1"/>
                <w:bCs w:val="1"/>
                <w:color w:val="auto"/>
              </w:rPr>
              <w:t>Section 7.4</w:t>
            </w:r>
          </w:p>
        </w:tc>
        <w:tc>
          <w:tcPr>
            <w:tcW w:w="1540" w:type="dxa"/>
            <w:vAlign w:val="bottom"/>
            <w:tcBorders>
              <w:bottom w:val="single" w:sz="8" w:color="0000EE"/>
            </w:tcBorders>
            <w:gridSpan w:val="14"/>
          </w:tcPr>
          <w:p>
            <w:pPr>
              <w:spacing w:after="0"/>
              <w:rPr>
                <w:rFonts w:ascii="Arial" w:cs="Arial" w:eastAsia="Arial" w:hAnsi="Arial"/>
                <w:sz w:val="18"/>
                <w:szCs w:val="18"/>
                <w:b w:val="1"/>
                <w:bCs w:val="1"/>
                <w:color w:val="0000EE"/>
                <w:w w:val="87"/>
              </w:rPr>
            </w:pPr>
            <w:hyperlink w:anchor="page21">
              <w:r>
                <w:rPr>
                  <w:rFonts w:ascii="Arial" w:cs="Arial" w:eastAsia="Arial" w:hAnsi="Arial"/>
                  <w:sz w:val="18"/>
                  <w:szCs w:val="18"/>
                  <w:b w:val="1"/>
                  <w:bCs w:val="1"/>
                  <w:color w:val="0000EE"/>
                  <w:w w:val="87"/>
                </w:rPr>
                <w:t>Fixing Record Dates</w:t>
              </w:r>
            </w:hyperlink>
          </w:p>
        </w:tc>
        <w:tc>
          <w:tcPr>
            <w:tcW w:w="2780" w:type="dxa"/>
            <w:vAlign w:val="bottom"/>
            <w:gridSpan w:val="13"/>
          </w:tcPr>
          <w:p>
            <w:pPr>
              <w:spacing w:after="0"/>
              <w:rPr>
                <w:sz w:val="17"/>
                <w:szCs w:val="17"/>
                <w:color w:val="auto"/>
              </w:rPr>
            </w:pPr>
          </w:p>
        </w:tc>
        <w:tc>
          <w:tcPr>
            <w:tcW w:w="5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7.5</w:t>
            </w:r>
          </w:p>
        </w:tc>
        <w:tc>
          <w:tcPr>
            <w:tcW w:w="182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84"/>
              </w:rPr>
            </w:pPr>
            <w:hyperlink w:anchor="page22">
              <w:r>
                <w:rPr>
                  <w:rFonts w:ascii="Arial" w:cs="Arial" w:eastAsia="Arial" w:hAnsi="Arial"/>
                  <w:sz w:val="18"/>
                  <w:szCs w:val="18"/>
                  <w:b w:val="1"/>
                  <w:bCs w:val="1"/>
                  <w:color w:val="0000EE"/>
                  <w:w w:val="84"/>
                </w:rPr>
                <w:t>Registered Stockholders</w:t>
              </w:r>
            </w:hyperlink>
          </w:p>
        </w:tc>
        <w:tc>
          <w:tcPr>
            <w:tcW w:w="2500" w:type="dxa"/>
            <w:vAlign w:val="bottom"/>
            <w:gridSpan w:val="9"/>
          </w:tcPr>
          <w:p>
            <w:pPr>
              <w:spacing w:after="0"/>
              <w:rPr>
                <w:sz w:val="17"/>
                <w:szCs w:val="17"/>
                <w:color w:val="auto"/>
              </w:rPr>
            </w:pPr>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412"/>
        </w:trPr>
        <w:tc>
          <w:tcPr>
            <w:tcW w:w="5880" w:type="dxa"/>
            <w:vAlign w:val="bottom"/>
            <w:gridSpan w:val="3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Article VIII Other Securities of the Corporation</w:t>
              </w:r>
            </w:hyperlink>
          </w:p>
        </w:tc>
        <w:tc>
          <w:tcPr>
            <w:tcW w:w="5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304"/>
        </w:trPr>
        <w:tc>
          <w:tcPr>
            <w:tcW w:w="1560" w:type="dxa"/>
            <w:vAlign w:val="bottom"/>
            <w:gridSpan w:val="3"/>
          </w:tcPr>
          <w:p>
            <w:pPr>
              <w:ind w:left="220"/>
              <w:spacing w:after="0"/>
              <w:rPr>
                <w:sz w:val="20"/>
                <w:szCs w:val="20"/>
                <w:color w:val="auto"/>
              </w:rPr>
            </w:pPr>
            <w:r>
              <w:rPr>
                <w:rFonts w:ascii="Arial" w:cs="Arial" w:eastAsia="Arial" w:hAnsi="Arial"/>
                <w:sz w:val="18"/>
                <w:szCs w:val="18"/>
                <w:b w:val="1"/>
                <w:bCs w:val="1"/>
                <w:color w:val="auto"/>
              </w:rPr>
              <w:t>Section 8.1</w:t>
            </w:r>
          </w:p>
        </w:tc>
        <w:tc>
          <w:tcPr>
            <w:tcW w:w="4320" w:type="dxa"/>
            <w:vAlign w:val="bottom"/>
            <w:gridSpan w:val="27"/>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Execution of Other Securities</w:t>
              </w:r>
            </w:hyperlink>
          </w:p>
        </w:tc>
        <w:tc>
          <w:tcPr>
            <w:tcW w:w="5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150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Article IX Dividends</w:t>
              </w:r>
            </w:hyperlink>
          </w:p>
        </w:tc>
        <w:tc>
          <w:tcPr>
            <w:tcW w:w="6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1560" w:type="dxa"/>
            <w:vAlign w:val="bottom"/>
            <w:gridSpan w:val="3"/>
          </w:tcPr>
          <w:p>
            <w:pPr>
              <w:ind w:left="220"/>
              <w:spacing w:after="0"/>
              <w:rPr>
                <w:sz w:val="20"/>
                <w:szCs w:val="20"/>
                <w:color w:val="auto"/>
              </w:rPr>
            </w:pPr>
            <w:r>
              <w:rPr>
                <w:rFonts w:ascii="Arial" w:cs="Arial" w:eastAsia="Arial" w:hAnsi="Arial"/>
                <w:sz w:val="18"/>
                <w:szCs w:val="18"/>
                <w:b w:val="1"/>
                <w:bCs w:val="1"/>
                <w:color w:val="auto"/>
              </w:rPr>
              <w:t>Section 9.1</w:t>
            </w:r>
          </w:p>
        </w:tc>
        <w:tc>
          <w:tcPr>
            <w:tcW w:w="4320" w:type="dxa"/>
            <w:vAlign w:val="bottom"/>
            <w:gridSpan w:val="27"/>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Declaration of Dividends</w:t>
              </w:r>
            </w:hyperlink>
          </w:p>
        </w:tc>
        <w:tc>
          <w:tcPr>
            <w:tcW w:w="5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9.2</w:t>
            </w:r>
          </w:p>
        </w:tc>
        <w:tc>
          <w:tcPr>
            <w:tcW w:w="1860" w:type="dxa"/>
            <w:vAlign w:val="bottom"/>
            <w:tcBorders>
              <w:top w:val="single" w:sz="8" w:color="0000EE"/>
            </w:tcBorders>
            <w:gridSpan w:val="19"/>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Dividend Reserve</w:t>
              </w:r>
            </w:hyperlink>
          </w:p>
        </w:tc>
        <w:tc>
          <w:tcPr>
            <w:tcW w:w="2460" w:type="dxa"/>
            <w:vAlign w:val="bottom"/>
            <w:gridSpan w:val="8"/>
          </w:tcPr>
          <w:p>
            <w:pPr>
              <w:spacing w:after="0"/>
              <w:rPr>
                <w:sz w:val="17"/>
                <w:szCs w:val="17"/>
                <w:color w:val="auto"/>
              </w:rPr>
            </w:pPr>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412"/>
        </w:trPr>
        <w:tc>
          <w:tcPr>
            <w:tcW w:w="15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Article X Fiscal Year</w:t>
              </w:r>
            </w:hyperlink>
          </w:p>
        </w:tc>
        <w:tc>
          <w:tcPr>
            <w:tcW w:w="6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5880" w:type="dxa"/>
            <w:vAlign w:val="bottom"/>
            <w:gridSpan w:val="30"/>
          </w:tcPr>
          <w:p>
            <w:pPr>
              <w:spacing w:after="0"/>
              <w:rPr>
                <w:rFonts w:ascii="Arial" w:cs="Arial" w:eastAsia="Arial" w:hAnsi="Arial"/>
                <w:sz w:val="18"/>
                <w:szCs w:val="18"/>
                <w:color w:val="0000EE"/>
                <w:w w:val="95"/>
              </w:rPr>
            </w:pPr>
            <w:hyperlink w:anchor="page23">
              <w:r>
                <w:rPr>
                  <w:rFonts w:ascii="Arial" w:cs="Arial" w:eastAsia="Arial" w:hAnsi="Arial"/>
                  <w:sz w:val="18"/>
                  <w:szCs w:val="18"/>
                  <w:color w:val="0000EE"/>
                  <w:w w:val="95"/>
                </w:rPr>
                <w:t>Article XI Indemnification of Directors, Officers, Employees and Other Agents</w:t>
              </w:r>
            </w:hyperlink>
          </w:p>
        </w:tc>
        <w:tc>
          <w:tcPr>
            <w:tcW w:w="5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560" w:type="dxa"/>
            <w:vAlign w:val="bottom"/>
            <w:tcBorders>
              <w:top w:val="single" w:sz="8" w:color="0000EE"/>
            </w:tcBorders>
            <w:gridSpan w:val="3"/>
          </w:tcPr>
          <w:p>
            <w:pPr>
              <w:ind w:left="220"/>
              <w:spacing w:after="0"/>
              <w:rPr>
                <w:sz w:val="20"/>
                <w:szCs w:val="20"/>
                <w:color w:val="auto"/>
              </w:rPr>
            </w:pPr>
            <w:r>
              <w:rPr>
                <w:rFonts w:ascii="Arial" w:cs="Arial" w:eastAsia="Arial" w:hAnsi="Arial"/>
                <w:sz w:val="18"/>
                <w:szCs w:val="18"/>
                <w:b w:val="1"/>
                <w:bCs w:val="1"/>
                <w:color w:val="auto"/>
              </w:rPr>
              <w:t>Section 11.1</w:t>
            </w:r>
          </w:p>
        </w:tc>
        <w:tc>
          <w:tcPr>
            <w:tcW w:w="2460" w:type="dxa"/>
            <w:vAlign w:val="bottom"/>
            <w:tcBorders>
              <w:top w:val="single" w:sz="8" w:color="0000EE"/>
              <w:bottom w:val="single" w:sz="8" w:color="0000EE"/>
            </w:tcBorders>
            <w:gridSpan w:val="23"/>
          </w:tcPr>
          <w:p>
            <w:pPr>
              <w:spacing w:after="0"/>
              <w:rPr>
                <w:rFonts w:ascii="Arial" w:cs="Arial" w:eastAsia="Arial" w:hAnsi="Arial"/>
                <w:sz w:val="18"/>
                <w:szCs w:val="18"/>
                <w:b w:val="1"/>
                <w:bCs w:val="1"/>
                <w:color w:val="0000EE"/>
                <w:w w:val="87"/>
              </w:rPr>
            </w:pPr>
            <w:hyperlink w:anchor="page23">
              <w:r>
                <w:rPr>
                  <w:rFonts w:ascii="Arial" w:cs="Arial" w:eastAsia="Arial" w:hAnsi="Arial"/>
                  <w:sz w:val="18"/>
                  <w:szCs w:val="18"/>
                  <w:b w:val="1"/>
                  <w:bCs w:val="1"/>
                  <w:color w:val="0000EE"/>
                  <w:w w:val="87"/>
                </w:rPr>
                <w:t>Directors and Executive Officers</w:t>
              </w:r>
            </w:hyperlink>
          </w:p>
        </w:tc>
        <w:tc>
          <w:tcPr>
            <w:tcW w:w="1560" w:type="dxa"/>
            <w:vAlign w:val="bottom"/>
            <w:tcBorders>
              <w:top w:val="single" w:sz="8" w:color="0000EE"/>
            </w:tcBorders>
            <w:gridSpan w:val="3"/>
          </w:tcPr>
          <w:p>
            <w:pPr>
              <w:spacing w:after="0"/>
              <w:rPr>
                <w:sz w:val="24"/>
                <w:szCs w:val="24"/>
                <w:color w:val="auto"/>
              </w:rPr>
            </w:pPr>
          </w:p>
        </w:tc>
        <w:tc>
          <w:tcPr>
            <w:tcW w:w="300" w:type="dxa"/>
            <w:vAlign w:val="bottom"/>
          </w:tcPr>
          <w:p>
            <w:pPr>
              <w:spacing w:after="0"/>
              <w:rPr>
                <w:sz w:val="24"/>
                <w:szCs w:val="24"/>
                <w:color w:val="auto"/>
              </w:rPr>
            </w:pPr>
          </w:p>
        </w:tc>
        <w:tc>
          <w:tcPr>
            <w:tcW w:w="5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11.2</w:t>
            </w:r>
          </w:p>
        </w:tc>
        <w:tc>
          <w:tcPr>
            <w:tcW w:w="338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87"/>
              </w:rPr>
            </w:pPr>
            <w:hyperlink w:anchor="page23">
              <w:r>
                <w:rPr>
                  <w:rFonts w:ascii="Arial" w:cs="Arial" w:eastAsia="Arial" w:hAnsi="Arial"/>
                  <w:sz w:val="18"/>
                  <w:szCs w:val="18"/>
                  <w:b w:val="1"/>
                  <w:bCs w:val="1"/>
                  <w:color w:val="0000EE"/>
                  <w:w w:val="87"/>
                </w:rPr>
                <w:t>Other Officers, Employees and Other Agents</w:t>
              </w:r>
            </w:hyperlink>
          </w:p>
        </w:tc>
        <w:tc>
          <w:tcPr>
            <w:tcW w:w="940" w:type="dxa"/>
            <w:vAlign w:val="bottom"/>
            <w:gridSpan w:val="2"/>
          </w:tcPr>
          <w:p>
            <w:pPr>
              <w:spacing w:after="0"/>
              <w:rPr>
                <w:sz w:val="17"/>
                <w:szCs w:val="17"/>
                <w:color w:val="auto"/>
              </w:rPr>
            </w:pPr>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11.3</w:t>
            </w:r>
          </w:p>
        </w:tc>
        <w:tc>
          <w:tcPr>
            <w:tcW w:w="8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88"/>
              </w:rPr>
            </w:pPr>
            <w:hyperlink w:anchor="page23">
              <w:r>
                <w:rPr>
                  <w:rFonts w:ascii="Arial" w:cs="Arial" w:eastAsia="Arial" w:hAnsi="Arial"/>
                  <w:sz w:val="18"/>
                  <w:szCs w:val="18"/>
                  <w:b w:val="1"/>
                  <w:bCs w:val="1"/>
                  <w:color w:val="0000EE"/>
                  <w:w w:val="88"/>
                </w:rPr>
                <w:t>Good Faith</w:t>
              </w:r>
            </w:hyperlink>
          </w:p>
        </w:tc>
        <w:tc>
          <w:tcPr>
            <w:tcW w:w="3460" w:type="dxa"/>
            <w:vAlign w:val="bottom"/>
            <w:gridSpan w:val="23"/>
          </w:tcPr>
          <w:p>
            <w:pPr>
              <w:spacing w:after="0"/>
              <w:rPr>
                <w:sz w:val="17"/>
                <w:szCs w:val="17"/>
                <w:color w:val="auto"/>
              </w:rPr>
            </w:pPr>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11.4</w:t>
            </w:r>
          </w:p>
        </w:tc>
        <w:tc>
          <w:tcPr>
            <w:tcW w:w="70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0"/>
              </w:rPr>
            </w:pPr>
            <w:hyperlink w:anchor="page24">
              <w:r>
                <w:rPr>
                  <w:rFonts w:ascii="Arial" w:cs="Arial" w:eastAsia="Arial" w:hAnsi="Arial"/>
                  <w:sz w:val="18"/>
                  <w:szCs w:val="18"/>
                  <w:b w:val="1"/>
                  <w:bCs w:val="1"/>
                  <w:color w:val="0000EE"/>
                  <w:w w:val="80"/>
                </w:rPr>
                <w:t>Expenses</w:t>
              </w:r>
            </w:hyperlink>
          </w:p>
        </w:tc>
        <w:tc>
          <w:tcPr>
            <w:tcW w:w="3620" w:type="dxa"/>
            <w:vAlign w:val="bottom"/>
            <w:gridSpan w:val="25"/>
          </w:tcPr>
          <w:p>
            <w:pPr>
              <w:spacing w:after="0"/>
              <w:rPr>
                <w:sz w:val="17"/>
                <w:szCs w:val="17"/>
                <w:color w:val="auto"/>
              </w:rPr>
            </w:pPr>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11.5</w:t>
            </w:r>
          </w:p>
        </w:tc>
        <w:tc>
          <w:tcPr>
            <w:tcW w:w="98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87"/>
              </w:rPr>
            </w:pPr>
            <w:hyperlink w:anchor="page24">
              <w:r>
                <w:rPr>
                  <w:rFonts w:ascii="Arial" w:cs="Arial" w:eastAsia="Arial" w:hAnsi="Arial"/>
                  <w:sz w:val="18"/>
                  <w:szCs w:val="18"/>
                  <w:b w:val="1"/>
                  <w:bCs w:val="1"/>
                  <w:color w:val="0000EE"/>
                  <w:w w:val="87"/>
                </w:rPr>
                <w:t>Enforcement</w:t>
              </w:r>
            </w:hyperlink>
          </w:p>
        </w:tc>
        <w:tc>
          <w:tcPr>
            <w:tcW w:w="3340" w:type="dxa"/>
            <w:vAlign w:val="bottom"/>
            <w:gridSpan w:val="22"/>
          </w:tcPr>
          <w:p>
            <w:pPr>
              <w:spacing w:after="0"/>
              <w:rPr>
                <w:sz w:val="17"/>
                <w:szCs w:val="17"/>
                <w:color w:val="auto"/>
              </w:rPr>
            </w:pPr>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11.6</w:t>
            </w:r>
          </w:p>
        </w:tc>
        <w:tc>
          <w:tcPr>
            <w:tcW w:w="4320" w:type="dxa"/>
            <w:vAlign w:val="bottom"/>
            <w:gridSpan w:val="27"/>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Non-Exclusivity of Rights</w:t>
              </w:r>
            </w:hyperlink>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11.7</w:t>
            </w:r>
          </w:p>
        </w:tc>
        <w:tc>
          <w:tcPr>
            <w:tcW w:w="13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b w:val="1"/>
                <w:bCs w:val="1"/>
                <w:color w:val="0000EE"/>
                <w:w w:val="87"/>
              </w:rPr>
            </w:pPr>
            <w:hyperlink w:anchor="page24">
              <w:r>
                <w:rPr>
                  <w:rFonts w:ascii="Arial" w:cs="Arial" w:eastAsia="Arial" w:hAnsi="Arial"/>
                  <w:sz w:val="18"/>
                  <w:szCs w:val="18"/>
                  <w:b w:val="1"/>
                  <w:bCs w:val="1"/>
                  <w:color w:val="0000EE"/>
                  <w:w w:val="87"/>
                </w:rPr>
                <w:t>Survival of Rights</w:t>
              </w:r>
            </w:hyperlink>
          </w:p>
        </w:tc>
        <w:tc>
          <w:tcPr>
            <w:tcW w:w="560" w:type="dxa"/>
            <w:vAlign w:val="bottom"/>
            <w:tcBorders>
              <w:top w:val="single" w:sz="8" w:color="0000EE"/>
            </w:tcBorders>
            <w:gridSpan w:val="12"/>
          </w:tcPr>
          <w:p>
            <w:pPr>
              <w:spacing w:after="0"/>
              <w:rPr>
                <w:sz w:val="17"/>
                <w:szCs w:val="17"/>
                <w:color w:val="auto"/>
              </w:rPr>
            </w:pPr>
          </w:p>
        </w:tc>
        <w:tc>
          <w:tcPr>
            <w:tcW w:w="2400" w:type="dxa"/>
            <w:vAlign w:val="bottom"/>
            <w:gridSpan w:val="6"/>
          </w:tcPr>
          <w:p>
            <w:pPr>
              <w:spacing w:after="0"/>
              <w:rPr>
                <w:sz w:val="17"/>
                <w:szCs w:val="17"/>
                <w:color w:val="auto"/>
              </w:rPr>
            </w:pPr>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11.8</w:t>
            </w:r>
          </w:p>
        </w:tc>
        <w:tc>
          <w:tcPr>
            <w:tcW w:w="76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6"/>
              </w:rPr>
            </w:pPr>
            <w:hyperlink w:anchor="page24">
              <w:r>
                <w:rPr>
                  <w:rFonts w:ascii="Arial" w:cs="Arial" w:eastAsia="Arial" w:hAnsi="Arial"/>
                  <w:sz w:val="18"/>
                  <w:szCs w:val="18"/>
                  <w:b w:val="1"/>
                  <w:bCs w:val="1"/>
                  <w:color w:val="0000EE"/>
                  <w:w w:val="86"/>
                </w:rPr>
                <w:t>Insurance</w:t>
              </w:r>
            </w:hyperlink>
          </w:p>
        </w:tc>
        <w:tc>
          <w:tcPr>
            <w:tcW w:w="3560" w:type="dxa"/>
            <w:vAlign w:val="bottom"/>
            <w:gridSpan w:val="24"/>
          </w:tcPr>
          <w:p>
            <w:pPr>
              <w:spacing w:after="0"/>
              <w:rPr>
                <w:sz w:val="17"/>
                <w:szCs w:val="17"/>
                <w:color w:val="auto"/>
              </w:rPr>
            </w:pPr>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11.9</w:t>
            </w:r>
          </w:p>
        </w:tc>
        <w:tc>
          <w:tcPr>
            <w:tcW w:w="100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85"/>
              </w:rPr>
            </w:pPr>
            <w:hyperlink w:anchor="page24">
              <w:r>
                <w:rPr>
                  <w:rFonts w:ascii="Arial" w:cs="Arial" w:eastAsia="Arial" w:hAnsi="Arial"/>
                  <w:sz w:val="18"/>
                  <w:szCs w:val="18"/>
                  <w:b w:val="1"/>
                  <w:bCs w:val="1"/>
                  <w:color w:val="0000EE"/>
                  <w:w w:val="85"/>
                </w:rPr>
                <w:t>Amendments</w:t>
              </w:r>
            </w:hyperlink>
          </w:p>
        </w:tc>
        <w:tc>
          <w:tcPr>
            <w:tcW w:w="3320" w:type="dxa"/>
            <w:vAlign w:val="bottom"/>
            <w:gridSpan w:val="21"/>
          </w:tcPr>
          <w:p>
            <w:pPr>
              <w:spacing w:after="0"/>
              <w:rPr>
                <w:sz w:val="17"/>
                <w:szCs w:val="17"/>
                <w:color w:val="auto"/>
              </w:rPr>
            </w:pPr>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11.10</w:t>
            </w:r>
          </w:p>
        </w:tc>
        <w:tc>
          <w:tcPr>
            <w:tcW w:w="4320" w:type="dxa"/>
            <w:vAlign w:val="bottom"/>
            <w:gridSpan w:val="27"/>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Savings Clause</w:t>
              </w:r>
            </w:hyperlink>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11.11</w:t>
            </w:r>
          </w:p>
        </w:tc>
        <w:tc>
          <w:tcPr>
            <w:tcW w:w="4320" w:type="dxa"/>
            <w:vAlign w:val="bottom"/>
            <w:gridSpan w:val="27"/>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Certain Definitions</w:t>
              </w:r>
            </w:hyperlink>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412"/>
        </w:trPr>
        <w:tc>
          <w:tcPr>
            <w:tcW w:w="156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Article XII Notices</w:t>
              </w:r>
            </w:hyperlink>
          </w:p>
        </w:tc>
        <w:tc>
          <w:tcPr>
            <w:tcW w:w="2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360" w:type="dxa"/>
            <w:vAlign w:val="bottom"/>
            <w:tcBorders>
              <w:top w:val="single" w:sz="8" w:color="0000EE"/>
            </w:tcBorders>
          </w:tcPr>
          <w:p>
            <w:pPr>
              <w:ind w:left="220"/>
              <w:spacing w:after="0"/>
              <w:rPr>
                <w:sz w:val="20"/>
                <w:szCs w:val="20"/>
                <w:color w:val="auto"/>
              </w:rPr>
            </w:pPr>
            <w:r>
              <w:rPr>
                <w:rFonts w:ascii="Arial" w:cs="Arial" w:eastAsia="Arial" w:hAnsi="Arial"/>
                <w:sz w:val="18"/>
                <w:szCs w:val="18"/>
                <w:b w:val="1"/>
                <w:bCs w:val="1"/>
                <w:color w:val="auto"/>
              </w:rPr>
              <w:t>Section 12.1</w:t>
            </w:r>
          </w:p>
        </w:tc>
        <w:tc>
          <w:tcPr>
            <w:tcW w:w="200" w:type="dxa"/>
            <w:vAlign w:val="bottom"/>
            <w:gridSpan w:val="2"/>
          </w:tcPr>
          <w:p>
            <w:pPr>
              <w:spacing w:after="0"/>
              <w:rPr>
                <w:sz w:val="24"/>
                <w:szCs w:val="24"/>
                <w:color w:val="auto"/>
              </w:rPr>
            </w:pPr>
          </w:p>
        </w:tc>
        <w:tc>
          <w:tcPr>
            <w:tcW w:w="4320" w:type="dxa"/>
            <w:vAlign w:val="bottom"/>
            <w:gridSpan w:val="27"/>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Notice to Stockholders</w:t>
              </w:r>
            </w:hyperlink>
          </w:p>
        </w:tc>
        <w:tc>
          <w:tcPr>
            <w:tcW w:w="5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12.2</w:t>
            </w:r>
          </w:p>
        </w:tc>
        <w:tc>
          <w:tcPr>
            <w:tcW w:w="14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w w:val="86"/>
              </w:rPr>
            </w:pPr>
            <w:hyperlink w:anchor="page26">
              <w:r>
                <w:rPr>
                  <w:rFonts w:ascii="Arial" w:cs="Arial" w:eastAsia="Arial" w:hAnsi="Arial"/>
                  <w:sz w:val="18"/>
                  <w:szCs w:val="18"/>
                  <w:b w:val="1"/>
                  <w:bCs w:val="1"/>
                  <w:color w:val="0000EE"/>
                  <w:w w:val="86"/>
                </w:rPr>
                <w:t>Notice to Directors</w:t>
              </w:r>
            </w:hyperlink>
          </w:p>
        </w:tc>
        <w:tc>
          <w:tcPr>
            <w:tcW w:w="260" w:type="dxa"/>
            <w:vAlign w:val="bottom"/>
            <w:tcBorders>
              <w:top w:val="single" w:sz="8" w:color="0000EE"/>
            </w:tcBorders>
            <w:gridSpan w:val="5"/>
          </w:tcPr>
          <w:p>
            <w:pPr>
              <w:spacing w:after="0"/>
              <w:rPr>
                <w:sz w:val="17"/>
                <w:szCs w:val="17"/>
                <w:color w:val="auto"/>
              </w:rPr>
            </w:pPr>
          </w:p>
        </w:tc>
        <w:tc>
          <w:tcPr>
            <w:tcW w:w="2640" w:type="dxa"/>
            <w:vAlign w:val="bottom"/>
            <w:gridSpan w:val="11"/>
          </w:tcPr>
          <w:p>
            <w:pPr>
              <w:spacing w:after="0"/>
              <w:rPr>
                <w:sz w:val="17"/>
                <w:szCs w:val="17"/>
                <w:color w:val="auto"/>
              </w:rPr>
            </w:pPr>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12.3</w:t>
            </w:r>
          </w:p>
        </w:tc>
        <w:tc>
          <w:tcPr>
            <w:tcW w:w="4320" w:type="dxa"/>
            <w:vAlign w:val="bottom"/>
            <w:gridSpan w:val="27"/>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Address Unknown</w:t>
              </w:r>
            </w:hyperlink>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56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12.4</w:t>
            </w:r>
          </w:p>
        </w:tc>
        <w:tc>
          <w:tcPr>
            <w:tcW w:w="150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1"/>
              </w:rPr>
            </w:pPr>
            <w:hyperlink w:anchor="page26">
              <w:r>
                <w:rPr>
                  <w:rFonts w:ascii="Arial" w:cs="Arial" w:eastAsia="Arial" w:hAnsi="Arial"/>
                  <w:sz w:val="18"/>
                  <w:szCs w:val="18"/>
                  <w:b w:val="1"/>
                  <w:bCs w:val="1"/>
                  <w:color w:val="0000EE"/>
                  <w:w w:val="91"/>
                </w:rPr>
                <w:t>Affidavit of Mailing</w:t>
              </w:r>
            </w:hyperlink>
          </w:p>
        </w:tc>
        <w:tc>
          <w:tcPr>
            <w:tcW w:w="2820" w:type="dxa"/>
            <w:vAlign w:val="bottom"/>
            <w:gridSpan w:val="14"/>
          </w:tcPr>
          <w:p>
            <w:pPr>
              <w:spacing w:after="0"/>
              <w:rPr>
                <w:sz w:val="17"/>
                <w:szCs w:val="17"/>
                <w:color w:val="auto"/>
              </w:rPr>
            </w:pPr>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12.5</w:t>
            </w:r>
          </w:p>
        </w:tc>
        <w:tc>
          <w:tcPr>
            <w:tcW w:w="188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86"/>
              </w:rPr>
            </w:pPr>
            <w:hyperlink w:anchor="page26">
              <w:r>
                <w:rPr>
                  <w:rFonts w:ascii="Arial" w:cs="Arial" w:eastAsia="Arial" w:hAnsi="Arial"/>
                  <w:sz w:val="18"/>
                  <w:szCs w:val="18"/>
                  <w:b w:val="1"/>
                  <w:bCs w:val="1"/>
                  <w:color w:val="0000EE"/>
                  <w:w w:val="86"/>
                </w:rPr>
                <w:t>Failure to Receive Notice</w:t>
              </w:r>
            </w:hyperlink>
          </w:p>
        </w:tc>
        <w:tc>
          <w:tcPr>
            <w:tcW w:w="2440" w:type="dxa"/>
            <w:vAlign w:val="bottom"/>
            <w:gridSpan w:val="7"/>
          </w:tcPr>
          <w:p>
            <w:pPr>
              <w:spacing w:after="0"/>
              <w:rPr>
                <w:sz w:val="17"/>
                <w:szCs w:val="17"/>
                <w:color w:val="auto"/>
              </w:rPr>
            </w:pPr>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12.6</w:t>
            </w:r>
          </w:p>
        </w:tc>
        <w:tc>
          <w:tcPr>
            <w:tcW w:w="432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88"/>
              </w:rPr>
            </w:pPr>
            <w:hyperlink w:anchor="page26">
              <w:r>
                <w:rPr>
                  <w:rFonts w:ascii="Arial" w:cs="Arial" w:eastAsia="Arial" w:hAnsi="Arial"/>
                  <w:sz w:val="18"/>
                  <w:szCs w:val="18"/>
                  <w:b w:val="1"/>
                  <w:bCs w:val="1"/>
                  <w:color w:val="0000EE"/>
                  <w:w w:val="88"/>
                </w:rPr>
                <w:t>Notice to Person with Whom Communication Is Unlawful</w:t>
              </w:r>
            </w:hyperlink>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12.7</w:t>
            </w:r>
          </w:p>
        </w:tc>
        <w:tc>
          <w:tcPr>
            <w:tcW w:w="336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86"/>
              </w:rPr>
            </w:pPr>
            <w:hyperlink w:anchor="page26">
              <w:r>
                <w:rPr>
                  <w:rFonts w:ascii="Arial" w:cs="Arial" w:eastAsia="Arial" w:hAnsi="Arial"/>
                  <w:sz w:val="18"/>
                  <w:szCs w:val="18"/>
                  <w:b w:val="1"/>
                  <w:bCs w:val="1"/>
                  <w:color w:val="0000EE"/>
                  <w:w w:val="86"/>
                </w:rPr>
                <w:t>Notice to Person with Undeliverable Address</w:t>
              </w:r>
            </w:hyperlink>
          </w:p>
        </w:tc>
        <w:tc>
          <w:tcPr>
            <w:tcW w:w="960" w:type="dxa"/>
            <w:vAlign w:val="bottom"/>
            <w:gridSpan w:val="3"/>
          </w:tcPr>
          <w:p>
            <w:pPr>
              <w:spacing w:after="0"/>
              <w:rPr>
                <w:sz w:val="17"/>
                <w:szCs w:val="17"/>
                <w:color w:val="auto"/>
              </w:rPr>
            </w:pPr>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412"/>
        </w:trPr>
        <w:tc>
          <w:tcPr>
            <w:tcW w:w="5880" w:type="dxa"/>
            <w:vAlign w:val="bottom"/>
            <w:gridSpan w:val="3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Article XIII Amendments</w:t>
              </w:r>
            </w:hyperlink>
          </w:p>
        </w:tc>
        <w:tc>
          <w:tcPr>
            <w:tcW w:w="5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5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gridSpan w:val="14"/>
          </w:tcPr>
          <w:p>
            <w:pPr>
              <w:spacing w:after="0" w:line="20" w:lineRule="exact"/>
              <w:rPr>
                <w:sz w:val="1"/>
                <w:szCs w:val="1"/>
                <w:color w:val="auto"/>
              </w:rPr>
            </w:pPr>
          </w:p>
        </w:tc>
        <w:tc>
          <w:tcPr>
            <w:tcW w:w="2680" w:type="dxa"/>
            <w:vAlign w:val="bottom"/>
            <w:gridSpan w:val="12"/>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304"/>
        </w:trPr>
        <w:tc>
          <w:tcPr>
            <w:tcW w:w="1560" w:type="dxa"/>
            <w:vAlign w:val="bottom"/>
            <w:gridSpan w:val="3"/>
          </w:tcPr>
          <w:p>
            <w:pPr>
              <w:ind w:left="220"/>
              <w:spacing w:after="0"/>
              <w:rPr>
                <w:sz w:val="20"/>
                <w:szCs w:val="20"/>
                <w:color w:val="auto"/>
              </w:rPr>
            </w:pPr>
            <w:r>
              <w:rPr>
                <w:rFonts w:ascii="Arial" w:cs="Arial" w:eastAsia="Arial" w:hAnsi="Arial"/>
                <w:sz w:val="18"/>
                <w:szCs w:val="18"/>
                <w:b w:val="1"/>
                <w:bCs w:val="1"/>
                <w:color w:val="auto"/>
              </w:rPr>
              <w:t>Section 13.1</w:t>
            </w:r>
          </w:p>
        </w:tc>
        <w:tc>
          <w:tcPr>
            <w:tcW w:w="1000" w:type="dxa"/>
            <w:vAlign w:val="bottom"/>
            <w:tcBorders>
              <w:bottom w:val="single" w:sz="8" w:color="0000EE"/>
            </w:tcBorders>
            <w:gridSpan w:val="6"/>
          </w:tcPr>
          <w:p>
            <w:pPr>
              <w:spacing w:after="0"/>
              <w:rPr>
                <w:rFonts w:ascii="Arial" w:cs="Arial" w:eastAsia="Arial" w:hAnsi="Arial"/>
                <w:sz w:val="18"/>
                <w:szCs w:val="18"/>
                <w:b w:val="1"/>
                <w:bCs w:val="1"/>
                <w:color w:val="0000EE"/>
                <w:w w:val="85"/>
              </w:rPr>
            </w:pPr>
            <w:hyperlink w:anchor="page27">
              <w:r>
                <w:rPr>
                  <w:rFonts w:ascii="Arial" w:cs="Arial" w:eastAsia="Arial" w:hAnsi="Arial"/>
                  <w:sz w:val="18"/>
                  <w:szCs w:val="18"/>
                  <w:b w:val="1"/>
                  <w:bCs w:val="1"/>
                  <w:color w:val="0000EE"/>
                  <w:w w:val="85"/>
                </w:rPr>
                <w:t>Amendments</w:t>
              </w:r>
            </w:hyperlink>
          </w:p>
        </w:tc>
        <w:tc>
          <w:tcPr>
            <w:tcW w:w="3320" w:type="dxa"/>
            <w:vAlign w:val="bottom"/>
            <w:gridSpan w:val="21"/>
          </w:tcPr>
          <w:p>
            <w:pPr>
              <w:spacing w:after="0"/>
              <w:rPr>
                <w:sz w:val="24"/>
                <w:szCs w:val="24"/>
                <w:color w:val="auto"/>
              </w:rPr>
            </w:pPr>
          </w:p>
        </w:tc>
        <w:tc>
          <w:tcPr>
            <w:tcW w:w="5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96"/>
        </w:trPr>
        <w:tc>
          <w:tcPr>
            <w:tcW w:w="156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Section 13.2</w:t>
            </w:r>
          </w:p>
        </w:tc>
        <w:tc>
          <w:tcPr>
            <w:tcW w:w="4320" w:type="dxa"/>
            <w:vAlign w:val="bottom"/>
            <w:gridSpan w:val="27"/>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Application of Bylaws</w:t>
              </w:r>
            </w:hyperlink>
          </w:p>
        </w:tc>
        <w:tc>
          <w:tcPr>
            <w:tcW w:w="55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 AMENDED AND RESTATED BYLAWS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ACTIVE POWER, INC.,</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OFFICES</w:t>
      </w:r>
    </w:p>
    <w:p>
      <w:pPr>
        <w:spacing w:after="0" w:line="171" w:lineRule="exact"/>
        <w:rPr>
          <w:sz w:val="20"/>
          <w:szCs w:val="20"/>
          <w:color w:val="auto"/>
        </w:rPr>
      </w:pPr>
    </w:p>
    <w:p>
      <w:pPr>
        <w:ind w:right="580" w:firstLine="456"/>
        <w:spacing w:after="0" w:line="339"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b w:val="1"/>
          <w:bCs w:val="1"/>
          <w:u w:val="single" w:color="auto"/>
          <w:color w:val="auto"/>
        </w:rPr>
        <w:t>Registered Office</w:t>
      </w:r>
      <w:r>
        <w:rPr>
          <w:rFonts w:ascii="Arial" w:cs="Arial" w:eastAsia="Arial" w:hAnsi="Arial"/>
          <w:sz w:val="16"/>
          <w:szCs w:val="16"/>
          <w:color w:val="auto"/>
        </w:rPr>
        <w:t>. The registered office of the corporation shall be the registered office named in the certificate of incorporation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or such other office as may be designated from time to time by the Board of Directors in the manner provided by law.</w:t>
      </w:r>
    </w:p>
    <w:p>
      <w:pPr>
        <w:spacing w:after="0" w:line="74"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Other Offices</w:t>
      </w:r>
      <w:r>
        <w:rPr>
          <w:rFonts w:ascii="Arial" w:cs="Arial" w:eastAsia="Arial" w:hAnsi="Arial"/>
          <w:sz w:val="18"/>
          <w:szCs w:val="18"/>
          <w:color w:val="auto"/>
        </w:rPr>
        <w:t>. The corporation may have offices at such other places both within and without the State of Delaware as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may from time to time determine or the business of the corporation may require. The books of the corporation may be kept (subject to any provision contained in the Delaware General Corporation Law) outside the State of Delaware at such place or places as may be designated from time to time by the Board of Directors or in these Bylaws.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CORPORATE SEAL</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corporate seal shall consist of a die bearing the name of the corporation. Said seal may be used by causing it, or a facsimile thereof, to be impressed, affixed or reproduced.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STOCKHOLDERS’ MEETINGS</w:t>
      </w:r>
    </w:p>
    <w:p>
      <w:pPr>
        <w:spacing w:after="0" w:line="171" w:lineRule="exact"/>
        <w:rPr>
          <w:sz w:val="20"/>
          <w:szCs w:val="20"/>
          <w:color w:val="auto"/>
        </w:rPr>
      </w:pPr>
    </w:p>
    <w:p>
      <w:pPr>
        <w:jc w:val="both"/>
        <w:ind w:right="40" w:firstLine="456"/>
        <w:spacing w:after="0" w:line="258"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Place of Meetings</w:t>
      </w:r>
      <w:r>
        <w:rPr>
          <w:rFonts w:ascii="Arial" w:cs="Arial" w:eastAsia="Arial" w:hAnsi="Arial"/>
          <w:sz w:val="18"/>
          <w:szCs w:val="18"/>
          <w:color w:val="auto"/>
        </w:rPr>
        <w:t>. Meetings of the stockholders of the corporation shall be held at such place, either within or without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designated from time to time by the Board of Directors, or, if not so designated, then at the principal executive offices of the corporation. The Board of Directors may, in its sole discretion, determine that the meeting shall not be held at any place, but may instead be held solely by means of remote communication as authorized by Section 3.12 of these Bylaws.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Annual Meeting</w:t>
      </w:r>
      <w:r>
        <w:rPr>
          <w:rFonts w:ascii="Arial" w:cs="Arial" w:eastAsia="Arial" w:hAnsi="Arial"/>
          <w:sz w:val="18"/>
          <w:szCs w:val="18"/>
          <w:b w:val="1"/>
          <w:bCs w:val="1"/>
          <w:color w:val="auto"/>
        </w:rPr>
        <w:t>.</w:t>
      </w:r>
    </w:p>
    <w:p>
      <w:pPr>
        <w:spacing w:after="0" w:line="96" w:lineRule="exact"/>
        <w:rPr>
          <w:sz w:val="20"/>
          <w:szCs w:val="20"/>
          <w:color w:val="auto"/>
        </w:rPr>
      </w:pPr>
    </w:p>
    <w:p>
      <w:pPr>
        <w:ind w:right="220" w:firstLine="921"/>
        <w:spacing w:after="0" w:line="332" w:lineRule="auto"/>
        <w:tabs>
          <w:tab w:leader="none" w:pos="115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w:t>
      </w:r>
    </w:p>
    <w:p>
      <w:pPr>
        <w:spacing w:after="0" w:line="85" w:lineRule="exact"/>
        <w:rPr>
          <w:rFonts w:ascii="Arial" w:cs="Arial" w:eastAsia="Arial" w:hAnsi="Arial"/>
          <w:sz w:val="16"/>
          <w:szCs w:val="16"/>
          <w:color w:val="auto"/>
        </w:rPr>
      </w:pPr>
    </w:p>
    <w:p>
      <w:pPr>
        <w:ind w:firstLine="921"/>
        <w:spacing w:after="0" w:line="291" w:lineRule="auto"/>
        <w:tabs>
          <w:tab w:leader="none" w:pos="1162"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an annual meeting of the stockholders, only such business shall be conducted as shall have been properly brought before the meeting. To be properly brought before an annual meeting, business must be: (A) specified in the notice of meeting (or any supplement thereto) given by or at the direction of the Board of Directors; (B) otherwise properly brought before the meeting by or at the direction of the Board of Directors; or (C) otherwise properly brought before the meeting by a stockholder. For business to be properly brought before an annual meeting by a stockholder, the stockholder must have given timely notice thereof in writing in proper form to the Secretary of the corporation, and any such business, other than nominations of persons for election to the Board of Directors, must constitute a proper matter for stockholder action. To be timely, a stockholder’s notice must be</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delivered to or mailed and received by the Secretary of the corporation not later than the close of business on the one hundred twentieth (120th) day prior to the first anniversary of the date of the proxy statement delivered by or at the direction of the Board of Directors to stockholders in connection with the preceding year’s annual meeting; provided, however, that if either (i) the date of the annual meeting is advanced more than thirty (30) days or delayed (other than as a result of adjournment) more than sixty (60) days from such an anniversary date or (ii) no such proxy statement was delivered to stockholders in connection with the preceding year’s annual meeting, notice by the stockholder to be timely must be so delivered not earlier than the close of business on the ninetieth (90th) day prior to such annual meeting and not later than the close of business on the later of the sixtieth (60th) day prior to such annual meeting or the close of business on the tenth (10th) day following the day on which public announcement of the date of such meeting is first made by the corporation. To be in proper form, a stockholder’s notice to the Secretary shall set forth as to each matter the stockholder proposes to bring before the annual meeting:</w:t>
      </w:r>
    </w:p>
    <w:p>
      <w:pPr>
        <w:spacing w:after="0" w:line="37" w:lineRule="exact"/>
        <w:rPr>
          <w:sz w:val="20"/>
          <w:szCs w:val="20"/>
          <w:color w:val="auto"/>
        </w:rPr>
      </w:pPr>
    </w:p>
    <w:p>
      <w:pPr>
        <w:ind w:left="920" w:right="160" w:firstLine="421"/>
        <w:spacing w:after="0" w:line="259" w:lineRule="auto"/>
        <w:tabs>
          <w:tab w:leader="none" w:pos="1549"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annual meeting (including the text of any resolutions proposed for consideration and, in the event that such business includes a proposal to amend the certificate of incorporation or these Bylaws, the language of the proposed amendment) and the reasons for conducting such business at the annual meeting;</w:t>
      </w:r>
    </w:p>
    <w:p>
      <w:pPr>
        <w:spacing w:after="0" w:line="59" w:lineRule="exact"/>
        <w:rPr>
          <w:rFonts w:ascii="Arial" w:cs="Arial" w:eastAsia="Arial" w:hAnsi="Arial"/>
          <w:sz w:val="18"/>
          <w:szCs w:val="18"/>
          <w:color w:val="auto"/>
        </w:rPr>
      </w:pPr>
    </w:p>
    <w:p>
      <w:pPr>
        <w:ind w:left="920" w:right="40" w:firstLine="421"/>
        <w:spacing w:after="0" w:line="259" w:lineRule="auto"/>
        <w:tabs>
          <w:tab w:leader="none" w:pos="1598"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stock of the corporation entitled to vote at such meeting and, if applicable, intends to appear in person or by proxy at the meeting to nominate the person or persons specified in the notice or introduce the business specified in the notice;</w:t>
      </w:r>
    </w:p>
    <w:p>
      <w:pPr>
        <w:spacing w:after="0" w:line="59" w:lineRule="exact"/>
        <w:rPr>
          <w:rFonts w:ascii="Arial" w:cs="Arial" w:eastAsia="Arial" w:hAnsi="Arial"/>
          <w:sz w:val="18"/>
          <w:szCs w:val="18"/>
          <w:color w:val="auto"/>
        </w:rPr>
      </w:pPr>
    </w:p>
    <w:p>
      <w:pPr>
        <w:ind w:left="1640" w:hanging="299"/>
        <w:spacing w:after="0"/>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 and address, as they appear on the corporation’s books, of the stockholder proposing such business;</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 and number of shares of the corporation which are beneficially owned by the stockholder;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material interest of the stockholder in such business; and</w:t>
      </w:r>
    </w:p>
    <w:p>
      <w:pPr>
        <w:spacing w:after="0" w:line="90" w:lineRule="exact"/>
        <w:rPr>
          <w:rFonts w:ascii="Arial" w:cs="Arial" w:eastAsia="Arial" w:hAnsi="Arial"/>
          <w:sz w:val="18"/>
          <w:szCs w:val="18"/>
          <w:color w:val="auto"/>
        </w:rPr>
      </w:pPr>
    </w:p>
    <w:p>
      <w:pPr>
        <w:ind w:left="920" w:right="100" w:firstLine="421"/>
        <w:spacing w:after="0" w:line="268" w:lineRule="auto"/>
        <w:tabs>
          <w:tab w:leader="none" w:pos="1637"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information that is required to be provided by the stockholder pursuant to Regulation 14A under the Securities Exchange Act of 1934, as amended (the “Exchange Act”), in such stockholder’s capacity as a proponent of a stockholder proposal.</w:t>
      </w:r>
    </w:p>
    <w:p>
      <w:pPr>
        <w:spacing w:after="0" w:line="132" w:lineRule="exact"/>
        <w:rPr>
          <w:sz w:val="20"/>
          <w:szCs w:val="20"/>
          <w:color w:val="auto"/>
        </w:rPr>
      </w:pPr>
    </w:p>
    <w:p>
      <w:pPr>
        <w:ind w:right="140" w:firstLine="913"/>
        <w:spacing w:after="0" w:line="288" w:lineRule="auto"/>
        <w:rPr>
          <w:sz w:val="20"/>
          <w:szCs w:val="20"/>
          <w:color w:val="auto"/>
        </w:rPr>
      </w:pPr>
      <w:r>
        <w:rPr>
          <w:rFonts w:ascii="Arial" w:cs="Arial" w:eastAsia="Arial" w:hAnsi="Arial"/>
          <w:sz w:val="16"/>
          <w:szCs w:val="16"/>
          <w:color w:val="auto"/>
        </w:rPr>
        <w:t>The chairman of the meeting shall determine whether any business proposed to be transacted by the stockholders has been properly brought before the meeting and, if any proposed business has not been properly brought before the meeting, the chairman shall declare that such proposed business shall not be presented for stockholder action at the meeting. For purposes of this Section 3.2, “public announcement”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Notwithstanding any provision in this Section 3.2 to the contrary, requests for inclusion of proposals in the corporation’s proxy statement made pursuant to Rule 14a-8 under the Exchange Act shall be deemed to have been delivered in a timely manner if delivered in accordance with such Rule. Notwithstanding compliance with the requirements of this Section 3.2, the chairman presiding at any meeting of the stockholders may, in his sole discretion, refuse to allow a stockholder or stockholder representative to present any proposal which the corporation would not be required to include in a proxy statement under any rule promulgated by the Securities and Exchange Commission.</w:t>
      </w:r>
    </w:p>
    <w:p>
      <w:pPr>
        <w:spacing w:after="0" w:line="120" w:lineRule="exact"/>
        <w:rPr>
          <w:sz w:val="20"/>
          <w:szCs w:val="20"/>
          <w:color w:val="auto"/>
        </w:rPr>
      </w:pPr>
    </w:p>
    <w:p>
      <w:pPr>
        <w:ind w:right="100" w:firstLine="921"/>
        <w:spacing w:after="0" w:line="294" w:lineRule="auto"/>
        <w:tabs>
          <w:tab w:leader="none" w:pos="1152" w:val="left"/>
        </w:tabs>
        <w:numPr>
          <w:ilvl w:val="0"/>
          <w:numId w:val="6"/>
        </w:numPr>
        <w:rPr>
          <w:rFonts w:ascii="Arial" w:cs="Arial" w:eastAsia="Arial" w:hAnsi="Arial"/>
          <w:sz w:val="16"/>
          <w:szCs w:val="16"/>
          <w:color w:val="auto"/>
        </w:rPr>
      </w:pPr>
      <w:r>
        <w:rPr>
          <w:rFonts w:ascii="Arial" w:cs="Arial" w:eastAsia="Arial" w:hAnsi="Arial"/>
          <w:sz w:val="16"/>
          <w:szCs w:val="16"/>
          <w:color w:val="auto"/>
        </w:rPr>
        <w:t>Only persons who are nominated in accordance with the procedures set forth in this paragraph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Such nominations, other than those made by or at the direction of the Board of Directors, shall be made pursuant to timely notice in writing to the Secretary of the corporation in accordance with the provisions of paragraph (b) of this Section 3.2. Such stockholder’s notice shall set forth (i) as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3.2. At the request of the Board of Directors, any person nominated by a stockholder for election as a Director shall furnish to the Secretary of the corporation that information required to be set forth in the stockholder’s notice of nomination which pertains to the nominee. No person shall be eligible for election as a Director of the corporation unless nominated in accordance with the procedures set forth in this paragraph. The chairman of the meeting shall, if the facts warrant, determine and declare at the meeting that a nomination was not made in accordance with the procedures prescribed by these Bylaws, and if the chairman should so determine, the chairman shall so declare at the meeting, and the defective nomination shall be disregarded.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b w:val="1"/>
          <w:bCs w:val="1"/>
          <w:u w:val="single" w:color="auto"/>
          <w:color w:val="auto"/>
        </w:rPr>
        <w:t>Special Meetings</w:t>
      </w:r>
      <w:r>
        <w:rPr>
          <w:rFonts w:ascii="Arial" w:cs="Arial" w:eastAsia="Arial" w:hAnsi="Arial"/>
          <w:sz w:val="18"/>
          <w:szCs w:val="18"/>
          <w:b w:val="1"/>
          <w:bCs w:val="1"/>
          <w:color w:val="auto"/>
        </w:rPr>
        <w:t>.</w:t>
      </w:r>
    </w:p>
    <w:p>
      <w:pPr>
        <w:spacing w:after="0" w:line="96" w:lineRule="exact"/>
        <w:rPr>
          <w:sz w:val="20"/>
          <w:szCs w:val="20"/>
          <w:color w:val="auto"/>
        </w:rPr>
      </w:pPr>
    </w:p>
    <w:p>
      <w:pPr>
        <w:ind w:firstLine="921"/>
        <w:spacing w:after="0" w:line="259" w:lineRule="auto"/>
        <w:tabs>
          <w:tab w:leader="none" w:pos="1152" w:val="left"/>
        </w:tabs>
        <w:numPr>
          <w:ilvl w:val="1"/>
          <w:numId w:val="7"/>
        </w:numPr>
        <w:rPr>
          <w:rFonts w:ascii="Arial" w:cs="Arial" w:eastAsia="Arial" w:hAnsi="Arial"/>
          <w:sz w:val="18"/>
          <w:szCs w:val="18"/>
          <w:color w:val="auto"/>
        </w:rPr>
      </w:pPr>
      <w:r>
        <w:rPr>
          <w:rFonts w:ascii="Arial" w:cs="Arial" w:eastAsia="Arial" w:hAnsi="Arial"/>
          <w:sz w:val="18"/>
          <w:szCs w:val="18"/>
          <w:color w:val="auto"/>
        </w:rPr>
        <w:t>Special meetings of the stockholders of the corporation may only be called, for any purpose or purposes, by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40" w:lineRule="exact"/>
        <w:rPr>
          <w:rFonts w:ascii="Arial" w:cs="Arial" w:eastAsia="Arial" w:hAnsi="Arial"/>
          <w:sz w:val="18"/>
          <w:szCs w:val="18"/>
          <w:color w:val="auto"/>
        </w:rPr>
      </w:pPr>
    </w:p>
    <w:p>
      <w:pPr>
        <w:ind w:right="20" w:firstLine="921"/>
        <w:spacing w:after="0" w:line="283" w:lineRule="auto"/>
        <w:tabs>
          <w:tab w:leader="none" w:pos="1162" w:val="left"/>
        </w:tabs>
        <w:numPr>
          <w:ilvl w:val="1"/>
          <w:numId w:val="7"/>
        </w:numPr>
        <w:rPr>
          <w:rFonts w:ascii="Arial" w:cs="Arial" w:eastAsia="Arial" w:hAnsi="Arial"/>
          <w:sz w:val="16"/>
          <w:szCs w:val="16"/>
          <w:color w:val="auto"/>
        </w:rPr>
      </w:pPr>
      <w:r>
        <w:rPr>
          <w:rFonts w:ascii="Arial" w:cs="Arial" w:eastAsia="Arial" w:hAnsi="Arial"/>
          <w:sz w:val="16"/>
          <w:szCs w:val="16"/>
          <w:color w:val="auto"/>
        </w:rPr>
        <w:t>No business may be transacted at such special meeting otherwise than specified in the resolution calling for the meeting. The Board of Directors shall determine the time and place of such special meeting, which shall be held not less than thirty-five (35) nor more than one hundred twenty (120) days after the date of the receipt of the request other than any actions effected prior to the corporation’s initial public offering of its capital stock pursuant to an effective registration statement filed under the Securities Act of 1933, as amended (the “Initial Public Offering”). Upon determination of the time and place of the meeting, notice shall be given to the stockholders entitled to vote, in accordance with the provisions of Section 3.4 of these Bylaws. If the notice is not given within sixty</w:t>
      </w:r>
    </w:p>
    <w:p>
      <w:pPr>
        <w:spacing w:after="0" w:line="2" w:lineRule="exact"/>
        <w:rPr>
          <w:rFonts w:ascii="Arial" w:cs="Arial" w:eastAsia="Arial" w:hAnsi="Arial"/>
          <w:sz w:val="16"/>
          <w:szCs w:val="16"/>
          <w:color w:val="auto"/>
        </w:rPr>
      </w:pPr>
    </w:p>
    <w:p>
      <w:pPr>
        <w:ind w:right="360" w:firstLine="8"/>
        <w:spacing w:after="0" w:line="323" w:lineRule="auto"/>
        <w:tabs>
          <w:tab w:leader="none" w:pos="336" w:val="left"/>
        </w:tabs>
        <w:numPr>
          <w:ilvl w:val="0"/>
          <w:numId w:val="8"/>
        </w:numPr>
        <w:rPr>
          <w:rFonts w:ascii="Arial" w:cs="Arial" w:eastAsia="Arial" w:hAnsi="Arial"/>
          <w:sz w:val="16"/>
          <w:szCs w:val="16"/>
          <w:color w:val="auto"/>
        </w:rPr>
      </w:pPr>
      <w:r>
        <w:rPr>
          <w:rFonts w:ascii="Arial" w:cs="Arial" w:eastAsia="Arial" w:hAnsi="Arial"/>
          <w:sz w:val="16"/>
          <w:szCs w:val="16"/>
          <w:color w:val="auto"/>
        </w:rPr>
        <w:t>days after the receipt of the request, the person or persons requesting the meeting may set the time and place of the meeting and give the notice. Nothing contained in this paragraph (b) shall be construed as limiting, fixing or affecting the time when a meeting of stockholders may be held.</w:t>
      </w:r>
    </w:p>
    <w:p>
      <w:pPr>
        <w:spacing w:after="0" w:line="8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5"/>
          <w:szCs w:val="15"/>
          <w:b w:val="1"/>
          <w:bCs w:val="1"/>
          <w:color w:val="auto"/>
        </w:rPr>
        <w:t xml:space="preserve">Section 3.4 </w:t>
      </w:r>
      <w:r>
        <w:rPr>
          <w:rFonts w:ascii="Arial" w:cs="Arial" w:eastAsia="Arial" w:hAnsi="Arial"/>
          <w:sz w:val="15"/>
          <w:szCs w:val="15"/>
          <w:b w:val="1"/>
          <w:bCs w:val="1"/>
          <w:u w:val="single" w:color="auto"/>
          <w:color w:val="auto"/>
        </w:rPr>
        <w:t>Notice of Meetings</w:t>
      </w:r>
      <w:r>
        <w:rPr>
          <w:rFonts w:ascii="Arial" w:cs="Arial" w:eastAsia="Arial" w:hAnsi="Arial"/>
          <w:sz w:val="15"/>
          <w:szCs w:val="15"/>
          <w:color w:val="auto"/>
        </w:rPr>
        <w:t>. Except as otherwise provided by law or these Bylaws or the certificate of incorporation of the corporation, as the same</w:t>
      </w:r>
      <w:r>
        <w:rPr>
          <w:rFonts w:ascii="Arial" w:cs="Arial" w:eastAsia="Arial" w:hAnsi="Arial"/>
          <w:sz w:val="15"/>
          <w:szCs w:val="15"/>
          <w:b w:val="1"/>
          <w:bCs w:val="1"/>
          <w:color w:val="auto"/>
        </w:rPr>
        <w:t xml:space="preserve"> </w:t>
      </w:r>
      <w:r>
        <w:rPr>
          <w:rFonts w:ascii="Arial" w:cs="Arial" w:eastAsia="Arial" w:hAnsi="Arial"/>
          <w:sz w:val="15"/>
          <w:szCs w:val="15"/>
          <w:color w:val="auto"/>
        </w:rPr>
        <w:t>may be amended or restated from time to time and including any certificates of designation thereunder (hereinafter, the “Certificate of Incorporation”), and for actions effected prior to an Initial Public Offering (for which no notice need be given) notice of each meeting of stockholders shall be given not less than ten</w:t>
      </w:r>
    </w:p>
    <w:p>
      <w:pPr>
        <w:spacing w:after="0" w:line="1" w:lineRule="exact"/>
        <w:rPr>
          <w:sz w:val="20"/>
          <w:szCs w:val="20"/>
          <w:color w:val="auto"/>
        </w:rPr>
      </w:pPr>
    </w:p>
    <w:p>
      <w:pPr>
        <w:ind w:right="80" w:firstLine="8"/>
        <w:spacing w:after="0" w:line="288" w:lineRule="auto"/>
        <w:tabs>
          <w:tab w:leader="none" w:pos="336" w:val="left"/>
        </w:tabs>
        <w:numPr>
          <w:ilvl w:val="0"/>
          <w:numId w:val="9"/>
        </w:numPr>
        <w:rPr>
          <w:rFonts w:ascii="Arial" w:cs="Arial" w:eastAsia="Arial" w:hAnsi="Arial"/>
          <w:sz w:val="16"/>
          <w:szCs w:val="16"/>
          <w:color w:val="auto"/>
        </w:rPr>
      </w:pPr>
      <w:r>
        <w:rPr>
          <w:rFonts w:ascii="Arial" w:cs="Arial" w:eastAsia="Arial" w:hAnsi="Arial"/>
          <w:sz w:val="16"/>
          <w:szCs w:val="16"/>
          <w:color w:val="auto"/>
        </w:rPr>
        <w:t>nor more than sixty (60) days before the date of the meeting to each stockholder entitled to vote at such meeting, such notice to specify the place, date, time, means of remote communication, if any, by which stockholders and proxy holders may be deemed to be present in person and vote at such meeting, and purpose or purposes of the meeting. Notice of any meeting of stockholders may be waived in writing, signed by the person entitled to notice thereof, or by a waiver by electronic transmission by the person entitled to such notice, either before or after such meeting, and will be waived by any stockholder by his attendance thereat in person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17"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 xml:space="preserve">Section 3.5 </w:t>
      </w:r>
      <w:r>
        <w:rPr>
          <w:rFonts w:ascii="Arial" w:cs="Arial" w:eastAsia="Arial" w:hAnsi="Arial"/>
          <w:sz w:val="16"/>
          <w:szCs w:val="16"/>
          <w:b w:val="1"/>
          <w:bCs w:val="1"/>
          <w:u w:val="single" w:color="auto"/>
          <w:color w:val="auto"/>
        </w:rPr>
        <w:t>Quorum</w:t>
      </w:r>
      <w:r>
        <w:rPr>
          <w:rFonts w:ascii="Arial" w:cs="Arial" w:eastAsia="Arial" w:hAnsi="Arial"/>
          <w:sz w:val="16"/>
          <w:szCs w:val="16"/>
          <w:color w:val="auto"/>
        </w:rPr>
        <w:t>. At all meetings of stockholders, except where otherwise provided by statute or by the Certificate of Incorporation, or by these</w:t>
      </w:r>
      <w:r>
        <w:rPr>
          <w:rFonts w:ascii="Arial" w:cs="Arial" w:eastAsia="Arial" w:hAnsi="Arial"/>
          <w:sz w:val="16"/>
          <w:szCs w:val="16"/>
          <w:b w:val="1"/>
          <w:bCs w:val="1"/>
          <w:color w:val="auto"/>
        </w:rPr>
        <w:t xml:space="preserve"> </w:t>
      </w:r>
      <w:r>
        <w:rPr>
          <w:rFonts w:ascii="Arial" w:cs="Arial" w:eastAsia="Arial" w:hAnsi="Arial"/>
          <w:sz w:val="16"/>
          <w:szCs w:val="16"/>
          <w:color w:val="auto"/>
        </w:rPr>
        <w:t>Bylaws, the presence, in person or by duly authorized proxy,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law, the Certificate of Incorporation or these Bylaws, all actions taken by the holders of a majority of the votes cast, excluding abstentions, at any meeting at which a quorum is present shall be valid and binding upon the corporation; provided, however, that Directors shall be elected by a plurality of the votes of the shares present in person or represented by proxy at the meeting and entitled to vote on the election of Directors. Where a separate vote by a class or classes is required, a majority of the outstanding shares of such class or classes, present in person or represented by proxy, shall constitute a quorum entitled to take action with respect to that vote on that matter and the affirmative vote of the majority (plurality, in the case of the election of Directors) of shares of such class or classes present in person or represented by proxy at the meeting shall be the act of such class.</w:t>
      </w:r>
    </w:p>
    <w:p>
      <w:pPr>
        <w:spacing w:after="0" w:line="11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 xml:space="preserve">Section 3.6 </w:t>
      </w:r>
      <w:r>
        <w:rPr>
          <w:rFonts w:ascii="Arial" w:cs="Arial" w:eastAsia="Arial" w:hAnsi="Arial"/>
          <w:sz w:val="16"/>
          <w:szCs w:val="16"/>
          <w:b w:val="1"/>
          <w:bCs w:val="1"/>
          <w:u w:val="single" w:color="auto"/>
          <w:color w:val="auto"/>
        </w:rPr>
        <w:t>Adjournment and Notice of Adjourned Meetings</w:t>
      </w:r>
      <w:r>
        <w:rPr>
          <w:rFonts w:ascii="Arial" w:cs="Arial" w:eastAsia="Arial" w:hAnsi="Arial"/>
          <w:sz w:val="16"/>
          <w:szCs w:val="16"/>
          <w:color w:val="auto"/>
        </w:rPr>
        <w:t>. Any meeting of stockholders, whether annual or special, may be adjourned 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time either by the chairman of the meeting or by the vote of a majority of the shares casting votes, excluding abstentions. When a meeting is adjourned to another time or place,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11" w:lineRule="exact"/>
        <w:rPr>
          <w:sz w:val="20"/>
          <w:szCs w:val="20"/>
          <w:color w:val="auto"/>
        </w:rPr>
      </w:pPr>
    </w:p>
    <w:p>
      <w:pPr>
        <w:ind w:right="60" w:firstLine="456"/>
        <w:spacing w:after="0" w:line="316" w:lineRule="auto"/>
        <w:rPr>
          <w:sz w:val="20"/>
          <w:szCs w:val="20"/>
          <w:color w:val="auto"/>
        </w:rPr>
      </w:pPr>
      <w:r>
        <w:rPr>
          <w:rFonts w:ascii="Arial" w:cs="Arial" w:eastAsia="Arial" w:hAnsi="Arial"/>
          <w:sz w:val="15"/>
          <w:szCs w:val="15"/>
          <w:b w:val="1"/>
          <w:bCs w:val="1"/>
          <w:color w:val="auto"/>
        </w:rPr>
        <w:t xml:space="preserve">Section 3.7 </w:t>
      </w:r>
      <w:r>
        <w:rPr>
          <w:rFonts w:ascii="Arial" w:cs="Arial" w:eastAsia="Arial" w:hAnsi="Arial"/>
          <w:sz w:val="15"/>
          <w:szCs w:val="15"/>
          <w:b w:val="1"/>
          <w:bCs w:val="1"/>
          <w:u w:val="single" w:color="auto"/>
          <w:color w:val="auto"/>
        </w:rPr>
        <w:t>Voting Rights</w:t>
      </w:r>
      <w:r>
        <w:rPr>
          <w:rFonts w:ascii="Arial" w:cs="Arial" w:eastAsia="Arial" w:hAnsi="Arial"/>
          <w:sz w:val="15"/>
          <w:szCs w:val="15"/>
          <w:color w:val="auto"/>
        </w:rPr>
        <w:t>. For the purpose of determining those stockholders entitled to vote at any meeting of the stockholders, except as otherwise</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by law, only persons in whose names shares stand on the stock records of the corporation on the record date, as provided in Section 7.5 of these Bylaws, shall be entitled to vote at any meeting of stockholders. Every person entitled to vote or execute consents shall have the right to do so either in person or by an agent or agents authorized by a written proxy executed by such person or his duly authorized agent, which proxy shall be filed with the Secretary at or before the meeting at which it is to be used. An agent so appointed need not be a stockholder. No proxy shall be voted after three (3) years from its date of creation unless the proxy provides for a longer period. Elections of Directors need not be by written ballot, unless otherwise provided in the Certificate of Incorporation.</w:t>
      </w:r>
    </w:p>
    <w:p>
      <w:pPr>
        <w:spacing w:after="0" w:line="96" w:lineRule="exact"/>
        <w:rPr>
          <w:sz w:val="20"/>
          <w:szCs w:val="20"/>
          <w:color w:val="auto"/>
        </w:rPr>
      </w:pPr>
    </w:p>
    <w:p>
      <w:pPr>
        <w:ind w:right="360" w:firstLine="456"/>
        <w:spacing w:after="0" w:line="304" w:lineRule="auto"/>
        <w:rPr>
          <w:sz w:val="20"/>
          <w:szCs w:val="20"/>
          <w:color w:val="auto"/>
        </w:rPr>
      </w:pPr>
      <w:r>
        <w:rPr>
          <w:rFonts w:ascii="Arial" w:cs="Arial" w:eastAsia="Arial" w:hAnsi="Arial"/>
          <w:sz w:val="15"/>
          <w:szCs w:val="15"/>
          <w:b w:val="1"/>
          <w:bCs w:val="1"/>
          <w:color w:val="auto"/>
        </w:rPr>
        <w:t xml:space="preserve">Section 3.8 </w:t>
      </w:r>
      <w:r>
        <w:rPr>
          <w:rFonts w:ascii="Arial" w:cs="Arial" w:eastAsia="Arial" w:hAnsi="Arial"/>
          <w:sz w:val="15"/>
          <w:szCs w:val="15"/>
          <w:b w:val="1"/>
          <w:bCs w:val="1"/>
          <w:u w:val="single" w:color="auto"/>
          <w:color w:val="auto"/>
        </w:rPr>
        <w:t>Joint Owners of Stock</w:t>
      </w:r>
      <w:r>
        <w:rPr>
          <w:rFonts w:ascii="Arial" w:cs="Arial" w:eastAsia="Arial" w:hAnsi="Arial"/>
          <w:sz w:val="15"/>
          <w:szCs w:val="15"/>
          <w:color w:val="auto"/>
        </w:rPr>
        <w:t>. If shares or other securities having voting power stand of record in the names of two (2) or more persons, whether</w:t>
      </w:r>
      <w:r>
        <w:rPr>
          <w:rFonts w:ascii="Arial" w:cs="Arial" w:eastAsia="Arial" w:hAnsi="Arial"/>
          <w:sz w:val="15"/>
          <w:szCs w:val="15"/>
          <w:b w:val="1"/>
          <w:bCs w:val="1"/>
          <w:color w:val="auto"/>
        </w:rPr>
        <w:t xml:space="preserve"> </w:t>
      </w:r>
      <w:r>
        <w:rPr>
          <w:rFonts w:ascii="Arial" w:cs="Arial" w:eastAsia="Arial" w:hAnsi="Arial"/>
          <w:sz w:val="15"/>
          <w:szCs w:val="15"/>
          <w:color w:val="auto"/>
        </w:rPr>
        <w:t>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w:t>
      </w:r>
    </w:p>
    <w:p>
      <w:pPr>
        <w:spacing w:after="0" w:line="3" w:lineRule="exact"/>
        <w:rPr>
          <w:sz w:val="20"/>
          <w:szCs w:val="20"/>
          <w:color w:val="auto"/>
        </w:rPr>
      </w:pPr>
    </w:p>
    <w:p>
      <w:pPr>
        <w:ind w:right="60" w:firstLine="8"/>
        <w:spacing w:after="0" w:line="295" w:lineRule="auto"/>
        <w:tabs>
          <w:tab w:leader="none" w:pos="2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votes, his act binds all; (b) if more than one (1) votes, the act of the majority so voting binds all; or (c) if more than one (1) votes, but the vote is evenly split on any particular matter, each faction may vote the securities in question proportionally, or may apply to the Delaware Court of Chancery for relief as provided in the Delaware General Corporation Law, Section 217(b). If the instrument filed with the Secretary shows that any such tenancy is held in unequal interests, a majority or even-split for the purpose of clause (c) shall be a majority or even-split in interest.</w:t>
      </w:r>
    </w:p>
    <w:p>
      <w:pPr>
        <w:spacing w:after="0" w:line="10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Section 3.9 </w:t>
      </w:r>
      <w:r>
        <w:rPr>
          <w:rFonts w:ascii="Arial" w:cs="Arial" w:eastAsia="Arial" w:hAnsi="Arial"/>
          <w:sz w:val="16"/>
          <w:szCs w:val="16"/>
          <w:b w:val="1"/>
          <w:bCs w:val="1"/>
          <w:u w:val="single" w:color="auto"/>
          <w:color w:val="auto"/>
        </w:rPr>
        <w:t>List of Stockholders</w:t>
      </w:r>
      <w:r>
        <w:rPr>
          <w:rFonts w:ascii="Arial" w:cs="Arial" w:eastAsia="Arial" w:hAnsi="Arial"/>
          <w:sz w:val="16"/>
          <w:szCs w:val="16"/>
          <w:color w:val="auto"/>
        </w:rPr>
        <w:t>. The Secretary shall prepare and make, at least ten (10) days before every meeting of stockholders, a complete list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entitled to vote at said meeting, arranged in alphabetical order,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during ordinary business hours, for a period of at least ten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If the meeting is to be held at a place, the list shall be produced and kept at the time and place of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Section 3.10 </w:t>
      </w:r>
      <w:r>
        <w:rPr>
          <w:rFonts w:ascii="Arial" w:cs="Arial" w:eastAsia="Arial" w:hAnsi="Arial"/>
          <w:sz w:val="18"/>
          <w:szCs w:val="18"/>
          <w:b w:val="1"/>
          <w:bCs w:val="1"/>
          <w:u w:val="single" w:color="auto"/>
          <w:color w:val="auto"/>
        </w:rPr>
        <w:t>No Action Without Meeting</w:t>
      </w:r>
      <w:r>
        <w:rPr>
          <w:rFonts w:ascii="Arial" w:cs="Arial" w:eastAsia="Arial" w:hAnsi="Arial"/>
          <w:sz w:val="18"/>
          <w:szCs w:val="18"/>
          <w:color w:val="auto"/>
        </w:rPr>
        <w:t>. Effective upon the closing of the corporation’s Initial Public Offering, the stockholders of the corporation may</w:t>
      </w:r>
      <w:r>
        <w:rPr>
          <w:rFonts w:ascii="Arial" w:cs="Arial" w:eastAsia="Arial" w:hAnsi="Arial"/>
          <w:sz w:val="18"/>
          <w:szCs w:val="18"/>
          <w:b w:val="1"/>
          <w:bCs w:val="1"/>
          <w:color w:val="auto"/>
        </w:rPr>
        <w:t xml:space="preserve"> </w:t>
      </w:r>
      <w:r>
        <w:rPr>
          <w:rFonts w:ascii="Arial" w:cs="Arial" w:eastAsia="Arial" w:hAnsi="Arial"/>
          <w:sz w:val="18"/>
          <w:szCs w:val="18"/>
          <w:color w:val="auto"/>
        </w:rPr>
        <w:t>not take action by written consent without a meeting and must take any actions at a duly called annual or special meeting.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3.11 Organization.</w:t>
      </w:r>
    </w:p>
    <w:p>
      <w:pPr>
        <w:spacing w:after="0" w:line="96" w:lineRule="exact"/>
        <w:rPr>
          <w:sz w:val="20"/>
          <w:szCs w:val="20"/>
          <w:color w:val="auto"/>
        </w:rPr>
      </w:pPr>
    </w:p>
    <w:p>
      <w:pPr>
        <w:ind w:right="120" w:firstLine="921"/>
        <w:spacing w:after="0" w:line="254" w:lineRule="auto"/>
        <w:tabs>
          <w:tab w:leader="none" w:pos="11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every meeting of stockholders, unless another officer of the corporation has been appointed by the Board of Directors to serve as chairman of the meeting, the Chief Executive Officer or, if the Chief Executive Officer is absent, the President, or, if the President is absent, the Chief Financial Officer or, if the Chief Financial Officer is absent, the most senior Vice President present, or, in the absence of any such officer, a chairman of the meeting chosen by a majority in interest of the stockholders entitled to vote, present in person or by proxy, shall act as chairman. Unless the Board of Directors or the chairman of the meeting shall have approved another person to serve as secretary of the meeting, the Secretary, or, in his absence, an Assistant Secretary (if any) shall act as secretary of the meeting.</w:t>
      </w:r>
    </w:p>
    <w:p>
      <w:pPr>
        <w:spacing w:after="0" w:line="144" w:lineRule="exact"/>
        <w:rPr>
          <w:rFonts w:ascii="Arial" w:cs="Arial" w:eastAsia="Arial" w:hAnsi="Arial"/>
          <w:sz w:val="18"/>
          <w:szCs w:val="18"/>
          <w:color w:val="auto"/>
        </w:rPr>
      </w:pPr>
    </w:p>
    <w:p>
      <w:pPr>
        <w:ind w:right="100" w:firstLine="921"/>
        <w:spacing w:after="0" w:line="287" w:lineRule="auto"/>
        <w:tabs>
          <w:tab w:leader="none" w:pos="11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Board of Directors of the corporation shall be entitled to make such rules, regulations and procedures for the conduct of meetings of stockholders as it shall deem necessary, appropriate or convenient. Subject to such rules, regulations and procedures of the Board of Directors, if any, the chairman of the meeting shall have the right and authority to convene and adjourn the meeting,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Unless and to the extent determined by the Board of Directors or the chairman of the meeting, meetings of stockholders shall not be required to be held in accordance with rules of parliamentary procedure.</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Section 3.12 </w:t>
      </w:r>
      <w:r>
        <w:rPr>
          <w:rFonts w:ascii="Arial" w:cs="Arial" w:eastAsia="Arial" w:hAnsi="Arial"/>
          <w:sz w:val="16"/>
          <w:szCs w:val="16"/>
          <w:b w:val="1"/>
          <w:bCs w:val="1"/>
          <w:u w:val="single" w:color="auto"/>
          <w:color w:val="auto"/>
        </w:rPr>
        <w:t>Meeting by Remote Communication</w:t>
      </w:r>
      <w:r>
        <w:rPr>
          <w:rFonts w:ascii="Arial" w:cs="Arial" w:eastAsia="Arial" w:hAnsi="Arial"/>
          <w:sz w:val="16"/>
          <w:szCs w:val="16"/>
          <w:color w:val="auto"/>
        </w:rPr>
        <w:t>. Unless otherwise restricted by the Certificate of Incorporation or these Bylaws,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may in its sole discretion permit stockholders to participate in a meeting of stockholders by means of remote communication and shall be deemed present in person and permitted to vote at such meeting, provided that (i) the corporation shall implement reasonable measures to verify that each person deemed present and permitted to vote at such meeting by means of remote communication is a stockholder, (ii) the corporation shall implement reasonable measures to provide such stockholders a reasonable opportunity to participate in such meeting and to vote on matters submitted to the stockholders, including an opportunity to read or hear the proceedings of such meeting substantially concurrently with such proceedings, and (iii) if any stockholder votes or takes other action at such meeting by means of remote communication, a record of such vote or other action shall be maintained by the corporation.</w:t>
      </w:r>
    </w:p>
    <w:p>
      <w:pPr>
        <w:spacing w:after="0" w:line="27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Number and Term of Office; Classification</w:t>
      </w:r>
      <w:r>
        <w:rPr>
          <w:rFonts w:ascii="Arial" w:cs="Arial" w:eastAsia="Arial" w:hAnsi="Arial"/>
          <w:sz w:val="18"/>
          <w:szCs w:val="18"/>
          <w:b w:val="1"/>
          <w:bCs w:val="1"/>
          <w:color w:val="auto"/>
        </w:rPr>
        <w:t>.</w:t>
      </w:r>
    </w:p>
    <w:p>
      <w:pPr>
        <w:spacing w:after="0" w:line="96" w:lineRule="exact"/>
        <w:rPr>
          <w:sz w:val="20"/>
          <w:szCs w:val="20"/>
          <w:color w:val="auto"/>
        </w:rPr>
      </w:pPr>
    </w:p>
    <w:p>
      <w:pPr>
        <w:ind w:right="120" w:firstLine="921"/>
        <w:spacing w:after="0" w:line="290" w:lineRule="auto"/>
        <w:tabs>
          <w:tab w:leader="none" w:pos="11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number of directors which shall constitute the whole Board of Directors shall be determined from time to time by the Board of Directors (provided that no decrease in the number of directors which would have the effect of shortening the term of an incumbent director may be made by the Board of Directors), provided that the number of directors shall be not less than one (1). At each annual meeting of stockholders, Directors of the corporation shall be elected to hold office until the expiration of the term for which they are elected, and until their successors have been duly elected and qualified or until such Director’s earlier death, resignation or due removal; except that if any such election shall not be so held, such election shall take place at a stockholders’ meeting called and held in accordance with the Delaware General Corporation Law. Directors need not be stockholders unless so required by the Certificate of Incorporation. If, for any reason, the Directors shall not have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been elected at an annual meeting, they may be elected as soon thereafter as convenient at a special meeting of the stockholders called for that purpose in the manner provided in these Bylaws.</w:t>
      </w:r>
    </w:p>
    <w:p>
      <w:pPr>
        <w:spacing w:after="0" w:line="132" w:lineRule="exact"/>
        <w:rPr>
          <w:sz w:val="20"/>
          <w:szCs w:val="20"/>
          <w:color w:val="auto"/>
        </w:rPr>
      </w:pPr>
    </w:p>
    <w:p>
      <w:pPr>
        <w:ind w:right="20" w:firstLine="921"/>
        <w:spacing w:after="0" w:line="288" w:lineRule="auto"/>
        <w:tabs>
          <w:tab w:leader="none" w:pos="1162" w:val="left"/>
        </w:tabs>
        <w:numPr>
          <w:ilvl w:val="0"/>
          <w:numId w:val="13"/>
        </w:numPr>
        <w:rPr>
          <w:rFonts w:ascii="Arial" w:cs="Arial" w:eastAsia="Arial" w:hAnsi="Arial"/>
          <w:sz w:val="16"/>
          <w:szCs w:val="16"/>
          <w:color w:val="auto"/>
        </w:rPr>
      </w:pPr>
      <w:r>
        <w:rPr>
          <w:rFonts w:ascii="Arial" w:cs="Arial" w:eastAsia="Arial" w:hAnsi="Arial"/>
          <w:sz w:val="16"/>
          <w:szCs w:val="16"/>
          <w:color w:val="auto"/>
        </w:rPr>
        <w:t>Effective immediately following the closing of the Initial Public Offering, the Directors of the corporation shall be divided into three classes as nearly equal in size as is practicable, hereby designated Class I, Class II and Class III. The initial Class I, Class II and Class III directors shall be those directors designated and elected by resolution of the Board of Directors or stockholders prior to the Initial Public Offering. The term of office of the initial Class I directors shall expire at the first annual meeting of stockholders following the closing of the Initial Public Offering (the “First Public Company Annual Meeting”); the term of office of the initial Class II directors shall expire at the next succeeding annual meeting of stockholders; and the term of office of the initial Class III directors shall expire at the second succeeding annual meeting of stockholders. At each annual meeting of stockholders following the First Public Company Annual Meeting, Directors to replace those of the Class whose terms expire at such annual meeting shall be elected to hold office until the third succeeding annual meeting and until their respective successors shall have been duly elected and qualified. If the number of directors is hereafter changed, any newly created directorships or decrease in directorships shall be so apportioned among the classes as to make all classes as nearly equal in number as is practicable.</w:t>
      </w:r>
    </w:p>
    <w:p>
      <w:pPr>
        <w:spacing w:after="0" w:line="11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Powers</w:t>
      </w:r>
      <w:r>
        <w:rPr>
          <w:rFonts w:ascii="Arial" w:cs="Arial" w:eastAsia="Arial" w:hAnsi="Arial"/>
          <w:sz w:val="18"/>
          <w:szCs w:val="18"/>
          <w:color w:val="auto"/>
        </w:rPr>
        <w:t>. The powers of the corporation shall be exercised, its business conducted and its property controlled by the Board of Directors, except</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otherwise provided by statute or by the Certificate of Incorporation.</w:t>
      </w:r>
    </w:p>
    <w:p>
      <w:pPr>
        <w:spacing w:after="0" w:line="120"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b w:val="1"/>
          <w:bCs w:val="1"/>
          <w:color w:val="auto"/>
        </w:rPr>
        <w:t xml:space="preserve">Section 4.3 </w:t>
      </w:r>
      <w:r>
        <w:rPr>
          <w:rFonts w:ascii="Arial" w:cs="Arial" w:eastAsia="Arial" w:hAnsi="Arial"/>
          <w:sz w:val="15"/>
          <w:szCs w:val="15"/>
          <w:b w:val="1"/>
          <w:bCs w:val="1"/>
          <w:u w:val="single" w:color="auto"/>
          <w:color w:val="auto"/>
        </w:rPr>
        <w:t>Vacancies</w:t>
      </w:r>
      <w:r>
        <w:rPr>
          <w:rFonts w:ascii="Arial" w:cs="Arial" w:eastAsia="Arial" w:hAnsi="Arial"/>
          <w:sz w:val="15"/>
          <w:szCs w:val="15"/>
          <w:color w:val="auto"/>
        </w:rPr>
        <w:t>. Vacancies occurring on the Board of Directors may be filled by vote of a majority of the remaining members of the Board of</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Directors, although less than a quorum. Each Director so elected shall hold office for the unexpired portion of the term of the Director or newly created directorship whose place shall be vacant and until his successor shall have been duly elected and qualified or until such Director’s earlier death, resignation or due removal. A vacancy in the Board of Directors shall be deemed to exist under this Section 4.3 in the case of (i) the death, removal or resignation of any Director;</w:t>
      </w:r>
    </w:p>
    <w:p>
      <w:pPr>
        <w:spacing w:after="0" w:line="3" w:lineRule="exact"/>
        <w:rPr>
          <w:sz w:val="20"/>
          <w:szCs w:val="20"/>
          <w:color w:val="auto"/>
        </w:rPr>
      </w:pPr>
    </w:p>
    <w:p>
      <w:pPr>
        <w:ind w:right="320" w:firstLine="8"/>
        <w:spacing w:after="0" w:line="255" w:lineRule="auto"/>
        <w:tabs>
          <w:tab w:leader="none" w:pos="2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the authorized number of Directors pursuant to Section 4.1(a) above; or (iii) if the stockholders fail at any meeting of stockholders at which Directors are to be elected (including any meeting referred to in Section 4.6 below) to elect the number of Directors then constituting the whole Board of Directors.</w:t>
      </w:r>
    </w:p>
    <w:p>
      <w:pPr>
        <w:spacing w:after="0" w:line="13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Section 4.4 </w:t>
      </w:r>
      <w:r>
        <w:rPr>
          <w:rFonts w:ascii="Arial" w:cs="Arial" w:eastAsia="Arial" w:hAnsi="Arial"/>
          <w:sz w:val="16"/>
          <w:szCs w:val="16"/>
          <w:b w:val="1"/>
          <w:bCs w:val="1"/>
          <w:u w:val="single" w:color="auto"/>
          <w:color w:val="auto"/>
        </w:rPr>
        <w:t>Resignation</w:t>
      </w:r>
      <w:r>
        <w:rPr>
          <w:rFonts w:ascii="Arial" w:cs="Arial" w:eastAsia="Arial" w:hAnsi="Arial"/>
          <w:sz w:val="16"/>
          <w:szCs w:val="16"/>
          <w:color w:val="auto"/>
        </w:rPr>
        <w:t>. Any Director may resign at any time by delivering his written resignation to the Secretary, such resignation to specify whether it</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111" w:lineRule="exact"/>
        <w:rPr>
          <w:sz w:val="20"/>
          <w:szCs w:val="20"/>
          <w:color w:val="auto"/>
        </w:rPr>
      </w:pPr>
    </w:p>
    <w:p>
      <w:pPr>
        <w:jc w:val="both"/>
        <w:ind w:right="140" w:firstLine="456"/>
        <w:spacing w:after="0" w:line="310" w:lineRule="auto"/>
        <w:rPr>
          <w:sz w:val="20"/>
          <w:szCs w:val="20"/>
          <w:color w:val="auto"/>
        </w:rPr>
      </w:pPr>
      <w:r>
        <w:rPr>
          <w:rFonts w:ascii="Arial" w:cs="Arial" w:eastAsia="Arial" w:hAnsi="Arial"/>
          <w:sz w:val="16"/>
          <w:szCs w:val="16"/>
          <w:b w:val="1"/>
          <w:bCs w:val="1"/>
          <w:color w:val="auto"/>
        </w:rPr>
        <w:t xml:space="preserve">Section 4.5 </w:t>
      </w:r>
      <w:r>
        <w:rPr>
          <w:rFonts w:ascii="Arial" w:cs="Arial" w:eastAsia="Arial" w:hAnsi="Arial"/>
          <w:sz w:val="16"/>
          <w:szCs w:val="16"/>
          <w:b w:val="1"/>
          <w:bCs w:val="1"/>
          <w:u w:val="single" w:color="auto"/>
          <w:color w:val="auto"/>
        </w:rPr>
        <w:t>Removal</w:t>
      </w:r>
      <w:r>
        <w:rPr>
          <w:rFonts w:ascii="Arial" w:cs="Arial" w:eastAsia="Arial" w:hAnsi="Arial"/>
          <w:sz w:val="16"/>
          <w:szCs w:val="16"/>
          <w:color w:val="auto"/>
        </w:rPr>
        <w:t>. At a special meeting of stockholders called for such purpose and in the manner provided herein, subject to any limitations imposed</w:t>
      </w:r>
      <w:r>
        <w:rPr>
          <w:rFonts w:ascii="Arial" w:cs="Arial" w:eastAsia="Arial" w:hAnsi="Arial"/>
          <w:sz w:val="16"/>
          <w:szCs w:val="16"/>
          <w:b w:val="1"/>
          <w:bCs w:val="1"/>
          <w:color w:val="auto"/>
        </w:rPr>
        <w:t xml:space="preserve"> </w:t>
      </w:r>
      <w:r>
        <w:rPr>
          <w:rFonts w:ascii="Arial" w:cs="Arial" w:eastAsia="Arial" w:hAnsi="Arial"/>
          <w:sz w:val="16"/>
          <w:szCs w:val="16"/>
          <w:color w:val="auto"/>
        </w:rPr>
        <w:t>by law or the Certificate of Incorporation, the Board of Directors, or any individual Director, may only be removed from office for cause, and a new Director or Directors shall be elected by a vote of stockholders holding a majority of the outstanding shares entitled to vote at an election of Directors.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Meetings</w:t>
      </w:r>
      <w:r>
        <w:rPr>
          <w:rFonts w:ascii="Arial" w:cs="Arial" w:eastAsia="Arial" w:hAnsi="Arial"/>
          <w:sz w:val="18"/>
          <w:szCs w:val="18"/>
          <w:color w:val="auto"/>
        </w:rPr>
        <w:t>.</w:t>
      </w:r>
    </w:p>
    <w:p>
      <w:pPr>
        <w:spacing w:after="0" w:line="96" w:lineRule="exact"/>
        <w:rPr>
          <w:sz w:val="20"/>
          <w:szCs w:val="20"/>
          <w:color w:val="auto"/>
        </w:rPr>
      </w:pPr>
    </w:p>
    <w:p>
      <w:pPr>
        <w:jc w:val="both"/>
        <w:ind w:right="60" w:firstLine="921"/>
        <w:spacing w:after="0" w:line="306" w:lineRule="auto"/>
        <w:tabs>
          <w:tab w:leader="none" w:pos="115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Annual Meetings</w:t>
      </w:r>
      <w:r>
        <w:rPr>
          <w:rFonts w:ascii="Arial" w:cs="Arial" w:eastAsia="Arial" w:hAnsi="Arial"/>
          <w:sz w:val="16"/>
          <w:szCs w:val="16"/>
          <w:color w:val="auto"/>
        </w:rPr>
        <w:t>. Unless the Board shall determine otherwise, the annual meeting of the Board of Directors shall be held immediately before or after the annual meeting of stockholders and at the place where such meeting is held. No notice of an annual meeting of the Board of Directors shall be necessary and such meeting shall be held for the purpose of electing officers and transacting such other business as may lawfully come before it.</w:t>
      </w:r>
    </w:p>
    <w:p>
      <w:pPr>
        <w:spacing w:after="0" w:line="106" w:lineRule="exact"/>
        <w:rPr>
          <w:rFonts w:ascii="Arial" w:cs="Arial" w:eastAsia="Arial" w:hAnsi="Arial"/>
          <w:sz w:val="16"/>
          <w:szCs w:val="16"/>
          <w:color w:val="auto"/>
        </w:rPr>
      </w:pPr>
    </w:p>
    <w:p>
      <w:pPr>
        <w:ind w:right="180" w:firstLine="921"/>
        <w:spacing w:after="0" w:line="268" w:lineRule="auto"/>
        <w:tabs>
          <w:tab w:leader="none" w:pos="116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Regular Meetings</w:t>
      </w:r>
      <w:r>
        <w:rPr>
          <w:rFonts w:ascii="Arial" w:cs="Arial" w:eastAsia="Arial" w:hAnsi="Arial"/>
          <w:sz w:val="18"/>
          <w:szCs w:val="18"/>
          <w:color w:val="auto"/>
        </w:rPr>
        <w:t>. Except as hereinafter otherwise provided, regular meetings of the Board of Directors shall be held in the principal executive offices of the corporation. Unless otherwise restricted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Certificate of Incorporation, regular meetings of the Board of Directors may also be held at any place within or without the State of Delaware which has been designated by resolution of the Board of Directors or the written consent of all directors.</w:t>
      </w:r>
    </w:p>
    <w:p>
      <w:pPr>
        <w:spacing w:after="0" w:line="132" w:lineRule="exact"/>
        <w:rPr>
          <w:sz w:val="20"/>
          <w:szCs w:val="20"/>
          <w:color w:val="auto"/>
        </w:rPr>
      </w:pPr>
    </w:p>
    <w:p>
      <w:pPr>
        <w:jc w:val="both"/>
        <w:ind w:firstLine="921"/>
        <w:spacing w:after="0" w:line="259" w:lineRule="auto"/>
        <w:tabs>
          <w:tab w:leader="none" w:pos="115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Special Meetings</w:t>
      </w:r>
      <w:r>
        <w:rPr>
          <w:rFonts w:ascii="Arial" w:cs="Arial" w:eastAsia="Arial" w:hAnsi="Arial"/>
          <w:sz w:val="18"/>
          <w:szCs w:val="18"/>
          <w:color w:val="auto"/>
        </w:rPr>
        <w:t>. Unless otherwise restricted by the Certificate of Incorporation, and subject to the notice requirements contained herein, special meetings of the Board of Directors may be held at any time and place within or without the State of Delaware whenever called by the Chairman of the Board, the President or any two of the Directors.</w:t>
      </w:r>
    </w:p>
    <w:p>
      <w:pPr>
        <w:spacing w:after="0" w:line="140" w:lineRule="exact"/>
        <w:rPr>
          <w:rFonts w:ascii="Arial" w:cs="Arial" w:eastAsia="Arial" w:hAnsi="Arial"/>
          <w:sz w:val="18"/>
          <w:szCs w:val="18"/>
          <w:color w:val="auto"/>
        </w:rPr>
      </w:pPr>
    </w:p>
    <w:p>
      <w:pPr>
        <w:ind w:firstLine="921"/>
        <w:spacing w:after="0" w:line="259" w:lineRule="auto"/>
        <w:tabs>
          <w:tab w:leader="none" w:pos="116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Telephone Meetings</w:t>
      </w:r>
      <w:r>
        <w:rPr>
          <w:rFonts w:ascii="Arial" w:cs="Arial" w:eastAsia="Arial" w:hAnsi="Arial"/>
          <w:sz w:val="18"/>
          <w:szCs w:val="18"/>
          <w:color w:val="auto"/>
        </w:rPr>
        <w:t>. Any member of the Board of Directors, or of any committee thereof, may participate in a meeting by means of conference telephone or similar communications equipment by means of which all persons participating in the meeting can hear each other, and participation in a meeting by such means shall constitute presence in person at such meeting.</w:t>
      </w:r>
    </w:p>
    <w:p>
      <w:pPr>
        <w:spacing w:after="0" w:line="140" w:lineRule="exact"/>
        <w:rPr>
          <w:rFonts w:ascii="Arial" w:cs="Arial" w:eastAsia="Arial" w:hAnsi="Arial"/>
          <w:sz w:val="18"/>
          <w:szCs w:val="18"/>
          <w:color w:val="auto"/>
        </w:rPr>
      </w:pPr>
    </w:p>
    <w:p>
      <w:pPr>
        <w:ind w:right="80" w:firstLine="921"/>
        <w:spacing w:after="0" w:line="254" w:lineRule="auto"/>
        <w:tabs>
          <w:tab w:leader="none" w:pos="115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Notice of Meetings</w:t>
      </w:r>
      <w:r>
        <w:rPr>
          <w:rFonts w:ascii="Arial" w:cs="Arial" w:eastAsia="Arial" w:hAnsi="Arial"/>
          <w:sz w:val="18"/>
          <w:szCs w:val="18"/>
          <w:color w:val="auto"/>
        </w:rPr>
        <w:t>. Notice of the time and place of all special meetings of the Board of Directors shall be given by mail, overnight courier service or electronic transmission, at least one (1) day before the date of the meeting. Such notice need not state the purpose or purposes of such meeting, except as may otherwise be required by law or provided for in the Certificate of Incorporation or these Bylaws. Notice of any meeting may be waived in writing, or by electronic transmission, at any time before or after the meeting and will be deemed waived by any Director by attendance thereat, except when the Director attends the meeting solely for the express purpose of objecting, at the beginning of the meeting, to the transaction of any business because the meeting is not lawfully called or convened.</w:t>
      </w:r>
    </w:p>
    <w:p>
      <w:pPr>
        <w:spacing w:after="0" w:line="144" w:lineRule="exact"/>
        <w:rPr>
          <w:rFonts w:ascii="Arial" w:cs="Arial" w:eastAsia="Arial" w:hAnsi="Arial"/>
          <w:sz w:val="18"/>
          <w:szCs w:val="18"/>
          <w:color w:val="auto"/>
        </w:rPr>
      </w:pPr>
    </w:p>
    <w:p>
      <w:pPr>
        <w:ind w:right="100" w:firstLine="921"/>
        <w:spacing w:after="0" w:line="298" w:lineRule="auto"/>
        <w:tabs>
          <w:tab w:leader="none" w:pos="113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Waiver of Notice</w:t>
      </w:r>
      <w:r>
        <w:rPr>
          <w:rFonts w:ascii="Arial" w:cs="Arial" w:eastAsia="Arial" w:hAnsi="Arial"/>
          <w:sz w:val="16"/>
          <w:szCs w:val="16"/>
          <w:color w:val="auto"/>
        </w:rPr>
        <w:t>. The transaction of all business at any meeting of the Board of Directors, or any committee thereof, however called or noticed, or wherever held, shall be as valid as though had at a meeting duly held after regular call and notice, if a quorum be present and if, either before or after such meeting, each of the Directors not present shall provide a waiver of notice in writing or by electronic transmission, or a consent to holding such meeting, or an approval of the minutes thereof. All such waivers, consents or approvals shall be filed with the corporate records or made a part of the minutes of the meeting.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4.7 </w:t>
      </w:r>
      <w:r>
        <w:rPr>
          <w:rFonts w:ascii="Arial" w:cs="Arial" w:eastAsia="Arial" w:hAnsi="Arial"/>
          <w:sz w:val="18"/>
          <w:szCs w:val="18"/>
          <w:b w:val="1"/>
          <w:bCs w:val="1"/>
          <w:u w:val="single" w:color="auto"/>
          <w:color w:val="auto"/>
        </w:rPr>
        <w:t>Quorum and Voting</w:t>
      </w:r>
      <w:r>
        <w:rPr>
          <w:rFonts w:ascii="Arial" w:cs="Arial" w:eastAsia="Arial" w:hAnsi="Arial"/>
          <w:sz w:val="18"/>
          <w:szCs w:val="18"/>
          <w:b w:val="1"/>
          <w:bCs w:val="1"/>
          <w:color w:val="auto"/>
        </w:rPr>
        <w:t>.</w:t>
      </w:r>
    </w:p>
    <w:p>
      <w:pPr>
        <w:spacing w:after="0" w:line="96" w:lineRule="exact"/>
        <w:rPr>
          <w:sz w:val="20"/>
          <w:szCs w:val="20"/>
          <w:color w:val="auto"/>
        </w:rPr>
      </w:pPr>
    </w:p>
    <w:p>
      <w:pPr>
        <w:ind w:right="60" w:firstLine="921"/>
        <w:spacing w:after="0" w:line="294" w:lineRule="auto"/>
        <w:tabs>
          <w:tab w:leader="none" w:pos="11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Unless the Certificate of Incorporation requires a greater number and except with respect to indemnification questions arising under Article XI hereof, for which a quorum shall be one-third of the exact number of Directors fixed from time to time in accordance with Section 4.1 hereof, but not less than one (1), a quorum of the Board of Directors shall consist of a majority of the exact number of directors fixed from time to time in accordance with Section 4.1 of these Bylaws, but not less than one (1); provided, however,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15" w:lineRule="exact"/>
        <w:rPr>
          <w:rFonts w:ascii="Arial" w:cs="Arial" w:eastAsia="Arial" w:hAnsi="Arial"/>
          <w:sz w:val="16"/>
          <w:szCs w:val="16"/>
          <w:color w:val="auto"/>
        </w:rPr>
      </w:pPr>
    </w:p>
    <w:p>
      <w:pPr>
        <w:ind w:right="60" w:firstLine="921"/>
        <w:spacing w:after="0" w:line="268" w:lineRule="auto"/>
        <w:tabs>
          <w:tab w:leader="none" w:pos="11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each meeting of the Board of Directors at which a quorum is present, all questions and business shall be determined by a vote of the majority of the Directors present, unless a different vote is required by law, the Certificate of Incorporation or these Bylaws.</w:t>
      </w:r>
    </w:p>
    <w:p>
      <w:pPr>
        <w:spacing w:after="0" w:line="126"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Action Without Meetin</w:t>
      </w:r>
      <w:r>
        <w:rPr>
          <w:rFonts w:ascii="Arial" w:cs="Arial" w:eastAsia="Arial" w:hAnsi="Arial"/>
          <w:sz w:val="16"/>
          <w:szCs w:val="16"/>
          <w:b w:val="1"/>
          <w:bCs w:val="1"/>
          <w:color w:val="auto"/>
        </w:rPr>
        <w:t>g</w:t>
      </w:r>
      <w:r>
        <w:rPr>
          <w:rFonts w:ascii="Arial" w:cs="Arial" w:eastAsia="Arial" w:hAnsi="Arial"/>
          <w:sz w:val="16"/>
          <w:szCs w:val="16"/>
          <w:color w:val="auto"/>
        </w:rPr>
        <w:t>. Unless otherwise restricted by the Certificate of Incorporation or these Bylaws, any action required or permitted to</w:t>
      </w:r>
      <w:r>
        <w:rPr>
          <w:rFonts w:ascii="Arial" w:cs="Arial" w:eastAsia="Arial" w:hAnsi="Arial"/>
          <w:sz w:val="16"/>
          <w:szCs w:val="16"/>
          <w:b w:val="1"/>
          <w:bCs w:val="1"/>
          <w:color w:val="auto"/>
        </w:rPr>
        <w:t xml:space="preserve"> </w:t>
      </w:r>
      <w:r>
        <w:rPr>
          <w:rFonts w:ascii="Arial" w:cs="Arial" w:eastAsia="Arial" w:hAnsi="Arial"/>
          <w:sz w:val="16"/>
          <w:szCs w:val="16"/>
          <w:color w:val="auto"/>
        </w:rPr>
        <w:t>be taken at any meeting of the Board of Directors or of any committee thereof may be taken without a meeting, if all members of the Board of Directors or committee, as the case may be, consent thereto in writing or by electronic transmission, and such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08"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b w:val="1"/>
          <w:bCs w:val="1"/>
          <w:u w:val="single" w:color="auto"/>
          <w:color w:val="auto"/>
        </w:rPr>
        <w:t>Fees and Compensation</w:t>
      </w:r>
      <w:r>
        <w:rPr>
          <w:rFonts w:ascii="Arial" w:cs="Arial" w:eastAsia="Arial" w:hAnsi="Arial"/>
          <w:sz w:val="18"/>
          <w:szCs w:val="18"/>
          <w:color w:val="auto"/>
        </w:rPr>
        <w:t>. Directors shall be entitled to such compensation for their services as may be approved by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if so approved, by resolution of the Board of</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Committees</w:t>
      </w:r>
      <w:r>
        <w:rPr>
          <w:rFonts w:ascii="Arial" w:cs="Arial" w:eastAsia="Arial" w:hAnsi="Arial"/>
          <w:sz w:val="18"/>
          <w:szCs w:val="18"/>
          <w:color w:val="auto"/>
        </w:rPr>
        <w:t>.</w:t>
      </w:r>
    </w:p>
    <w:p>
      <w:pPr>
        <w:spacing w:after="0" w:line="96" w:lineRule="exact"/>
        <w:rPr>
          <w:sz w:val="20"/>
          <w:szCs w:val="20"/>
          <w:color w:val="auto"/>
        </w:rPr>
      </w:pPr>
    </w:p>
    <w:p>
      <w:pPr>
        <w:ind w:right="40" w:firstLine="921"/>
        <w:spacing w:after="0" w:line="291" w:lineRule="auto"/>
        <w:tabs>
          <w:tab w:leader="none" w:pos="115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Executive Committee</w:t>
      </w:r>
      <w:r>
        <w:rPr>
          <w:rFonts w:ascii="Arial" w:cs="Arial" w:eastAsia="Arial" w:hAnsi="Arial"/>
          <w:sz w:val="16"/>
          <w:szCs w:val="16"/>
          <w:color w:val="auto"/>
        </w:rPr>
        <w:t>. The Board of Directors may by resolution passed by a majority of the whole Board of Directors appoint an Executive Committee to consist of one (1) or more members of the Board of Directors. The Executive Committee, to the extent permitted by law and specifically granted by the Board of Directors, shall have, and may exercise when the Board of Directors is not in session, all powers of the Board of Directors in the management of the business and affairs of the corporation except such committee shall not have the power or authority to amend the Certificate of Incorporation, to adopt an agreement of merger or consolidation, to recommend to the stockholders the sale, lease or exchange of all or substantially all of the corporation’s property and assets, to recommend to the stockholders of the corporation a dissolution of the corporation or a revocation of a dissolution, or to amend these Bylaws.</w:t>
      </w:r>
    </w:p>
    <w:p>
      <w:pPr>
        <w:spacing w:after="0" w:line="120" w:lineRule="exact"/>
        <w:rPr>
          <w:rFonts w:ascii="Arial" w:cs="Arial" w:eastAsia="Arial" w:hAnsi="Arial"/>
          <w:sz w:val="16"/>
          <w:szCs w:val="16"/>
          <w:color w:val="auto"/>
        </w:rPr>
      </w:pPr>
    </w:p>
    <w:p>
      <w:pPr>
        <w:jc w:val="both"/>
        <w:ind w:right="100" w:firstLine="921"/>
        <w:spacing w:after="0" w:line="298" w:lineRule="auto"/>
        <w:tabs>
          <w:tab w:leader="none" w:pos="1161"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Other Committees</w:t>
      </w:r>
      <w:r>
        <w:rPr>
          <w:rFonts w:ascii="Arial" w:cs="Arial" w:eastAsia="Arial" w:hAnsi="Arial"/>
          <w:sz w:val="16"/>
          <w:szCs w:val="16"/>
          <w:color w:val="auto"/>
        </w:rPr>
        <w:t>. The Board of Directors may, by resolution passed by a majority of the whole Board of Directors, from time to time appoint such other committees as may be permitted by law. Such 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12" w:lineRule="exact"/>
        <w:rPr>
          <w:rFonts w:ascii="Arial" w:cs="Arial" w:eastAsia="Arial" w:hAnsi="Arial"/>
          <w:sz w:val="16"/>
          <w:szCs w:val="16"/>
          <w:color w:val="auto"/>
        </w:rPr>
      </w:pPr>
    </w:p>
    <w:p>
      <w:pPr>
        <w:ind w:firstLine="921"/>
        <w:spacing w:after="0" w:line="288" w:lineRule="auto"/>
        <w:tabs>
          <w:tab w:leader="none" w:pos="115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Each member of a committee of the Board of Directors shall serve a term on the committee coexistent with such member’s term on the Board of Directors. The Board of Directors, subject to the provisions of paragraphs (a) and (b) of this Section 4.10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19" w:lineRule="exact"/>
        <w:rPr>
          <w:rFonts w:ascii="Arial" w:cs="Arial" w:eastAsia="Arial" w:hAnsi="Arial"/>
          <w:sz w:val="16"/>
          <w:szCs w:val="16"/>
          <w:color w:val="auto"/>
        </w:rPr>
      </w:pPr>
    </w:p>
    <w:p>
      <w:pPr>
        <w:ind w:right="20" w:firstLine="921"/>
        <w:spacing w:after="0" w:line="286" w:lineRule="auto"/>
        <w:tabs>
          <w:tab w:leader="none" w:pos="1161"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Unless the Board of Directors shall otherwise provide, regular meetings of the Executive Committee or any other committee appointed pursuant to this Section 4.10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solely for the express purpose of objecting, at the beginning of the meeting, to the transaction of any business because the meeting is not lawfully called or convened. A majority of the authorized number of members of any such committee shall constitute a quorum for the transaction of business, and the act of a majority of those present at any meeting at which a quorum is present shall be the act of such committee. The Secretary of the corporation or, in the absence of the Secretary, any person appointed by the chairman of the meeting, or, in the absence of a chairman, any person appointed by a majority of the members of the committee present, shall act as secretary of such meeting.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b w:val="1"/>
          <w:bCs w:val="1"/>
          <w:u w:val="single" w:color="auto"/>
          <w:color w:val="auto"/>
        </w:rPr>
        <w:t>Organization</w:t>
      </w:r>
      <w:r>
        <w:rPr>
          <w:rFonts w:ascii="Arial" w:cs="Arial" w:eastAsia="Arial" w:hAnsi="Arial"/>
          <w:sz w:val="18"/>
          <w:szCs w:val="18"/>
          <w:color w:val="auto"/>
        </w:rPr>
        <w:t>.</w:t>
      </w:r>
    </w:p>
    <w:p>
      <w:pPr>
        <w:spacing w:after="0" w:line="96" w:lineRule="exact"/>
        <w:rPr>
          <w:sz w:val="20"/>
          <w:szCs w:val="20"/>
          <w:color w:val="auto"/>
        </w:rPr>
      </w:pPr>
    </w:p>
    <w:p>
      <w:pPr>
        <w:ind w:right="20" w:firstLine="921"/>
        <w:spacing w:after="0" w:line="294" w:lineRule="auto"/>
        <w:tabs>
          <w:tab w:leader="none" w:pos="115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Chairman of the Board of Directors</w:t>
      </w:r>
      <w:r>
        <w:rPr>
          <w:rFonts w:ascii="Arial" w:cs="Arial" w:eastAsia="Arial" w:hAnsi="Arial"/>
          <w:sz w:val="16"/>
          <w:szCs w:val="16"/>
          <w:color w:val="auto"/>
        </w:rPr>
        <w:t>. The Board of Directors shall elect a Chairman of the Board of Directors from its membership. The Chairman of the Board of Directors, when present, shall preside at all meetings of the Board of Directors. The Chairman of the Board of Directors shall have such other powers as the Board of Directors shall designate from time to time. The Chairman of the Board of Directors shall not be deemed to be an officer of the corporation solely by virtue of appointment as the Chairman of the Board of Directors, such status as an officer only being conferred if and to the extent such person is elected as an officer of the corporation pursuant to Article V of these Bylaws.</w:t>
      </w:r>
    </w:p>
    <w:p>
      <w:pPr>
        <w:spacing w:after="0" w:line="115" w:lineRule="exact"/>
        <w:rPr>
          <w:rFonts w:ascii="Arial" w:cs="Arial" w:eastAsia="Arial" w:hAnsi="Arial"/>
          <w:sz w:val="16"/>
          <w:szCs w:val="16"/>
          <w:color w:val="auto"/>
        </w:rPr>
      </w:pPr>
    </w:p>
    <w:p>
      <w:pPr>
        <w:ind w:right="100" w:firstLine="921"/>
        <w:spacing w:after="0" w:line="294" w:lineRule="auto"/>
        <w:tabs>
          <w:tab w:leader="none" w:pos="1161"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Vice Chairman of the Board of Directors</w:t>
      </w:r>
      <w:r>
        <w:rPr>
          <w:rFonts w:ascii="Arial" w:cs="Arial" w:eastAsia="Arial" w:hAnsi="Arial"/>
          <w:sz w:val="16"/>
          <w:szCs w:val="16"/>
          <w:color w:val="auto"/>
        </w:rPr>
        <w:t>. The Board of Directors may, but is not required to, elect a Vice Chairman of the Board of Directors from its membership. If there is no Chairman of the Board of Directors or if the Chairman of the Board of Directors is not present at a meeting of the Board of Directors, the Vice Chairman of the Board of Directors, if any, shall preside as chairman of any such meeting. The Vice Chairman of the Board of Directors shall not be deemed to be an officer of the corporation solely by virtue of appointment as the Vice Chairman of the Board of Directors, such status as an officer only being conferred if and to the extent such person is elected as an officer of the corporation pursuant to Article V of these Bylaws.</w:t>
      </w:r>
    </w:p>
    <w:p>
      <w:pPr>
        <w:spacing w:after="0" w:line="115" w:lineRule="exact"/>
        <w:rPr>
          <w:rFonts w:ascii="Arial" w:cs="Arial" w:eastAsia="Arial" w:hAnsi="Arial"/>
          <w:sz w:val="16"/>
          <w:szCs w:val="16"/>
          <w:color w:val="auto"/>
        </w:rPr>
      </w:pPr>
    </w:p>
    <w:p>
      <w:pPr>
        <w:ind w:right="360" w:firstLine="921"/>
        <w:spacing w:after="0" w:line="332" w:lineRule="auto"/>
        <w:tabs>
          <w:tab w:leader="none" w:pos="115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Meetings in Absence of Chairman or Vice Chairman</w:t>
      </w:r>
      <w:r>
        <w:rPr>
          <w:rFonts w:ascii="Arial" w:cs="Arial" w:eastAsia="Arial" w:hAnsi="Arial"/>
          <w:sz w:val="16"/>
          <w:szCs w:val="16"/>
          <w:color w:val="auto"/>
        </w:rPr>
        <w:t>. In the event that the Chairman and the Vice Chairman of the Board of Directors are not present at a meeting of the Board of Directors, a chairman chosen by a majority of the Directors present shall act as chairman of such meeting.</w:t>
      </w: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OFFICERS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Officers Designated</w:t>
      </w:r>
      <w:r>
        <w:rPr>
          <w:rFonts w:ascii="Arial" w:cs="Arial" w:eastAsia="Arial" w:hAnsi="Arial"/>
          <w:sz w:val="18"/>
          <w:szCs w:val="18"/>
          <w:color w:val="auto"/>
        </w:rPr>
        <w:t>. The officers of the corporation shall be a Chief Executive Officer, a President, a Secretary, and a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The Board of Directors may, in its discretion, create additional offices and assign such duties to such officers as it may deem appropriate from time to time, which such officers may include without limitation a Treasurer, a Chief Operating Officer, one or more executive and non-executive Vice Presidents (any one or more of which such executive Vice Presidents may be designated as Executive Vice President or Senior Vice President or other similar title), one or more Assistant Secretaries, one or more Assistant Treasurers. Any number of offices may be held by the same person unless otherwise prohibited by applicable law, the Certificate of Incorporation or these Bylaws.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8"/>
          <w:szCs w:val="18"/>
          <w:b w:val="1"/>
          <w:bCs w:val="1"/>
          <w:u w:val="single" w:color="auto"/>
          <w:color w:val="auto"/>
        </w:rPr>
        <w:t>Tenure and Duties of Officers</w:t>
      </w:r>
      <w:r>
        <w:rPr>
          <w:rFonts w:ascii="Arial" w:cs="Arial" w:eastAsia="Arial" w:hAnsi="Arial"/>
          <w:sz w:val="18"/>
          <w:szCs w:val="18"/>
          <w:b w:val="1"/>
          <w:bCs w:val="1"/>
          <w:color w:val="auto"/>
        </w:rPr>
        <w:t>.</w:t>
      </w:r>
    </w:p>
    <w:p>
      <w:pPr>
        <w:spacing w:after="0" w:line="96" w:lineRule="exact"/>
        <w:rPr>
          <w:sz w:val="20"/>
          <w:szCs w:val="20"/>
          <w:color w:val="auto"/>
        </w:rPr>
      </w:pPr>
    </w:p>
    <w:p>
      <w:pPr>
        <w:ind w:right="340" w:firstLine="921"/>
        <w:spacing w:after="0" w:line="259" w:lineRule="auto"/>
        <w:tabs>
          <w:tab w:leader="none" w:pos="115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Except as otherwise provided in these Bylaws, the officers of the corporation, shall be appointed by the Board of Directors and shall exercise such powers, perform such duties and hold such office for such terms as shall be determined from time to time by the Board of Directors, until such officer’s successor is elected and qualified, or until such officer’s earlier death, resignation or removal.</w:t>
      </w:r>
    </w:p>
    <w:p>
      <w:pPr>
        <w:spacing w:after="0" w:line="140" w:lineRule="exact"/>
        <w:rPr>
          <w:rFonts w:ascii="Arial" w:cs="Arial" w:eastAsia="Arial" w:hAnsi="Arial"/>
          <w:sz w:val="18"/>
          <w:szCs w:val="18"/>
          <w:color w:val="auto"/>
        </w:rPr>
      </w:pPr>
    </w:p>
    <w:p>
      <w:pPr>
        <w:ind w:right="80" w:firstLine="921"/>
        <w:spacing w:after="0" w:line="254" w:lineRule="auto"/>
        <w:tabs>
          <w:tab w:leader="none" w:pos="1161"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Duties of the Chief Executive Officer</w:t>
      </w:r>
      <w:r>
        <w:rPr>
          <w:rFonts w:ascii="Arial" w:cs="Arial" w:eastAsia="Arial" w:hAnsi="Arial"/>
          <w:sz w:val="18"/>
          <w:szCs w:val="18"/>
          <w:color w:val="auto"/>
        </w:rPr>
        <w:t>. Subject to the control of the Board of Directors, the Chief Executive Officer of the corporation shall have general supervision, direction, and control of the business and the officers of the corporation, and shall perform the duties of the President at such times when the President is absent. He shall have the general powers and duties of management usually vested in the office of Chief Executive Officer of a corporation and shall have such other powers and duties as may be prescribed by the Board of Directors or these Bylaws. Unless the Board of Directors otherwise determines (including by election of a President), the Chief Executive Officer hold the office and perform the duties of the President at such times when a President is not in office.</w:t>
      </w:r>
    </w:p>
    <w:p>
      <w:pPr>
        <w:spacing w:after="0" w:line="144" w:lineRule="exact"/>
        <w:rPr>
          <w:rFonts w:ascii="Arial" w:cs="Arial" w:eastAsia="Arial" w:hAnsi="Arial"/>
          <w:sz w:val="18"/>
          <w:szCs w:val="18"/>
          <w:color w:val="auto"/>
        </w:rPr>
      </w:pPr>
    </w:p>
    <w:p>
      <w:pPr>
        <w:ind w:firstLine="921"/>
        <w:spacing w:after="0" w:line="259" w:lineRule="auto"/>
        <w:tabs>
          <w:tab w:leader="none" w:pos="115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Duties of President</w:t>
      </w:r>
      <w:r>
        <w:rPr>
          <w:rFonts w:ascii="Arial" w:cs="Arial" w:eastAsia="Arial" w:hAnsi="Arial"/>
          <w:sz w:val="18"/>
          <w:szCs w:val="18"/>
          <w:color w:val="auto"/>
        </w:rPr>
        <w:t>. Subject to the control of the Board of Directors and such supervisory powers as may be given by the Board of Directors to the Chief Executive Officer, the President shall have general supervision, direction, and control of the business and other officers of the corporation. He shall have the general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powers and duties of management usually vested in the office of president of a corporation and such other powers and duties as may be prescribed by the Board of Directors or these Bylaws. Unless the Board of Directors otherwise determines (including by election of a Chief Executive Officer), the President shall hold the office and perform the duties of the Chief Executive Officer at such times when a Chief Executive Officer is not in office.</w:t>
      </w:r>
    </w:p>
    <w:p>
      <w:pPr>
        <w:spacing w:after="0" w:line="107" w:lineRule="exact"/>
        <w:rPr>
          <w:sz w:val="20"/>
          <w:szCs w:val="20"/>
          <w:color w:val="auto"/>
        </w:rPr>
      </w:pPr>
    </w:p>
    <w:p>
      <w:pPr>
        <w:jc w:val="both"/>
        <w:ind w:right="220" w:firstLine="921"/>
        <w:spacing w:after="0" w:line="298" w:lineRule="auto"/>
        <w:tabs>
          <w:tab w:leader="none" w:pos="1161"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Duties of Vice Presidents</w:t>
      </w:r>
      <w:r>
        <w:rPr>
          <w:rFonts w:ascii="Arial" w:cs="Arial" w:eastAsia="Arial" w:hAnsi="Arial"/>
          <w:sz w:val="16"/>
          <w:szCs w:val="16"/>
          <w:color w:val="auto"/>
        </w:rPr>
        <w:t>. In the absence or disability of the Chief Executive Officer and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these Bylaws or the President.</w:t>
      </w:r>
    </w:p>
    <w:p>
      <w:pPr>
        <w:spacing w:after="0" w:line="112" w:lineRule="exact"/>
        <w:rPr>
          <w:rFonts w:ascii="Arial" w:cs="Arial" w:eastAsia="Arial" w:hAnsi="Arial"/>
          <w:sz w:val="16"/>
          <w:szCs w:val="16"/>
          <w:color w:val="auto"/>
        </w:rPr>
      </w:pPr>
    </w:p>
    <w:p>
      <w:pPr>
        <w:ind w:right="80" w:firstLine="921"/>
        <w:spacing w:after="0" w:line="309" w:lineRule="auto"/>
        <w:tabs>
          <w:tab w:leader="none" w:pos="1152"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Duties of Secretary</w:t>
      </w:r>
      <w:r>
        <w:rPr>
          <w:rFonts w:ascii="Arial" w:cs="Arial" w:eastAsia="Arial" w:hAnsi="Arial"/>
          <w:sz w:val="15"/>
          <w:szCs w:val="15"/>
          <w:color w:val="auto"/>
        </w:rPr>
        <w:t>. 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 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(if any) evidencing such shares, and the number and date of cancellation of every such certificate surrendered for cancellation. The Secretary shall give, or cause to be given, notice of all meetings of the stockholders and of the Board of Directors required to be given by law or by these Bylaws. He shall keep the seal of the corporation, if one be adopted, in safe custody and shall have such other powers and perform such other duties as may be prescribed by the Board of Directors or by these Bylaws.</w:t>
      </w:r>
    </w:p>
    <w:p>
      <w:pPr>
        <w:spacing w:after="0" w:line="108" w:lineRule="exact"/>
        <w:rPr>
          <w:rFonts w:ascii="Arial" w:cs="Arial" w:eastAsia="Arial" w:hAnsi="Arial"/>
          <w:sz w:val="15"/>
          <w:szCs w:val="15"/>
          <w:color w:val="auto"/>
        </w:rPr>
      </w:pPr>
    </w:p>
    <w:p>
      <w:pPr>
        <w:ind w:firstLine="921"/>
        <w:spacing w:after="0" w:line="289" w:lineRule="auto"/>
        <w:tabs>
          <w:tab w:leader="none" w:pos="1132"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Duties of Chief Financial Officer</w:t>
      </w:r>
      <w:r>
        <w:rPr>
          <w:rFonts w:ascii="Arial" w:cs="Arial" w:eastAsia="Arial" w:hAnsi="Arial"/>
          <w:sz w:val="16"/>
          <w:szCs w:val="16"/>
          <w:color w:val="auto"/>
        </w:rPr>
        <w:t>. The Chief Financial Officer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 The Chief Financial Officer shall deposit all moneys and other valuables in the name and to the credit of the corporation with such depositories as may be designated by the Board of Directors. He shall disburse the funds of the corporation as may be ordered by the Board of Directors, shall render to the president, the Chief Executive Officer, or the directors, upon request, an account of all his transactions as Chief Financial Officer and of the financial condition of the corporation, and shall have other powers and perform such other duties as may be prescribed by the Board of Directors or the Bylaws. The Treasurer, if any be designated, may, but need not serve as the Chief Financial Officer.</w:t>
      </w:r>
    </w:p>
    <w:p>
      <w:pPr>
        <w:spacing w:after="0" w:line="11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Subordinate Officers</w:t>
      </w:r>
      <w:r>
        <w:rPr>
          <w:rFonts w:ascii="Arial" w:cs="Arial" w:eastAsia="Arial" w:hAnsi="Arial"/>
          <w:sz w:val="18"/>
          <w:szCs w:val="18"/>
          <w:color w:val="auto"/>
        </w:rPr>
        <w:t>. The Board of Directors may appoint, or empower the Chief Executive Officer, the President or any other officer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to appoint, such other officers and agents as the business of the corporation may require, each of whom shall perform such duties, have such authority, and hold office for such period, as the Board of Directors may from time to time determine in accordance with these Bylaws, until such officer’s successor is elected and qualified, or until such officer’s earlier death, resignation or removal.</w:t>
      </w:r>
    </w:p>
    <w:p>
      <w:pPr>
        <w:spacing w:after="0" w:line="136"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 xml:space="preserve">Section 5.4 </w:t>
      </w:r>
      <w:r>
        <w:rPr>
          <w:rFonts w:ascii="Arial" w:cs="Arial" w:eastAsia="Arial" w:hAnsi="Arial"/>
          <w:sz w:val="16"/>
          <w:szCs w:val="16"/>
          <w:b w:val="1"/>
          <w:bCs w:val="1"/>
          <w:u w:val="single" w:color="auto"/>
          <w:color w:val="auto"/>
        </w:rPr>
        <w:t>Delegation of Authority</w:t>
      </w:r>
      <w:r>
        <w:rPr>
          <w:rFonts w:ascii="Arial" w:cs="Arial" w:eastAsia="Arial" w:hAnsi="Arial"/>
          <w:sz w:val="16"/>
          <w:szCs w:val="16"/>
          <w:color w:val="auto"/>
        </w:rPr>
        <w:t>. For any reason that the Board of Directors may deem sufficient, the Board of Directors may, except where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statute, delegate the powers or duties of any officer to any other person, and may authorize any officer to delegate specified duties of such office to any other person. Any such delegation or authorization by the Board shall be effected from time to time by resolution of the Board of Directors.</w:t>
      </w:r>
    </w:p>
    <w:p>
      <w:pPr>
        <w:spacing w:after="0" w:line="97"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Section 5.5 </w:t>
      </w:r>
      <w:r>
        <w:rPr>
          <w:rFonts w:ascii="Arial" w:cs="Arial" w:eastAsia="Arial" w:hAnsi="Arial"/>
          <w:sz w:val="16"/>
          <w:szCs w:val="16"/>
          <w:b w:val="1"/>
          <w:bCs w:val="1"/>
          <w:u w:val="single" w:color="auto"/>
          <w:color w:val="auto"/>
        </w:rPr>
        <w:t>Resignations</w:t>
      </w:r>
      <w:r>
        <w:rPr>
          <w:rFonts w:ascii="Arial" w:cs="Arial" w:eastAsia="Arial" w:hAnsi="Arial"/>
          <w:sz w:val="16"/>
          <w:szCs w:val="16"/>
          <w:color w:val="auto"/>
        </w:rPr>
        <w:t>. Any officer may resign at any time by giving written notice to the Board of Directors or to the President or to the Secretary. Any</w:t>
      </w:r>
      <w:r>
        <w:rPr>
          <w:rFonts w:ascii="Arial" w:cs="Arial" w:eastAsia="Arial" w:hAnsi="Arial"/>
          <w:sz w:val="16"/>
          <w:szCs w:val="16"/>
          <w:b w:val="1"/>
          <w:bCs w:val="1"/>
          <w:color w:val="auto"/>
        </w:rPr>
        <w:t xml:space="preserve"> </w:t>
      </w:r>
      <w:r>
        <w:rPr>
          <w:rFonts w:ascii="Arial" w:cs="Arial" w:eastAsia="Arial" w:hAnsi="Arial"/>
          <w:sz w:val="16"/>
          <w:szCs w:val="16"/>
          <w:color w:val="auto"/>
        </w:rPr>
        <w:t>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339" w:lineRule="auto"/>
        <w:rPr>
          <w:sz w:val="20"/>
          <w:szCs w:val="20"/>
          <w:color w:val="auto"/>
        </w:rPr>
      </w:pPr>
      <w:r>
        <w:rPr>
          <w:rFonts w:ascii="Arial" w:cs="Arial" w:eastAsia="Arial" w:hAnsi="Arial"/>
          <w:sz w:val="16"/>
          <w:szCs w:val="16"/>
          <w:b w:val="1"/>
          <w:bCs w:val="1"/>
          <w:color w:val="auto"/>
        </w:rPr>
        <w:t xml:space="preserve">Section 5.6 </w:t>
      </w:r>
      <w:r>
        <w:rPr>
          <w:rFonts w:ascii="Arial" w:cs="Arial" w:eastAsia="Arial" w:hAnsi="Arial"/>
          <w:sz w:val="16"/>
          <w:szCs w:val="16"/>
          <w:b w:val="1"/>
          <w:bCs w:val="1"/>
          <w:u w:val="single" w:color="auto"/>
          <w:color w:val="auto"/>
        </w:rPr>
        <w:t>Removal</w:t>
      </w:r>
      <w:r>
        <w:rPr>
          <w:rFonts w:ascii="Arial" w:cs="Arial" w:eastAsia="Arial" w:hAnsi="Arial"/>
          <w:sz w:val="16"/>
          <w:szCs w:val="16"/>
          <w:color w:val="auto"/>
        </w:rPr>
        <w:t>. Any officer may be removed from office at any time, either with or without cause, by the vote or written consent of a majority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in office at the time, or by any committee or superior officers upon whom such power of removal may have been conferred by the Board of Directors.</w:t>
      </w:r>
    </w:p>
    <w:p>
      <w:pPr>
        <w:spacing w:after="0" w:line="74"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Section 5.7 </w:t>
      </w:r>
      <w:r>
        <w:rPr>
          <w:rFonts w:ascii="Arial" w:cs="Arial" w:eastAsia="Arial" w:hAnsi="Arial"/>
          <w:sz w:val="18"/>
          <w:szCs w:val="18"/>
          <w:b w:val="1"/>
          <w:bCs w:val="1"/>
          <w:u w:val="single" w:color="auto"/>
          <w:color w:val="auto"/>
        </w:rPr>
        <w:t>Vacancies in Offices</w:t>
      </w:r>
      <w:r>
        <w:rPr>
          <w:rFonts w:ascii="Arial" w:cs="Arial" w:eastAsia="Arial" w:hAnsi="Arial"/>
          <w:sz w:val="18"/>
          <w:szCs w:val="18"/>
          <w:color w:val="auto"/>
        </w:rPr>
        <w:t>. Any vacancy occurring in any office of the corporation shall be filled by the Board of Directors or by any officer upon</w:t>
      </w:r>
      <w:r>
        <w:rPr>
          <w:rFonts w:ascii="Arial" w:cs="Arial" w:eastAsia="Arial" w:hAnsi="Arial"/>
          <w:sz w:val="18"/>
          <w:szCs w:val="18"/>
          <w:b w:val="1"/>
          <w:bCs w:val="1"/>
          <w:color w:val="auto"/>
        </w:rPr>
        <w:t xml:space="preserve"> </w:t>
      </w:r>
      <w:r>
        <w:rPr>
          <w:rFonts w:ascii="Arial" w:cs="Arial" w:eastAsia="Arial" w:hAnsi="Arial"/>
          <w:sz w:val="18"/>
          <w:szCs w:val="18"/>
          <w:color w:val="auto"/>
        </w:rPr>
        <w:t>whom such power may be conferred by the Board of Directors.</w:t>
      </w:r>
    </w:p>
    <w:p>
      <w:pPr>
        <w:spacing w:after="0" w:line="12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Authority and Duties of Officers</w:t>
      </w:r>
      <w:r>
        <w:rPr>
          <w:rFonts w:ascii="Arial" w:cs="Arial" w:eastAsia="Arial" w:hAnsi="Arial"/>
          <w:sz w:val="18"/>
          <w:szCs w:val="18"/>
          <w:color w:val="auto"/>
        </w:rPr>
        <w:t>. In addition to the foregoing authority and duties, all officers of the corporation shall respectively have such</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and perform such duties in the management of the business of the corporation as may be designated from time to time by the Board of Directors or these Bylaws.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EXECUTION OF CORPORATE INSTRUMENTS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VOTING OF SECURITIES OWNED BY THE CORPORATION</w:t>
      </w:r>
    </w:p>
    <w:p>
      <w:pPr>
        <w:spacing w:after="0" w:line="171"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b w:val="1"/>
          <w:bCs w:val="1"/>
          <w:u w:val="single" w:color="auto"/>
          <w:color w:val="auto"/>
        </w:rPr>
        <w:t>Execution of Corporate Instruments</w:t>
      </w:r>
      <w:r>
        <w:rPr>
          <w:rFonts w:ascii="Arial" w:cs="Arial" w:eastAsia="Arial" w:hAnsi="Arial"/>
          <w:sz w:val="18"/>
          <w:szCs w:val="18"/>
          <w:color w:val="auto"/>
        </w:rPr>
        <w:t>. The Board of Directors may, in its discretion, determine the method and designate the signatory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4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Unless otherwise specifically determined by the Board of Directors or otherwise required by law, promissory notes, deeds of trust, mortgages and other evidences of indebtedness of the corporation, and other corporate instruments or documents requiring the corporate seal, and certificates of shares of stock owned by the corporation, shall be executed, signed or endorsed by the Chief Executive Officer, President, any executive Vice President, Chief Financial Officer, Chief Operating Officer (if any), Treasurer (if any), or, upon the authority conferred by the Board of Directors, President or Chief Executive Officer, any non-executive Vice President, and by the Secretary, Assistant Secretary (if any) or Assistant Treasurer (if any). All other instruments and documents requiring the corporate signature, but not requiring the corporate seal, may be executed as aforesaid or in such other manner as may be directed by the Board of Directors.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79"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 xml:space="preserve">Section 6.2 </w:t>
      </w:r>
      <w:r>
        <w:rPr>
          <w:rFonts w:ascii="Arial" w:cs="Arial" w:eastAsia="Arial" w:hAnsi="Arial"/>
          <w:sz w:val="16"/>
          <w:szCs w:val="16"/>
          <w:b w:val="1"/>
          <w:bCs w:val="1"/>
          <w:u w:val="single" w:color="auto"/>
          <w:color w:val="auto"/>
        </w:rPr>
        <w:t>Voting of Securities Owned by the Corporation</w:t>
      </w:r>
      <w:r>
        <w:rPr>
          <w:rFonts w:ascii="Arial" w:cs="Arial" w:eastAsia="Arial" w:hAnsi="Arial"/>
          <w:sz w:val="16"/>
          <w:szCs w:val="16"/>
          <w:color w:val="auto"/>
        </w:rPr>
        <w:t>. All stock and other securities of other corporations owned or held by the corporation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itself, or for other parties in any capacity, shall be voted, and all proxies with respect thereto shall be executed by the person authorized so to do by resolution of the Board of Directors, or, in the absence of such authorization, by the Chairman or Vice Chairman of the Board of Directors, Chief Executive Officer, President, any executive Vice President, Chief Financial Officer, Chief Operating Officer (if any), or Treasurer (if 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SHARES OF STOCK</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color w:val="auto"/>
        </w:rPr>
        <w:t xml:space="preserve">Section 7.1 </w:t>
      </w:r>
      <w:r>
        <w:rPr>
          <w:rFonts w:ascii="Arial" w:cs="Arial" w:eastAsia="Arial" w:hAnsi="Arial"/>
          <w:sz w:val="16"/>
          <w:szCs w:val="16"/>
          <w:b w:val="1"/>
          <w:bCs w:val="1"/>
          <w:u w:val="single" w:color="auto"/>
          <w:color w:val="auto"/>
        </w:rPr>
        <w:t>Form and Execution of Certificates</w:t>
      </w:r>
      <w:r>
        <w:rPr>
          <w:rFonts w:ascii="Arial" w:cs="Arial" w:eastAsia="Arial" w:hAnsi="Arial"/>
          <w:sz w:val="16"/>
          <w:szCs w:val="16"/>
          <w:color w:val="auto"/>
        </w:rPr>
        <w:t>. Certificates for the shares of stock of the corporation shall be in such form as is consistent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and applicable law. Every holder of stock in the corporation shall be entitled to have a certificate signed by or in the name of the corporation by the Chief Executive Officer, the President or any executive Vice President and by the Secretary or an Assistant Secretary (if any) or the Chief Financial Officer, Treasurer (if any) or an Assistant Treasurer (if any), certifying the number of shares and the class or series owned by him in the corporation. Where such certificate is countersigned by a transfer agent other than the corporation or its employee, or by a registrar other than the corporation or its employee,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1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Section 7.2 </w:t>
      </w:r>
      <w:r>
        <w:rPr>
          <w:rFonts w:ascii="Arial" w:cs="Arial" w:eastAsia="Arial" w:hAnsi="Arial"/>
          <w:sz w:val="18"/>
          <w:szCs w:val="18"/>
          <w:b w:val="1"/>
          <w:bCs w:val="1"/>
          <w:u w:val="single" w:color="auto"/>
          <w:color w:val="auto"/>
        </w:rPr>
        <w:t>Lost Certificates</w:t>
      </w:r>
      <w:r>
        <w:rPr>
          <w:rFonts w:ascii="Arial" w:cs="Arial" w:eastAsia="Arial" w:hAnsi="Arial"/>
          <w:sz w:val="18"/>
          <w:szCs w:val="18"/>
          <w:color w:val="auto"/>
        </w:rPr>
        <w:t>. A new certificate or certificates shall be issued in place of any certificate or certificates theretofore issued by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his legal representative, to advertise the same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Transfers</w:t>
      </w:r>
      <w:r>
        <w:rPr>
          <w:rFonts w:ascii="Arial" w:cs="Arial" w:eastAsia="Arial" w:hAnsi="Arial"/>
          <w:sz w:val="18"/>
          <w:szCs w:val="18"/>
          <w:color w:val="auto"/>
        </w:rPr>
        <w:t>.</w:t>
      </w:r>
    </w:p>
    <w:p>
      <w:pPr>
        <w:spacing w:after="0" w:line="96" w:lineRule="exact"/>
        <w:rPr>
          <w:sz w:val="20"/>
          <w:szCs w:val="20"/>
          <w:color w:val="auto"/>
        </w:rPr>
      </w:pPr>
    </w:p>
    <w:p>
      <w:pPr>
        <w:ind w:right="100" w:firstLine="921"/>
        <w:spacing w:after="0" w:line="291" w:lineRule="auto"/>
        <w:tabs>
          <w:tab w:leader="none" w:pos="11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Transfers of record of shares of stock of the corporation shall be made only on its books by the holders thereof, in person or by attorney duly authorized and upon the surrender of a properly endorsed certificate or certificates for a like number of shares. Upon surrender to the corporation or a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 The Board of Directors shall have the power and authority to make all such other rules and regulations as they may deem expedient concerning the issue, transfer and registration or the replacement of certificates for shares of capital stock of the corporation.</w:t>
      </w:r>
    </w:p>
    <w:p>
      <w:pPr>
        <w:spacing w:after="0" w:line="120" w:lineRule="exact"/>
        <w:rPr>
          <w:rFonts w:ascii="Arial" w:cs="Arial" w:eastAsia="Arial" w:hAnsi="Arial"/>
          <w:sz w:val="16"/>
          <w:szCs w:val="16"/>
          <w:color w:val="auto"/>
        </w:rPr>
      </w:pPr>
    </w:p>
    <w:p>
      <w:pPr>
        <w:ind w:firstLine="921"/>
        <w:spacing w:after="0" w:line="259" w:lineRule="auto"/>
        <w:tabs>
          <w:tab w:leader="none" w:pos="11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Delaware General Corporation Law.</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Fixing Record Dates</w:t>
      </w:r>
      <w:r>
        <w:rPr>
          <w:rFonts w:ascii="Arial" w:cs="Arial" w:eastAsia="Arial" w:hAnsi="Arial"/>
          <w:sz w:val="18"/>
          <w:szCs w:val="18"/>
          <w:color w:val="auto"/>
        </w:rPr>
        <w:t>.</w:t>
      </w:r>
    </w:p>
    <w:p>
      <w:pPr>
        <w:spacing w:after="0" w:line="96" w:lineRule="exact"/>
        <w:rPr>
          <w:sz w:val="20"/>
          <w:szCs w:val="20"/>
          <w:color w:val="auto"/>
        </w:rPr>
      </w:pPr>
    </w:p>
    <w:p>
      <w:pPr>
        <w:ind w:right="80" w:firstLine="921"/>
        <w:spacing w:after="0" w:line="290" w:lineRule="auto"/>
        <w:tabs>
          <w:tab w:leader="none" w:pos="11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18" w:lineRule="exact"/>
        <w:rPr>
          <w:rFonts w:ascii="Arial" w:cs="Arial" w:eastAsia="Arial" w:hAnsi="Arial"/>
          <w:sz w:val="16"/>
          <w:szCs w:val="16"/>
          <w:color w:val="auto"/>
        </w:rPr>
      </w:pPr>
    </w:p>
    <w:p>
      <w:pPr>
        <w:ind w:right="60" w:firstLine="921"/>
        <w:spacing w:after="0" w:line="268" w:lineRule="auto"/>
        <w:tabs>
          <w:tab w:leader="none" w:pos="11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5" w:lineRule="auto"/>
        <w:rPr>
          <w:sz w:val="20"/>
          <w:szCs w:val="20"/>
          <w:color w:val="auto"/>
        </w:rPr>
      </w:pPr>
      <w:r>
        <w:rPr>
          <w:rFonts w:ascii="Arial" w:cs="Arial" w:eastAsia="Arial" w:hAnsi="Arial"/>
          <w:sz w:val="15"/>
          <w:szCs w:val="15"/>
          <w:color w:val="auto"/>
        </w:rPr>
        <w:t>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w:t>
      </w:r>
    </w:p>
    <w:p>
      <w:pPr>
        <w:ind w:right="200" w:firstLine="8"/>
        <w:spacing w:after="0" w:line="261" w:lineRule="auto"/>
        <w:tabs>
          <w:tab w:leader="none" w:pos="3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days prior to such action. If no record date is fixed by the Board of Directors, the record date for determining stockholders for any such purpose shall be at the close of business on the day on which the Board of Directors adopts the resolution relating thereto.</w:t>
      </w:r>
    </w:p>
    <w:p>
      <w:pPr>
        <w:spacing w:after="0" w:line="132"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Section 7.5 </w:t>
      </w:r>
      <w:r>
        <w:rPr>
          <w:rFonts w:ascii="Arial" w:cs="Arial" w:eastAsia="Arial" w:hAnsi="Arial"/>
          <w:sz w:val="16"/>
          <w:szCs w:val="16"/>
          <w:b w:val="1"/>
          <w:bCs w:val="1"/>
          <w:u w:val="single" w:color="auto"/>
          <w:color w:val="auto"/>
        </w:rPr>
        <w:t>Registered Stockholders</w:t>
      </w:r>
      <w:r>
        <w:rPr>
          <w:rFonts w:ascii="Arial" w:cs="Arial" w:eastAsia="Arial" w:hAnsi="Arial"/>
          <w:sz w:val="16"/>
          <w:szCs w:val="16"/>
          <w:color w:val="auto"/>
        </w:rPr>
        <w:t>. The corporation shall be entitled to recognize the exclusive right of a person registered on its books as the owner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OTHER SECURITIES OF THE CORPORATION</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Section 8.1 </w:t>
      </w:r>
      <w:r>
        <w:rPr>
          <w:rFonts w:ascii="Arial" w:cs="Arial" w:eastAsia="Arial" w:hAnsi="Arial"/>
          <w:sz w:val="16"/>
          <w:szCs w:val="16"/>
          <w:b w:val="1"/>
          <w:bCs w:val="1"/>
          <w:u w:val="single" w:color="auto"/>
          <w:color w:val="auto"/>
        </w:rPr>
        <w:t>Execution of Other Securities</w:t>
      </w:r>
      <w:r>
        <w:rPr>
          <w:rFonts w:ascii="Arial" w:cs="Arial" w:eastAsia="Arial" w:hAnsi="Arial"/>
          <w:sz w:val="16"/>
          <w:szCs w:val="16"/>
          <w:color w:val="auto"/>
        </w:rPr>
        <w:t>. All bonds, debentures and other corporate securities of the corporation, other than stock certificates (covered</w:t>
      </w:r>
      <w:r>
        <w:rPr>
          <w:rFonts w:ascii="Arial" w:cs="Arial" w:eastAsia="Arial" w:hAnsi="Arial"/>
          <w:sz w:val="16"/>
          <w:szCs w:val="16"/>
          <w:b w:val="1"/>
          <w:bCs w:val="1"/>
          <w:color w:val="auto"/>
        </w:rPr>
        <w:t xml:space="preserve"> </w:t>
      </w:r>
      <w:r>
        <w:rPr>
          <w:rFonts w:ascii="Arial" w:cs="Arial" w:eastAsia="Arial" w:hAnsi="Arial"/>
          <w:sz w:val="16"/>
          <w:szCs w:val="16"/>
          <w:color w:val="auto"/>
        </w:rPr>
        <w:t>in Section 7.1), may be signed by the Chief Executive Officer, the President or any executive Vice President, or such other person as may be authorized by the Board of Directors, and the corporate seal impressed thereon or a facsimile of such seal imprinted thereon and attested by the signature of the Secretary or an Assistant Secretary (if any), or the Chief Financial Officer, Treasurer (if any) or an Assistant Treasurer (if any); provided, however, that where any such bond, debenture or other corporate security shall be authenticated by the manual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Chief Financial Officer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any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28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IX</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DIVIDENDS</w:t>
      </w:r>
    </w:p>
    <w:p>
      <w:pPr>
        <w:spacing w:after="0" w:line="171"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Declaration of Dividends</w:t>
      </w:r>
      <w:r>
        <w:rPr>
          <w:rFonts w:ascii="Arial" w:cs="Arial" w:eastAsia="Arial" w:hAnsi="Arial"/>
          <w:sz w:val="18"/>
          <w:szCs w:val="18"/>
          <w:color w:val="auto"/>
        </w:rPr>
        <w:t>. Dividends upon the capital stock of the corporation, subject to the provisions of the Certificate of Incorporation, if</w:t>
      </w:r>
      <w:r>
        <w:rPr>
          <w:rFonts w:ascii="Arial" w:cs="Arial" w:eastAsia="Arial" w:hAnsi="Arial"/>
          <w:sz w:val="18"/>
          <w:szCs w:val="18"/>
          <w:b w:val="1"/>
          <w:bCs w:val="1"/>
          <w:color w:val="auto"/>
        </w:rPr>
        <w:t xml:space="preserve"> </w:t>
      </w:r>
      <w:r>
        <w:rPr>
          <w:rFonts w:ascii="Arial" w:cs="Arial" w:eastAsia="Arial" w:hAnsi="Arial"/>
          <w:sz w:val="18"/>
          <w:szCs w:val="18"/>
          <w:color w:val="auto"/>
        </w:rPr>
        <w:t>any, may be declared by the Board of Directors pursuant to law at any regular or special meeting. Dividends may be paid in cash, in property, or in shares of the capital stock, subject to the provisions of the Certificate of Incorporation.</w:t>
      </w:r>
    </w:p>
    <w:p>
      <w:pPr>
        <w:spacing w:after="0" w:line="132"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Section 9.2 </w:t>
      </w:r>
      <w:r>
        <w:rPr>
          <w:rFonts w:ascii="Arial" w:cs="Arial" w:eastAsia="Arial" w:hAnsi="Arial"/>
          <w:sz w:val="16"/>
          <w:szCs w:val="16"/>
          <w:b w:val="1"/>
          <w:bCs w:val="1"/>
          <w:u w:val="single" w:color="auto"/>
          <w:color w:val="auto"/>
        </w:rPr>
        <w:t>Dividend Reserve</w:t>
      </w:r>
      <w:r>
        <w:rPr>
          <w:rFonts w:ascii="Arial" w:cs="Arial" w:eastAsia="Arial" w:hAnsi="Arial"/>
          <w:sz w:val="16"/>
          <w:szCs w:val="16"/>
          <w:color w:val="auto"/>
        </w:rPr>
        <w:t>. Before payment of any dividend, there may be set aside out of any funds of the corporation available for dividends such</w:t>
      </w:r>
      <w:r>
        <w:rPr>
          <w:rFonts w:ascii="Arial" w:cs="Arial" w:eastAsia="Arial" w:hAnsi="Arial"/>
          <w:sz w:val="16"/>
          <w:szCs w:val="16"/>
          <w:b w:val="1"/>
          <w:bCs w:val="1"/>
          <w:color w:val="auto"/>
        </w:rPr>
        <w:t xml:space="preserve"> </w:t>
      </w:r>
      <w:r>
        <w:rPr>
          <w:rFonts w:ascii="Arial" w:cs="Arial" w:eastAsia="Arial" w:hAnsi="Arial"/>
          <w:sz w:val="16"/>
          <w:szCs w:val="16"/>
          <w:color w:val="auto"/>
        </w:rPr>
        <w:t>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X</w:t>
      </w:r>
    </w:p>
    <w:p>
      <w:pPr>
        <w:spacing w:after="0" w:line="171" w:lineRule="exact"/>
        <w:rPr>
          <w:sz w:val="20"/>
          <w:szCs w:val="20"/>
          <w:color w:val="auto"/>
        </w:rPr>
      </w:pPr>
    </w:p>
    <w:p>
      <w:pPr>
        <w:ind w:left="5120"/>
        <w:spacing w:after="0"/>
        <w:rPr>
          <w:sz w:val="20"/>
          <w:szCs w:val="20"/>
          <w:color w:val="auto"/>
        </w:rPr>
      </w:pPr>
      <w:r>
        <w:rPr>
          <w:rFonts w:ascii="Arial" w:cs="Arial" w:eastAsia="Arial" w:hAnsi="Arial"/>
          <w:sz w:val="18"/>
          <w:szCs w:val="18"/>
          <w:b w:val="1"/>
          <w:bCs w:val="1"/>
          <w:u w:val="single" w:color="auto"/>
          <w:color w:val="auto"/>
        </w:rPr>
        <w:t>FISCAL YEAR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fiscal year of the corporation shall end as of December 31st, unless otherwise fixed by resolution of the Board of Directors.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INDEMNIFICATION OF DIRECTORS, OFFICERS, EMPLOYEES AND OTHER AGENTS</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b w:val="1"/>
          <w:bCs w:val="1"/>
          <w:u w:val="single" w:color="auto"/>
          <w:color w:val="auto"/>
        </w:rPr>
        <w:t>Directors and Executive Officers</w:t>
      </w:r>
      <w:r>
        <w:rPr>
          <w:rFonts w:ascii="Arial" w:cs="Arial" w:eastAsia="Arial" w:hAnsi="Arial"/>
          <w:sz w:val="18"/>
          <w:szCs w:val="18"/>
          <w:color w:val="auto"/>
        </w:rPr>
        <w:t>. The corporation shall indemnify its Directors and executive officers to the fullest extent not prohibited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Delaware General Corporation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corporation may limit the extent of such indemnification by individual contracts with its Directors and executive officers;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corporation shall not be required to indemnify any Director or executive officer in connection with any proceeding (or part thereof) initiated by such person or any proceeding by such person against the corporation or its Directors, officers, employees or other agents unless (i) such indemnification is expressly required to be made by law, (ii) the proceeding was authorized by the Board of Directors of the corporation, or (iii) such indemnification is provided by the corporation, in its sole discretion, pursuant to the powers vested in the corporation under the Delaware General Corporation Law.</w:t>
      </w:r>
    </w:p>
    <w:p>
      <w:pPr>
        <w:spacing w:after="0" w:line="14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Section 11.2 </w:t>
      </w:r>
      <w:r>
        <w:rPr>
          <w:rFonts w:ascii="Arial" w:cs="Arial" w:eastAsia="Arial" w:hAnsi="Arial"/>
          <w:sz w:val="18"/>
          <w:szCs w:val="18"/>
          <w:b w:val="1"/>
          <w:bCs w:val="1"/>
          <w:u w:val="single" w:color="auto"/>
          <w:color w:val="auto"/>
        </w:rPr>
        <w:t>Other Officers, Employees and Other Agents</w:t>
      </w:r>
      <w:r>
        <w:rPr>
          <w:rFonts w:ascii="Arial" w:cs="Arial" w:eastAsia="Arial" w:hAnsi="Arial"/>
          <w:sz w:val="18"/>
          <w:szCs w:val="18"/>
          <w:color w:val="auto"/>
        </w:rPr>
        <w:t>. The corporation shall have power to indemnify its other officers, employees and other agents</w:t>
      </w:r>
      <w:r>
        <w:rPr>
          <w:rFonts w:ascii="Arial" w:cs="Arial" w:eastAsia="Arial" w:hAnsi="Arial"/>
          <w:sz w:val="18"/>
          <w:szCs w:val="18"/>
          <w:b w:val="1"/>
          <w:bCs w:val="1"/>
          <w:color w:val="auto"/>
        </w:rPr>
        <w:t xml:space="preserve"> </w:t>
      </w:r>
      <w:r>
        <w:rPr>
          <w:rFonts w:ascii="Arial" w:cs="Arial" w:eastAsia="Arial" w:hAnsi="Arial"/>
          <w:sz w:val="18"/>
          <w:szCs w:val="18"/>
          <w:color w:val="auto"/>
        </w:rPr>
        <w:t>as set forth in the Delaware General Corporation Law.</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11.3 </w:t>
      </w:r>
      <w:r>
        <w:rPr>
          <w:rFonts w:ascii="Arial" w:cs="Arial" w:eastAsia="Arial" w:hAnsi="Arial"/>
          <w:sz w:val="18"/>
          <w:szCs w:val="18"/>
          <w:b w:val="1"/>
          <w:bCs w:val="1"/>
          <w:u w:val="single" w:color="auto"/>
          <w:color w:val="auto"/>
        </w:rPr>
        <w:t>Good Faith</w:t>
      </w:r>
      <w:r>
        <w:rPr>
          <w:rFonts w:ascii="Arial" w:cs="Arial" w:eastAsia="Arial" w:hAnsi="Arial"/>
          <w:sz w:val="18"/>
          <w:szCs w:val="18"/>
          <w:color w:val="auto"/>
        </w:rPr>
        <w:t>.</w:t>
      </w:r>
    </w:p>
    <w:p>
      <w:pPr>
        <w:spacing w:after="0" w:line="96" w:lineRule="exact"/>
        <w:rPr>
          <w:sz w:val="20"/>
          <w:szCs w:val="20"/>
          <w:color w:val="auto"/>
        </w:rPr>
      </w:pPr>
    </w:p>
    <w:p>
      <w:pPr>
        <w:ind w:right="80" w:firstLine="921"/>
        <w:spacing w:after="0" w:line="298" w:lineRule="auto"/>
        <w:tabs>
          <w:tab w:leader="none" w:pos="11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purposes of any determination under this Article XI, a Director or executive officer shall be deemed to have acted in good faith and in a manner such officer reasonably believed to be in or not opposed to the best interests of the corporation, and, with respect to any criminal action or proceeding, to have had no reasonable cause to believe that such officer’s conduct was unlawful, if such officer’s action is based on information, opinions, reports and statements, including financial statements and other financial data, in each case prepared or presented by:</w:t>
      </w:r>
    </w:p>
    <w:p>
      <w:pPr>
        <w:spacing w:after="0" w:line="31" w:lineRule="exact"/>
        <w:rPr>
          <w:rFonts w:ascii="Arial" w:cs="Arial" w:eastAsia="Arial" w:hAnsi="Arial"/>
          <w:sz w:val="16"/>
          <w:szCs w:val="16"/>
          <w:color w:val="auto"/>
        </w:rPr>
      </w:pPr>
    </w:p>
    <w:p>
      <w:pPr>
        <w:ind w:left="460" w:right="220" w:firstLine="881"/>
        <w:spacing w:after="0" w:line="268" w:lineRule="auto"/>
        <w:tabs>
          <w:tab w:leader="none" w:pos="1546" w:val="left"/>
        </w:tabs>
        <w:numPr>
          <w:ilvl w:val="1"/>
          <w:numId w:val="25"/>
        </w:numPr>
        <w:rPr>
          <w:rFonts w:ascii="Arial" w:cs="Arial" w:eastAsia="Arial" w:hAnsi="Arial"/>
          <w:sz w:val="18"/>
          <w:szCs w:val="18"/>
          <w:color w:val="auto"/>
        </w:rPr>
      </w:pPr>
      <w:r>
        <w:rPr>
          <w:rFonts w:ascii="Arial" w:cs="Arial" w:eastAsia="Arial" w:hAnsi="Arial"/>
          <w:sz w:val="18"/>
          <w:szCs w:val="18"/>
          <w:color w:val="auto"/>
        </w:rPr>
        <w:t>one or more officers or employees of the corporation whom the Director or executive officer believed to be reliable and competent in the matters presented;</w:t>
      </w:r>
    </w:p>
    <w:p>
      <w:pPr>
        <w:spacing w:after="0" w:line="50" w:lineRule="exact"/>
        <w:rPr>
          <w:rFonts w:ascii="Arial" w:cs="Arial" w:eastAsia="Arial" w:hAnsi="Arial"/>
          <w:sz w:val="18"/>
          <w:szCs w:val="18"/>
          <w:color w:val="auto"/>
        </w:rPr>
      </w:pPr>
    </w:p>
    <w:p>
      <w:pPr>
        <w:ind w:left="460" w:right="20" w:firstLine="881"/>
        <w:spacing w:after="0" w:line="268" w:lineRule="auto"/>
        <w:tabs>
          <w:tab w:leader="none" w:pos="1595"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counsel, independent accountants or other persons as to matters which the Director or executive officer believed to be within such person’s professional competence; and</w:t>
      </w:r>
    </w:p>
    <w:p>
      <w:pPr>
        <w:spacing w:after="0" w:line="50" w:lineRule="exact"/>
        <w:rPr>
          <w:rFonts w:ascii="Arial" w:cs="Arial" w:eastAsia="Arial" w:hAnsi="Arial"/>
          <w:sz w:val="18"/>
          <w:szCs w:val="18"/>
          <w:color w:val="auto"/>
        </w:rPr>
      </w:pPr>
    </w:p>
    <w:p>
      <w:pPr>
        <w:ind w:left="460" w:right="300" w:firstLine="881"/>
        <w:spacing w:after="0" w:line="259" w:lineRule="auto"/>
        <w:tabs>
          <w:tab w:leader="none" w:pos="16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with respect to a Director, a committee of the Board upon which such Director does not serve, as to matters within such committee’s designated authority, which committee the Director believes to merit confidence; so long as, in each case, the Director or executive officer acts without knowledge that would cause such reliance to be unwarranted.</w:t>
      </w:r>
    </w:p>
    <w:p>
      <w:pPr>
        <w:spacing w:after="0" w:line="140" w:lineRule="exact"/>
        <w:rPr>
          <w:rFonts w:ascii="Arial" w:cs="Arial" w:eastAsia="Arial" w:hAnsi="Arial"/>
          <w:sz w:val="18"/>
          <w:szCs w:val="18"/>
          <w:color w:val="auto"/>
        </w:rPr>
      </w:pPr>
    </w:p>
    <w:p>
      <w:pPr>
        <w:jc w:val="both"/>
        <w:ind w:right="280" w:firstLine="921"/>
        <w:spacing w:after="0" w:line="335" w:lineRule="auto"/>
        <w:tabs>
          <w:tab w:leader="none" w:pos="1162"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termination of any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proceeding, that such person had reasonable cause to believe that his conduct was unlawful.</w:t>
      </w:r>
    </w:p>
    <w:p>
      <w:pPr>
        <w:spacing w:after="0" w:line="88" w:lineRule="exact"/>
        <w:rPr>
          <w:rFonts w:ascii="Arial" w:cs="Arial" w:eastAsia="Arial" w:hAnsi="Arial"/>
          <w:sz w:val="15"/>
          <w:szCs w:val="15"/>
          <w:color w:val="auto"/>
        </w:rPr>
      </w:pPr>
    </w:p>
    <w:p>
      <w:pPr>
        <w:ind w:right="520" w:firstLine="921"/>
        <w:spacing w:after="0" w:line="268" w:lineRule="auto"/>
        <w:tabs>
          <w:tab w:leader="none" w:pos="11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provisions of this Section 11.3 shall not be deemed to be exclusive or to limit in any way the circumstances in which a person may be deemed to have met the applicable standard of conduct set forth by the Delaware General Corporation Law.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10" w:lineRule="auto"/>
        <w:rPr>
          <w:sz w:val="20"/>
          <w:szCs w:val="20"/>
          <w:color w:val="auto"/>
        </w:rPr>
      </w:pPr>
      <w:r>
        <w:rPr>
          <w:rFonts w:ascii="Arial" w:cs="Arial" w:eastAsia="Arial" w:hAnsi="Arial"/>
          <w:sz w:val="16"/>
          <w:szCs w:val="16"/>
          <w:b w:val="1"/>
          <w:bCs w:val="1"/>
          <w:color w:val="auto"/>
        </w:rPr>
        <w:t xml:space="preserve">Section 11.4 </w:t>
      </w:r>
      <w:r>
        <w:rPr>
          <w:rFonts w:ascii="Arial" w:cs="Arial" w:eastAsia="Arial" w:hAnsi="Arial"/>
          <w:sz w:val="16"/>
          <w:szCs w:val="16"/>
          <w:b w:val="1"/>
          <w:bCs w:val="1"/>
          <w:u w:val="single" w:color="auto"/>
          <w:color w:val="auto"/>
        </w:rPr>
        <w:t>Expenses</w:t>
      </w:r>
      <w:r>
        <w:rPr>
          <w:rFonts w:ascii="Arial" w:cs="Arial" w:eastAsia="Arial" w:hAnsi="Arial"/>
          <w:sz w:val="16"/>
          <w:szCs w:val="16"/>
          <w:color w:val="auto"/>
        </w:rPr>
        <w:t>. The corporation shall advance, prior to the final disposition of any proceeding, promptly following request therefor, all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incurred by any Director or executive officer in connection with such proceeding upon receipt of an undertaking by or on behalf of such person to repay said amounts if it should be determined ultimately that such person is not entitled to be indemnified under this Article XI or otherwise.</w:t>
      </w:r>
    </w:p>
    <w:p>
      <w:pPr>
        <w:spacing w:after="0" w:line="10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Notwithstanding the foregoing, unless otherwise determined pursuant to Section 11.5 of this Article XI, no advance shall be made by the corporation if a determination is reasonably and promptly made (i) by the Board of Directors by a majority vote of a quorum consisting of Directors who were not parties to the proceeding, or (ii)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Section 11.5 </w:t>
      </w:r>
      <w:r>
        <w:rPr>
          <w:rFonts w:ascii="Arial" w:cs="Arial" w:eastAsia="Arial" w:hAnsi="Arial"/>
          <w:sz w:val="16"/>
          <w:szCs w:val="16"/>
          <w:b w:val="1"/>
          <w:bCs w:val="1"/>
          <w:u w:val="single" w:color="auto"/>
          <w:color w:val="auto"/>
        </w:rPr>
        <w:t>Enforcement</w:t>
      </w:r>
      <w:r>
        <w:rPr>
          <w:rFonts w:ascii="Arial" w:cs="Arial" w:eastAsia="Arial" w:hAnsi="Arial"/>
          <w:sz w:val="16"/>
          <w:szCs w:val="16"/>
          <w:color w:val="auto"/>
        </w:rPr>
        <w:t>. Without the necessity of entering into an express contract, all rights to indemnification and advances to Directors and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under this Article XI shall be deemed to be contractual rights and be effective to the same extent and as if provided for in a contract between the corporation and the Director or executive officer. Any right to indemnification or advances granted by this Article XI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The claimant in such enforcement action, if successful in whole or in part, also shall be entitled to be paid the expense of prosecuting his claim. The corporation shall be entitled to raise as a defense to any such action that the claimant has not met the standards of conduct that make it permissible under the Delaware General Corporation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such person has met the applicable standard of conduct set forth in the Delaware General Corporation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spacing w:after="0" w:line="11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 xml:space="preserve">Section 11.6 </w:t>
      </w:r>
      <w:r>
        <w:rPr>
          <w:rFonts w:ascii="Arial" w:cs="Arial" w:eastAsia="Arial" w:hAnsi="Arial"/>
          <w:sz w:val="18"/>
          <w:szCs w:val="18"/>
          <w:b w:val="1"/>
          <w:bCs w:val="1"/>
          <w:u w:val="single" w:color="auto"/>
          <w:color w:val="auto"/>
        </w:rPr>
        <w:t>Non-Exclusivity of Rights</w:t>
      </w:r>
      <w:r>
        <w:rPr>
          <w:rFonts w:ascii="Arial" w:cs="Arial" w:eastAsia="Arial" w:hAnsi="Arial"/>
          <w:sz w:val="18"/>
          <w:szCs w:val="18"/>
          <w:color w:val="auto"/>
        </w:rPr>
        <w:t>. The rights conferred on any person by this Article XI shall not be exclusive of any other right which such person</w:t>
      </w:r>
      <w:r>
        <w:rPr>
          <w:rFonts w:ascii="Arial" w:cs="Arial" w:eastAsia="Arial" w:hAnsi="Arial"/>
          <w:sz w:val="18"/>
          <w:szCs w:val="18"/>
          <w:b w:val="1"/>
          <w:bCs w:val="1"/>
          <w:color w:val="auto"/>
        </w:rPr>
        <w:t xml:space="preserve"> </w:t>
      </w:r>
      <w:r>
        <w:rPr>
          <w:rFonts w:ascii="Arial" w:cs="Arial" w:eastAsia="Arial" w:hAnsi="Arial"/>
          <w:sz w:val="18"/>
          <w:szCs w:val="18"/>
          <w:color w:val="auto"/>
        </w:rPr>
        <w:t>may have or hereafter acquire under any statute, provision of the Certificate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Delaware General Corporation Law.</w:t>
      </w:r>
    </w:p>
    <w:p>
      <w:pPr>
        <w:spacing w:after="0" w:line="139"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b w:val="1"/>
          <w:bCs w:val="1"/>
          <w:color w:val="auto"/>
        </w:rPr>
        <w:t xml:space="preserve">Section 11.7 </w:t>
      </w:r>
      <w:r>
        <w:rPr>
          <w:rFonts w:ascii="Arial" w:cs="Arial" w:eastAsia="Arial" w:hAnsi="Arial"/>
          <w:sz w:val="16"/>
          <w:szCs w:val="16"/>
          <w:b w:val="1"/>
          <w:bCs w:val="1"/>
          <w:u w:val="single" w:color="auto"/>
          <w:color w:val="auto"/>
        </w:rPr>
        <w:t>Survival of Rights</w:t>
      </w:r>
      <w:r>
        <w:rPr>
          <w:rFonts w:ascii="Arial" w:cs="Arial" w:eastAsia="Arial" w:hAnsi="Arial"/>
          <w:sz w:val="16"/>
          <w:szCs w:val="16"/>
          <w:color w:val="auto"/>
        </w:rPr>
        <w:t>. The rights conferred on any person by this Article XI shall continue as to a person who has ceased to be a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employee or other agent and shall inure to the benefit of the heirs, executors and administrators of such a person.</w:t>
      </w:r>
    </w:p>
    <w:p>
      <w:pPr>
        <w:spacing w:after="0" w:line="74" w:lineRule="exact"/>
        <w:rPr>
          <w:sz w:val="20"/>
          <w:szCs w:val="20"/>
          <w:color w:val="auto"/>
        </w:rPr>
      </w:pPr>
    </w:p>
    <w:p>
      <w:pPr>
        <w:ind w:right="620" w:firstLine="456"/>
        <w:spacing w:after="0" w:line="339" w:lineRule="auto"/>
        <w:rPr>
          <w:sz w:val="20"/>
          <w:szCs w:val="20"/>
          <w:color w:val="auto"/>
        </w:rPr>
      </w:pPr>
      <w:r>
        <w:rPr>
          <w:rFonts w:ascii="Arial" w:cs="Arial" w:eastAsia="Arial" w:hAnsi="Arial"/>
          <w:sz w:val="16"/>
          <w:szCs w:val="16"/>
          <w:b w:val="1"/>
          <w:bCs w:val="1"/>
          <w:color w:val="auto"/>
        </w:rPr>
        <w:t xml:space="preserve">Section 11.8 </w:t>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 To the fullest extent permitted by the Delaware General Corporation Law, the corporation, upon approval by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may purchase insurance on behalf of any person required or permitted to be indemnified pursuant to this Article XI.</w:t>
      </w:r>
    </w:p>
    <w:p>
      <w:pPr>
        <w:spacing w:after="0" w:line="74"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b w:val="1"/>
          <w:bCs w:val="1"/>
          <w:color w:val="auto"/>
        </w:rPr>
        <w:t xml:space="preserve">Section 11.9 </w:t>
      </w:r>
      <w:r>
        <w:rPr>
          <w:rFonts w:ascii="Arial" w:cs="Arial" w:eastAsia="Arial" w:hAnsi="Arial"/>
          <w:sz w:val="16"/>
          <w:szCs w:val="16"/>
          <w:b w:val="1"/>
          <w:bCs w:val="1"/>
          <w:u w:val="single" w:color="auto"/>
          <w:color w:val="auto"/>
        </w:rPr>
        <w:t>Amendments</w:t>
      </w:r>
      <w:r>
        <w:rPr>
          <w:rFonts w:ascii="Arial" w:cs="Arial" w:eastAsia="Arial" w:hAnsi="Arial"/>
          <w:sz w:val="16"/>
          <w:szCs w:val="16"/>
          <w:color w:val="auto"/>
        </w:rPr>
        <w:t>. Any repeal or modification of this Article XI shall only be prospective and shall not affect the rights under this Article XI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at the time of the alleged occurrence of any action or omission to act that is the cause of any proceeding against any agent of the corporation.</w:t>
      </w:r>
    </w:p>
    <w:p>
      <w:pPr>
        <w:spacing w:after="0" w:line="74"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Section 11.10 </w:t>
      </w:r>
      <w:r>
        <w:rPr>
          <w:rFonts w:ascii="Arial" w:cs="Arial" w:eastAsia="Arial" w:hAnsi="Arial"/>
          <w:sz w:val="18"/>
          <w:szCs w:val="18"/>
          <w:b w:val="1"/>
          <w:bCs w:val="1"/>
          <w:u w:val="single" w:color="auto"/>
          <w:color w:val="auto"/>
        </w:rPr>
        <w:t>Savings Clause</w:t>
      </w:r>
      <w:r>
        <w:rPr>
          <w:rFonts w:ascii="Arial" w:cs="Arial" w:eastAsia="Arial" w:hAnsi="Arial"/>
          <w:sz w:val="18"/>
          <w:szCs w:val="18"/>
          <w:color w:val="auto"/>
        </w:rPr>
        <w:t>. If this Article XI or any portion hereof shall be invalidated on any ground by any court of competent jurisdiction,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nevertheless indemnify each Director and executive officer to the full extent not prohibited by any applicable portion of this Article XI that shall not have been invalidated, or by any other applicable law.</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11.11 </w:t>
      </w:r>
      <w:r>
        <w:rPr>
          <w:rFonts w:ascii="Arial" w:cs="Arial" w:eastAsia="Arial" w:hAnsi="Arial"/>
          <w:sz w:val="18"/>
          <w:szCs w:val="18"/>
          <w:b w:val="1"/>
          <w:bCs w:val="1"/>
          <w:u w:val="single" w:color="auto"/>
          <w:color w:val="auto"/>
        </w:rPr>
        <w:t>Certain Definitions</w:t>
      </w:r>
      <w:r>
        <w:rPr>
          <w:rFonts w:ascii="Arial" w:cs="Arial" w:eastAsia="Arial" w:hAnsi="Arial"/>
          <w:sz w:val="18"/>
          <w:szCs w:val="18"/>
          <w:color w:val="auto"/>
        </w:rPr>
        <w:t>. For the purposes of this Article XI, the following definitions shall apply:</w:t>
      </w:r>
    </w:p>
    <w:p>
      <w:pPr>
        <w:spacing w:after="0" w:line="96" w:lineRule="exact"/>
        <w:rPr>
          <w:sz w:val="20"/>
          <w:szCs w:val="20"/>
          <w:color w:val="auto"/>
        </w:rPr>
      </w:pPr>
    </w:p>
    <w:p>
      <w:pPr>
        <w:jc w:val="both"/>
        <w:ind w:right="360" w:firstLine="921"/>
        <w:spacing w:after="0" w:line="259" w:lineRule="auto"/>
        <w:tabs>
          <w:tab w:leader="none" w:pos="11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40" w:lineRule="exact"/>
        <w:rPr>
          <w:rFonts w:ascii="Arial" w:cs="Arial" w:eastAsia="Arial" w:hAnsi="Arial"/>
          <w:sz w:val="18"/>
          <w:szCs w:val="18"/>
          <w:color w:val="auto"/>
        </w:rPr>
      </w:pPr>
    </w:p>
    <w:p>
      <w:pPr>
        <w:ind w:right="240" w:firstLine="921"/>
        <w:spacing w:after="0" w:line="332" w:lineRule="auto"/>
        <w:tabs>
          <w:tab w:leader="none" w:pos="116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85" w:lineRule="exact"/>
        <w:rPr>
          <w:rFonts w:ascii="Arial" w:cs="Arial" w:eastAsia="Arial" w:hAnsi="Arial"/>
          <w:sz w:val="16"/>
          <w:szCs w:val="16"/>
          <w:color w:val="auto"/>
        </w:rPr>
      </w:pPr>
    </w:p>
    <w:p>
      <w:pPr>
        <w:ind w:firstLine="921"/>
        <w:spacing w:after="0" w:line="291" w:lineRule="auto"/>
        <w:tabs>
          <w:tab w:leader="none" w:pos="115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XI with respect to the resulting or surviving corporation as he would have with respect to such constituent corporation if its separate existence had continued.</w:t>
      </w:r>
    </w:p>
    <w:p>
      <w:pPr>
        <w:spacing w:after="0" w:line="120" w:lineRule="exact"/>
        <w:rPr>
          <w:rFonts w:ascii="Arial" w:cs="Arial" w:eastAsia="Arial" w:hAnsi="Arial"/>
          <w:sz w:val="16"/>
          <w:szCs w:val="16"/>
          <w:color w:val="auto"/>
        </w:rPr>
      </w:pPr>
    </w:p>
    <w:p>
      <w:pPr>
        <w:ind w:right="140" w:firstLine="921"/>
        <w:spacing w:after="0" w:line="259" w:lineRule="auto"/>
        <w:tabs>
          <w:tab w:leader="none" w:pos="11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References to a “director,” “officer,” “employee,” or “agent” of the corporation shall include without limitation, situations where such person is serving at the request of the corporation as a director, officer, employee, trustee or agent of another corporation, partnership, joint venture, trust or other enterprise.</w:t>
      </w:r>
    </w:p>
    <w:p>
      <w:pPr>
        <w:spacing w:after="0" w:line="140" w:lineRule="exact"/>
        <w:rPr>
          <w:rFonts w:ascii="Arial" w:cs="Arial" w:eastAsia="Arial" w:hAnsi="Arial"/>
          <w:sz w:val="18"/>
          <w:szCs w:val="18"/>
          <w:color w:val="auto"/>
        </w:rPr>
      </w:pPr>
    </w:p>
    <w:p>
      <w:pPr>
        <w:ind w:right="60" w:firstLine="921"/>
        <w:spacing w:after="0" w:line="254" w:lineRule="auto"/>
        <w:tabs>
          <w:tab w:leader="none" w:pos="11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XI.</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NOTICES</w:t>
      </w:r>
    </w:p>
    <w:p>
      <w:pPr>
        <w:spacing w:after="0" w:line="171"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b w:val="1"/>
          <w:bCs w:val="1"/>
          <w:color w:val="auto"/>
        </w:rPr>
        <w:t xml:space="preserve">Section 12.1 </w:t>
      </w:r>
      <w:r>
        <w:rPr>
          <w:rFonts w:ascii="Arial" w:cs="Arial" w:eastAsia="Arial" w:hAnsi="Arial"/>
          <w:sz w:val="15"/>
          <w:szCs w:val="15"/>
          <w:b w:val="1"/>
          <w:bCs w:val="1"/>
          <w:u w:val="single" w:color="auto"/>
          <w:color w:val="auto"/>
        </w:rPr>
        <w:t>Notice to Stockholders</w:t>
      </w:r>
      <w:r>
        <w:rPr>
          <w:rFonts w:ascii="Arial" w:cs="Arial" w:eastAsia="Arial" w:hAnsi="Arial"/>
          <w:sz w:val="15"/>
          <w:szCs w:val="15"/>
          <w:color w:val="auto"/>
        </w:rPr>
        <w:t>. Whenever, under the provisions of law or of the Certificate of Incorporation or of these Bylaws, notice is required to</w:t>
      </w:r>
      <w:r>
        <w:rPr>
          <w:rFonts w:ascii="Arial" w:cs="Arial" w:eastAsia="Arial" w:hAnsi="Arial"/>
          <w:sz w:val="15"/>
          <w:szCs w:val="15"/>
          <w:b w:val="1"/>
          <w:bCs w:val="1"/>
          <w:color w:val="auto"/>
        </w:rPr>
        <w:t xml:space="preserve"> </w:t>
      </w:r>
      <w:r>
        <w:rPr>
          <w:rFonts w:ascii="Arial" w:cs="Arial" w:eastAsia="Arial" w:hAnsi="Arial"/>
          <w:sz w:val="15"/>
          <w:szCs w:val="15"/>
          <w:color w:val="auto"/>
        </w:rPr>
        <w:t>be given to any stockholder, it shall not be construed to mean personal notice, but such notice may be given (i) in writing, by mail, addressed to such stockholder, at his or her address as it appears on the records of the corporation, with postage thereon prepaid or (ii) by electronic transmission when such stockholder has consented to the delivery of notice in such form. Any such consent shall be revocable by the stockholder by written notice to the corporation. Any such consent shall be deemed revoked (i) the corporation is unable to deliver by electronic transmission two consecutive notices given by the corporation in accordance with such consent and (ii) such inability becomes known to the Secretary or Assistant Secretary, if any, of the corporation or to the corporation’s transfer agent, or other person responsible for the giving of notice; provided, however, the inadvertent failure to treat such inability as a revocation shall not invalidate any meeting or action. An affidavit of the Secretary or an Assistant Secretary or of the transfer agent of the corporation that the notice has been given shall in the absence of fraud, be prima facie evidence of the facts stated therein. As used in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 Notice given in writing by mail shall be deemed to be given at the time when the same shall be deposited postage prepaid in the United States mail. Notice given by electronic transmission shall be deemed given: (a) if by facsimile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telecommunication, when directed to a number at which a stockholder or director has consented to receive notice; (b) if by electronic mail, when directed to an electronic mail address at which a stockholder or director has consented to receive notice; (c) if by a posting on an electronic network together with separate notice to a stockholder or director of such specific posting, upon the later of (x) such posting and (y) the giving of such separate notice; and (d) if by any other form of electronic transmission, when directed to a stockholder.</w:t>
      </w:r>
    </w:p>
    <w:p>
      <w:pPr>
        <w:spacing w:after="0" w:line="137"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Section 12.2 </w:t>
      </w:r>
      <w:r>
        <w:rPr>
          <w:rFonts w:ascii="Arial" w:cs="Arial" w:eastAsia="Arial" w:hAnsi="Arial"/>
          <w:sz w:val="16"/>
          <w:szCs w:val="16"/>
          <w:b w:val="1"/>
          <w:bCs w:val="1"/>
          <w:u w:val="single" w:color="auto"/>
          <w:color w:val="auto"/>
        </w:rPr>
        <w:t>Notice to Directors</w:t>
      </w:r>
      <w:r>
        <w:rPr>
          <w:rFonts w:ascii="Arial" w:cs="Arial" w:eastAsia="Arial" w:hAnsi="Arial"/>
          <w:sz w:val="16"/>
          <w:szCs w:val="16"/>
          <w:color w:val="auto"/>
        </w:rPr>
        <w:t>. Any notice required to be given to any director may be given by the method stated in Section 12.1 or in person, except</w:t>
      </w:r>
      <w:r>
        <w:rPr>
          <w:rFonts w:ascii="Arial" w:cs="Arial" w:eastAsia="Arial" w:hAnsi="Arial"/>
          <w:sz w:val="16"/>
          <w:szCs w:val="16"/>
          <w:b w:val="1"/>
          <w:bCs w:val="1"/>
          <w:color w:val="auto"/>
        </w:rPr>
        <w:t xml:space="preserve"> </w:t>
      </w:r>
      <w:r>
        <w:rPr>
          <w:rFonts w:ascii="Arial" w:cs="Arial" w:eastAsia="Arial" w:hAnsi="Arial"/>
          <w:sz w:val="16"/>
          <w:szCs w:val="16"/>
          <w:color w:val="auto"/>
        </w:rPr>
        <w:t>that such notice other than one which is delivered personally shall be sent to such physical or electronic address (or by such other method of electronic transmission) as such director shall have filed in writing with the Secretary, or, in the absence of such filing, to the last known post office address of such director. It shall not be necessary that the same method of giving notice be employed in respect of all directors, but one permissible method may be employed in respect of any one or more, and any other permissible method or methods may be employed in respect of any other or others.</w:t>
      </w:r>
    </w:p>
    <w:p>
      <w:pPr>
        <w:spacing w:after="0" w:line="108"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b w:val="1"/>
          <w:bCs w:val="1"/>
          <w:color w:val="auto"/>
        </w:rPr>
        <w:t xml:space="preserve">Section 12.3 </w:t>
      </w:r>
      <w:r>
        <w:rPr>
          <w:rFonts w:ascii="Arial" w:cs="Arial" w:eastAsia="Arial" w:hAnsi="Arial"/>
          <w:sz w:val="18"/>
          <w:szCs w:val="18"/>
          <w:b w:val="1"/>
          <w:bCs w:val="1"/>
          <w:u w:val="single" w:color="auto"/>
          <w:color w:val="auto"/>
        </w:rPr>
        <w:t>Address Unknown</w:t>
      </w:r>
      <w:r>
        <w:rPr>
          <w:rFonts w:ascii="Arial" w:cs="Arial" w:eastAsia="Arial" w:hAnsi="Arial"/>
          <w:sz w:val="18"/>
          <w:szCs w:val="18"/>
          <w:color w:val="auto"/>
        </w:rPr>
        <w:t>. If no address of a stockholder or Director be known, notice may be sent to the principal executive officer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12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Section 12.4 </w:t>
      </w:r>
      <w:r>
        <w:rPr>
          <w:rFonts w:ascii="Arial" w:cs="Arial" w:eastAsia="Arial" w:hAnsi="Arial"/>
          <w:sz w:val="18"/>
          <w:szCs w:val="18"/>
          <w:b w:val="1"/>
          <w:bCs w:val="1"/>
          <w:u w:val="single" w:color="auto"/>
          <w:color w:val="auto"/>
        </w:rPr>
        <w:t>Affidavit of Mailing</w:t>
      </w:r>
      <w:r>
        <w:rPr>
          <w:rFonts w:ascii="Arial" w:cs="Arial" w:eastAsia="Arial" w:hAnsi="Arial"/>
          <w:sz w:val="18"/>
          <w:szCs w:val="18"/>
          <w:color w:val="auto"/>
        </w:rPr>
        <w:t>. An affidavit of mailing, executed by a duly authorized and competent employee of the corporation or its transfer agent</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with respect to the class of stock affected, specifying the name and address or the names and addresses of the stockholder or stockholders, or director or directors, to whom any such notice or notices was or were given, and the time and method of giving the same, shall be conclusive evidence of the statements therein contained.</w:t>
      </w:r>
    </w:p>
    <w:p>
      <w:pPr>
        <w:spacing w:after="0" w:line="136" w:lineRule="exact"/>
        <w:rPr>
          <w:sz w:val="20"/>
          <w:szCs w:val="20"/>
          <w:color w:val="auto"/>
        </w:rPr>
      </w:pPr>
    </w:p>
    <w:p>
      <w:pPr>
        <w:ind w:right="160" w:firstLine="456"/>
        <w:spacing w:after="0" w:line="339" w:lineRule="auto"/>
        <w:rPr>
          <w:sz w:val="20"/>
          <w:szCs w:val="20"/>
          <w:color w:val="auto"/>
        </w:rPr>
      </w:pPr>
      <w:r>
        <w:rPr>
          <w:rFonts w:ascii="Arial" w:cs="Arial" w:eastAsia="Arial" w:hAnsi="Arial"/>
          <w:sz w:val="15"/>
          <w:szCs w:val="15"/>
          <w:b w:val="1"/>
          <w:bCs w:val="1"/>
          <w:color w:val="auto"/>
        </w:rPr>
        <w:t xml:space="preserve">Section 12.5 </w:t>
      </w:r>
      <w:r>
        <w:rPr>
          <w:rFonts w:ascii="Arial" w:cs="Arial" w:eastAsia="Arial" w:hAnsi="Arial"/>
          <w:sz w:val="15"/>
          <w:szCs w:val="15"/>
          <w:b w:val="1"/>
          <w:bCs w:val="1"/>
          <w:u w:val="single" w:color="auto"/>
          <w:color w:val="auto"/>
        </w:rPr>
        <w:t>Failure to Receive Notice</w:t>
      </w:r>
      <w:r>
        <w:rPr>
          <w:rFonts w:ascii="Arial" w:cs="Arial" w:eastAsia="Arial" w:hAnsi="Arial"/>
          <w:sz w:val="15"/>
          <w:szCs w:val="15"/>
          <w:color w:val="auto"/>
        </w:rPr>
        <w:t>. The period or limitation of time within which any stockholder may exercise any option or right, or enjoy any</w:t>
      </w:r>
      <w:r>
        <w:rPr>
          <w:rFonts w:ascii="Arial" w:cs="Arial" w:eastAsia="Arial" w:hAnsi="Arial"/>
          <w:sz w:val="15"/>
          <w:szCs w:val="15"/>
          <w:b w:val="1"/>
          <w:bCs w:val="1"/>
          <w:color w:val="auto"/>
        </w:rPr>
        <w:t xml:space="preserve"> </w:t>
      </w:r>
      <w:r>
        <w:rPr>
          <w:rFonts w:ascii="Arial" w:cs="Arial" w:eastAsia="Arial" w:hAnsi="Arial"/>
          <w:sz w:val="15"/>
          <w:szCs w:val="15"/>
          <w:color w:val="auto"/>
        </w:rPr>
        <w:t>privilege or benefit, or be required to act, or within which any Director may exercise any power or right, or enjoy any privilege, pursuant to any notice sent such person in the manner above provided, shall not be affected or extended in any manner by the failure of such stockholder or such Director to receive such notice.</w:t>
      </w:r>
    </w:p>
    <w:p>
      <w:pPr>
        <w:spacing w:after="0" w:line="7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Section 12.6 </w:t>
      </w:r>
      <w:r>
        <w:rPr>
          <w:rFonts w:ascii="Arial" w:cs="Arial" w:eastAsia="Arial" w:hAnsi="Arial"/>
          <w:sz w:val="16"/>
          <w:szCs w:val="16"/>
          <w:b w:val="1"/>
          <w:bCs w:val="1"/>
          <w:u w:val="single" w:color="auto"/>
          <w:color w:val="auto"/>
        </w:rPr>
        <w:t>Notice to Person with Whom Communication Is Unlawful</w:t>
      </w:r>
      <w:r>
        <w:rPr>
          <w:rFonts w:ascii="Arial" w:cs="Arial" w:eastAsia="Arial" w:hAnsi="Arial"/>
          <w:sz w:val="16"/>
          <w:szCs w:val="16"/>
          <w:color w:val="auto"/>
        </w:rPr>
        <w:t>. Whenever notice is required to be given, under any provision of law or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Delaware General Corporation Law, the certificate shall state, if such is the fact and if notice is required, that notice was given to all persons entitled to receive notice except such persons with whom communication is unlawful.</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color w:val="auto"/>
        </w:rPr>
        <w:t xml:space="preserve">Section 12.7 </w:t>
      </w:r>
      <w:r>
        <w:rPr>
          <w:rFonts w:ascii="Arial" w:cs="Arial" w:eastAsia="Arial" w:hAnsi="Arial"/>
          <w:sz w:val="16"/>
          <w:szCs w:val="16"/>
          <w:b w:val="1"/>
          <w:bCs w:val="1"/>
          <w:u w:val="single" w:color="auto"/>
          <w:color w:val="auto"/>
        </w:rPr>
        <w:t>Notice to Person with Undeliverable Address</w:t>
      </w:r>
      <w:r>
        <w:rPr>
          <w:rFonts w:ascii="Arial" w:cs="Arial" w:eastAsia="Arial" w:hAnsi="Arial"/>
          <w:sz w:val="16"/>
          <w:szCs w:val="16"/>
          <w:color w:val="auto"/>
        </w:rPr>
        <w:t>. Whenever notice is required to be given, under any provision of law or the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or Bylaws of the corporation, to any stockholder to whom (i) notice of two consecutive annual meetings, and all notices of meetings to such person during the period between such two consecutive annual meetings, or (ii) all, and at least two, payments (if sent by first class mail) of dividends or interest on securities during a twelve-month period, have been mailed addressed to such person at such person’s address as shown on the records of the corporation and have been returned undeliverable, the giving of such notice to such person shall not be required. Any action or meeting which shall be taken or held without notice to such person shall have the same force and effect as if such notice had been duly given. If any such person shall deliver to the corporation a written notice setting forth such person’s then current address, the requirement that notice be given to such person shall be reinstated. In the event that the action taken by the corporation is such as to require the filing of a certificate under any provision of the Delaware General Corporation Law, the certificate need not state that notice was not given to persons to whom notice was not required to be given pursuant to this paragraph. The exception provided in clause (i) of this Section 12.7 shall not be applicable to any notice returned or undeliverable if such notice was given by electronic transmission.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XIII</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AMENDMENTS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Section 13.1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Except as otherwise provided in the Certificate of Incorporation, these Bylaws may be altered, amended or repealed, or new</w:t>
      </w:r>
      <w:r>
        <w:rPr>
          <w:rFonts w:ascii="Arial" w:cs="Arial" w:eastAsia="Arial" w:hAnsi="Arial"/>
          <w:sz w:val="18"/>
          <w:szCs w:val="18"/>
          <w:b w:val="1"/>
          <w:bCs w:val="1"/>
          <w:color w:val="auto"/>
        </w:rPr>
        <w:t xml:space="preserve"> </w:t>
      </w:r>
      <w:r>
        <w:rPr>
          <w:rFonts w:ascii="Arial" w:cs="Arial" w:eastAsia="Arial" w:hAnsi="Arial"/>
          <w:sz w:val="18"/>
          <w:szCs w:val="18"/>
          <w:color w:val="auto"/>
        </w:rPr>
        <w:t>Bylaws may be adopted, by the holders of a majority of the outstanding voting shares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3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Section 13.2 </w:t>
      </w:r>
      <w:r>
        <w:rPr>
          <w:rFonts w:ascii="Arial" w:cs="Arial" w:eastAsia="Arial" w:hAnsi="Arial"/>
          <w:sz w:val="18"/>
          <w:szCs w:val="18"/>
          <w:b w:val="1"/>
          <w:bCs w:val="1"/>
          <w:u w:val="single" w:color="auto"/>
          <w:color w:val="auto"/>
        </w:rPr>
        <w:t>Application of Bylaws</w:t>
      </w:r>
      <w:r>
        <w:rPr>
          <w:rFonts w:ascii="Arial" w:cs="Arial" w:eastAsia="Arial" w:hAnsi="Arial"/>
          <w:sz w:val="18"/>
          <w:szCs w:val="18"/>
          <w:color w:val="auto"/>
        </w:rPr>
        <w:t>. In the event that any provisions of these Bylaws is or may be in conflict with any law of the United States,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incorporation of the corporation or of any other governmental body or power having jurisdiction over this corporation, or over the subject matter to which such provision of these Bylaws applies, or may apply, such provision of these Bylaws shall be inoperative to the extent only that the operation thereof unavoidably conflicts with such law, and shall in all other respects be in full force and effect.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869440" cy="394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694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REPORTS FOURTH QUARTER 2006 RESULTS</w:t>
      </w:r>
    </w:p>
    <w:p>
      <w:pPr>
        <w:spacing w:after="0" w:line="17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AUSTIN, Texas (February 2, 2007) </w:t>
      </w:r>
      <w:r>
        <w:rPr>
          <w:rFonts w:ascii="Arial" w:cs="Arial" w:eastAsia="Arial" w:hAnsi="Arial"/>
          <w:sz w:val="18"/>
          <w:szCs w:val="18"/>
          <w:color w:val="auto"/>
        </w:rPr>
        <w:t>— Active Power, Inc.</w:t>
      </w:r>
      <w:r>
        <w:rPr>
          <w:rFonts w:ascii="Arial" w:cs="Arial" w:eastAsia="Arial" w:hAnsi="Arial"/>
          <w:sz w:val="18"/>
          <w:szCs w:val="18"/>
          <w:b w:val="1"/>
          <w:bCs w:val="1"/>
          <w:color w:val="auto"/>
        </w:rPr>
        <w:t xml:space="preserve"> (NASDAQ: ACPW) </w:t>
      </w:r>
      <w:r>
        <w:rPr>
          <w:rFonts w:ascii="Arial" w:cs="Arial" w:eastAsia="Arial" w:hAnsi="Arial"/>
          <w:sz w:val="18"/>
          <w:szCs w:val="18"/>
          <w:color w:val="auto"/>
        </w:rPr>
        <w:t>today announced preliminary results for its fourth quarter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2006. Because of the continuing internal review of its past stock option granting practices, the Company is not providing, at this time, detailed financial information for the fiscal quarter or year ended December 31, 2006. The Company intends to issue full results for the quarter and year and to file its Annual Report on Form 10-K as soon as practicable after completion of the option review.</w:t>
      </w:r>
    </w:p>
    <w:p>
      <w:pPr>
        <w:spacing w:after="0" w:line="14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Revenue for the fourth quarter of fiscal 2006 was $8.3 million, up 60% from the same period last year and up 44% from the previous quarter. For the year ended December 31, 2006, revenues were $25 million compared to $17.8 million in 2005, an increase of 41%. Both the fourth quarter and full year revenue amounts were record amounts for the Company.</w:t>
      </w:r>
    </w:p>
    <w:p>
      <w:pPr>
        <w:spacing w:after="0" w:line="14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Prior to any impact from the review of the Company’s historical option-granting procedures, the gross margin percentage was below the guidance provided at the commencement of the quarter and was approximately break-even for the quarter. Gross profits are expected to be positive for the year. Operating expenses were generally in line with the guidance previously provided.</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decrease in gross profits in this quarter reflects the variations in product and sales channel mix within various geographies served. Pricing can vary significantly by channel or market, and future variability is expected in gross profits until a repeated higher level of quarterly revenue is achieved. Overall gross margins continue to improve from 2005 due to efforts in 2006 to broaden sales channels in multiple geographies to include direct and indirect sales, enter new and premium markets, and accelerate growth in services.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the Company also reached a settlement of the Greenwich Insurance litigation that resulted in gross proceeds to the Company of $1.78 million.</w:t>
      </w:r>
    </w:p>
    <w:p>
      <w:pPr>
        <w:sectPr>
          <w:pgSz w:w="11900" w:h="16838" w:orient="portrait"/>
          <w:cols w:equalWidth="0" w:num="1">
            <w:col w:w="11420"/>
          </w:cols>
          <w:pgMar w:left="240" w:top="125" w:right="239" w:bottom="1440" w:gutter="0" w:footer="0" w:header="0"/>
        </w:sectPr>
      </w:pPr>
    </w:p>
    <w:bookmarkStart w:id="28" w:name="page29"/>
    <w:bookmarkEnd w:id="28"/>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cash and investments at December 31, 2006 were $20.7 million, compared with $26.7 million at the end of the prior quarter. Receivables increased by $3.9 million from September 30 and were $7.7 million at December 31, 2006.</w:t>
      </w:r>
    </w:p>
    <w:p>
      <w:pPr>
        <w:spacing w:after="0" w:line="132"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“In the fourth quarter we continued to see positive growth from our EMEA business, which increased revenue by 97% from the previous quarter,” said Jim Clishem, President and CEO of Active Power. “Our MegaWatt-Class UPS products have a number of strategic advantages to customers due to higher energy efficiency and power density than alternative UPS products. As we focus our marketing and sales efforts on these product attributes, we are seeing this resonate with new clients. In today’s environment, power efficiency, industrial strength reliability and economically green solutions are getting noticed. Our bookings are significantly greater than where they were a year ago, and we are confident that our products will continue to gain awareness and market share going forward.”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 Review</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Due to the continuing voluntary internal review of its past stock option granting practices, the Company is not providing detailed financial information for the fiscal quarter or year ended December 31, 2006. The Company intends to issue full results for the fiscal year ended December 31, 2006, and to file its Annual Report on Form 10-K for that period, together with adjustments, if any, to its historical financial statements, as soon as practicable after completion of the special committee review. While we are currently unable to determine the extent of any accounting adjustments that may be required as a result of this review or the extent of any improper activities that might have occurred, the committee has, however, reached a preliminary conclusion that the actual date of determination for certain past stock option grants differed from the stated grant date for such awards. Accordingly, we expect to incur additional accounting charges for stock-based compensation expenses. However, none of the special committee, the Audit Committee or management has determined whether any such charges would require a restatement of the Company’s prior financial statements. The Company does not believe the results of the review and any resulting charges or a restatement, if required, would have an impact on its historical revenues, cash position, or non-stock option related operating expenses.</w:t>
      </w:r>
    </w:p>
    <w:p>
      <w:pPr>
        <w:sectPr>
          <w:pgSz w:w="11900" w:h="16838" w:orient="portrait"/>
          <w:cols w:equalWidth="0" w:num="1">
            <w:col w:w="11380"/>
          </w:cols>
          <w:pgMar w:left="240" w:top="280"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Recent Business Highlights</w:t>
      </w:r>
    </w:p>
    <w:p>
      <w:pPr>
        <w:spacing w:after="0" w:line="90" w:lineRule="exact"/>
        <w:rPr>
          <w:sz w:val="20"/>
          <w:szCs w:val="20"/>
          <w:color w:val="auto"/>
        </w:rPr>
      </w:pPr>
    </w:p>
    <w:p>
      <w:pPr>
        <w:ind w:left="900" w:right="200" w:hanging="325"/>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Grew MegaWatt-Class systems revenues 141% compared to 2005 and the number of MegaWatt class products sold doubled from Q3 levels which continues to validate the growth and acceptance of Active Power’s positioning in the high-power data center and industrial markets.</w:t>
      </w:r>
    </w:p>
    <w:p>
      <w:pPr>
        <w:spacing w:after="0" w:line="4" w:lineRule="exact"/>
        <w:rPr>
          <w:rFonts w:ascii="Arial" w:cs="Arial" w:eastAsia="Arial" w:hAnsi="Arial"/>
          <w:sz w:val="16"/>
          <w:szCs w:val="16"/>
          <w:color w:val="auto"/>
        </w:rPr>
      </w:pPr>
    </w:p>
    <w:p>
      <w:pPr>
        <w:ind w:left="900" w:right="14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Appointed Gary Rackow as Vice President of Sales, Americas. He is an accomplished critical power systems industry executive with over 20 years of sales experience in the Americas Markets. He is responsible for the further development of the Company’s sales activities in North and South America.</w:t>
      </w:r>
    </w:p>
    <w:p>
      <w:pPr>
        <w:spacing w:after="0" w:line="59"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Announced CoolAir sales wins to customers in the pharmaceutical and automotive industries. Beginning to gain market traction with CoolAir and our unique service-oriented ‘usage’ pricing model which augments the traditional client option to purchase the product outright.</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Shipped equipment to nine countries in Q4.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annualized basis, Americas Sales Team posted 34% growth, International Sales Team posted 55%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 sales accounted for 66% of total Q4 sales, while indirect contributed 34%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Settled the Company’s outstanding litigation with Greenwich Insurance, resulting in gross proceeds to the Company of $1.78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Active Power expects Q1 2007 revenue to be approximately $6 to $7 million and Q1 earnings per share to be a loss of approximately 8 to 10 cents, excluding any impact from our stock option review. We expect cash and investments usage in Q1 to continue to decline and be in the range of $4 to $5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96" w:lineRule="exact"/>
        <w:rPr>
          <w:sz w:val="20"/>
          <w:szCs w:val="20"/>
          <w:color w:val="auto"/>
        </w:rPr>
      </w:pPr>
    </w:p>
    <w:p>
      <w:pPr>
        <w:ind w:right="40"/>
        <w:spacing w:after="0" w:line="345" w:lineRule="auto"/>
        <w:rPr>
          <w:sz w:val="20"/>
          <w:szCs w:val="20"/>
          <w:color w:val="auto"/>
        </w:rPr>
      </w:pPr>
      <w:r>
        <w:rPr>
          <w:rFonts w:ascii="Arial" w:cs="Arial" w:eastAsia="Arial" w:hAnsi="Arial"/>
          <w:sz w:val="16"/>
          <w:szCs w:val="16"/>
          <w:color w:val="auto"/>
        </w:rPr>
        <w:t>The Company will host a conference call today, Friday February 2, 2007, at 11:00 a.m. Eastern Time, to further review the Company’s fiscal Q4 results. A replay of the Web cast will be available until February 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Investors may access the live broadcast and replay through our web site: </w:t>
      </w:r>
      <w:r>
        <w:rPr>
          <w:rFonts w:ascii="Arial" w:cs="Arial" w:eastAsia="Arial" w:hAnsi="Arial"/>
          <w:sz w:val="16"/>
          <w:szCs w:val="16"/>
          <w:u w:val="single" w:color="auto"/>
          <w:color w:val="auto"/>
        </w:rPr>
        <w:t>www.activepower.com</w:t>
      </w:r>
      <w:r>
        <w:rPr>
          <w:rFonts w:ascii="Arial" w:cs="Arial" w:eastAsia="Arial" w:hAnsi="Arial"/>
          <w:sz w:val="16"/>
          <w:szCs w:val="16"/>
          <w:color w:val="auto"/>
        </w:rPr>
        <w:t>.</w:t>
      </w:r>
    </w:p>
    <w:p>
      <w:pPr>
        <w:sectPr>
          <w:pgSz w:w="11900" w:h="16838" w:orient="portrait"/>
          <w:cols w:equalWidth="0" w:num="1">
            <w:col w:w="11380"/>
          </w:cols>
          <w:pgMar w:left="240" w:top="280"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Active Power:</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Active Power, Inc. (NASDAQ:ACPW) provides efficient, reliable and green power quality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over 40 countries. Active Power recently introduced CoolAir, the only solution that provides both backup power and backup cooling. With expert power systems engineers and worldwide service and support, Active Power provides turnkey solutions that ensure organizations have the power to perform. For more information, please visit </w:t>
      </w:r>
      <w:r>
        <w:rPr>
          <w:rFonts w:ascii="Arial" w:cs="Arial" w:eastAsia="Arial" w:hAnsi="Arial"/>
          <w:sz w:val="16"/>
          <w:szCs w:val="16"/>
          <w:u w:val="single" w:color="auto"/>
          <w:color w:val="auto"/>
        </w:rPr>
        <w:t>www.activepower.com</w:t>
      </w:r>
      <w:r>
        <w:rPr>
          <w:rFonts w:ascii="Arial" w:cs="Arial" w:eastAsia="Arial" w:hAnsi="Arial"/>
          <w:sz w:val="16"/>
          <w:szCs w:val="16"/>
          <w:color w:val="auto"/>
        </w:rPr>
        <w: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Statements in this release regarding expected future results are forward looking statements that are subject to the Safe Harbor provisions created by the Private Securities Litigation Reform Act of 1995. These forward looking statements are based on current information and expectations, and involve a number of risks and uncertainties. Actual results may differ materially from those projected in such forward looking statements due to various factors, including but not limited to, inability to accurately predict revenue and budget for expenses for future periods; fluctuations in revenue and operating results; overall market performance; the potential for significant losses to continue decreases and/or delays in capital spending; limited product offerings; inability to expand and integrate new distribution channels; inability to manage new and existing product distribution relationships; our dependence on our relationship with Caterpillar</w:t>
      </w:r>
      <w:r>
        <w:rPr>
          <w:rFonts w:ascii="Arial" w:cs="Arial" w:eastAsia="Arial" w:hAnsi="Arial"/>
          <w:sz w:val="16"/>
          <w:szCs w:val="16"/>
          <w:i w:val="1"/>
          <w:iCs w:val="1"/>
          <w:color w:val="auto"/>
          <w:vertAlign w:val="superscript"/>
        </w:rPr>
        <w:t>®</w:t>
      </w:r>
      <w:r>
        <w:rPr>
          <w:rFonts w:ascii="Arial" w:cs="Arial" w:eastAsia="Arial" w:hAnsi="Arial"/>
          <w:sz w:val="16"/>
          <w:szCs w:val="16"/>
          <w:i w:val="1"/>
          <w:iCs w:val="1"/>
          <w:color w:val="auto"/>
        </w:rPr>
        <w:t>; competition; delays in research and development; dependence on sole or limited source suppliers; inability to increase product sales; inventory risks; dependence upon key personnel; inability to protect our intellectual property rights; potential future acquisitions; the volatility of our stock price regardless of our actual financial performance; the effect of and any adjustments that may be required as a result of our independent review of our historical stock option granting procedures; and other factors detailed in our filings with the Securities and Exchange Commission. Readers are cautioned not to place undue reliance upon these forward looking statements, which speak only as of the date hereof, and the Company undertakes no obligation to update these forward looking statements to reflect subsequent events or circumstances. The inclusion of any statement in this release does not constitute an admission by the Company or any other person that the events or circumstances described in such statement are material.</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Active Power, the Active Power logo and CleanSource are registered trademarks of, and CoolAir is a trademark of Active Power, Inc. </w:t>
      </w:r>
      <w:r>
        <w:rPr>
          <w:rFonts w:ascii="Arial" w:cs="Arial" w:eastAsia="Arial" w:hAnsi="Arial"/>
          <w:sz w:val="18"/>
          <w:szCs w:val="18"/>
          <w:color w:val="auto"/>
        </w:rPr>
        <w:t>All other trademarks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of their respective companies.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Active Power Investor Contact:</w:t>
            </w:r>
          </w:p>
        </w:tc>
        <w:tc>
          <w:tcPr>
            <w:tcW w:w="2200" w:type="dxa"/>
            <w:vAlign w:val="bottom"/>
            <w:gridSpan w:val="2"/>
          </w:tcPr>
          <w:p>
            <w:pPr>
              <w:spacing w:after="0"/>
              <w:rPr>
                <w:sz w:val="20"/>
                <w:szCs w:val="20"/>
                <w:color w:val="auto"/>
              </w:rPr>
            </w:pPr>
            <w:r>
              <w:rPr>
                <w:rFonts w:ascii="Arial" w:cs="Arial" w:eastAsia="Arial" w:hAnsi="Arial"/>
                <w:sz w:val="18"/>
                <w:szCs w:val="18"/>
                <w:b w:val="1"/>
                <w:bCs w:val="1"/>
                <w:color w:val="auto"/>
                <w:w w:val="88"/>
              </w:rPr>
              <w:t>Active Power Media Contact:</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John Penver</w:t>
            </w:r>
          </w:p>
        </w:tc>
        <w:tc>
          <w:tcPr>
            <w:tcW w:w="2200" w:type="dxa"/>
            <w:vAlign w:val="bottom"/>
            <w:gridSpan w:val="2"/>
          </w:tcPr>
          <w:p>
            <w:pPr>
              <w:spacing w:after="0"/>
              <w:rPr>
                <w:sz w:val="20"/>
                <w:szCs w:val="20"/>
                <w:color w:val="auto"/>
              </w:rPr>
            </w:pPr>
            <w:r>
              <w:rPr>
                <w:rFonts w:ascii="Arial" w:cs="Arial" w:eastAsia="Arial" w:hAnsi="Arial"/>
                <w:sz w:val="18"/>
                <w:szCs w:val="18"/>
                <w:color w:val="auto"/>
              </w:rPr>
              <w:t>Andrea Zack</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200" w:type="dxa"/>
            <w:vAlign w:val="bottom"/>
            <w:gridSpan w:val="2"/>
          </w:tcPr>
          <w:p>
            <w:pPr>
              <w:spacing w:after="0"/>
              <w:rPr>
                <w:sz w:val="20"/>
                <w:szCs w:val="20"/>
                <w:color w:val="auto"/>
              </w:rPr>
            </w:pPr>
            <w:r>
              <w:rPr>
                <w:rFonts w:ascii="Arial" w:cs="Arial" w:eastAsia="Arial" w:hAnsi="Arial"/>
                <w:sz w:val="18"/>
                <w:szCs w:val="18"/>
                <w:color w:val="auto"/>
              </w:rPr>
              <w:t>The Bernard Group</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512.744.9234</w:t>
            </w:r>
          </w:p>
        </w:tc>
        <w:tc>
          <w:tcPr>
            <w:tcW w:w="40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512.617.6354</w:t>
            </w:r>
          </w:p>
        </w:tc>
        <w:tc>
          <w:tcPr>
            <w:tcW w:w="360" w:type="dxa"/>
            <w:vAlign w:val="bottom"/>
          </w:tcPr>
          <w:p>
            <w:pPr>
              <w:spacing w:after="0"/>
              <w:rPr>
                <w:sz w:val="18"/>
                <w:szCs w:val="18"/>
                <w:color w:val="auto"/>
              </w:rPr>
            </w:pPr>
          </w:p>
        </w:tc>
      </w:tr>
      <w:tr>
        <w:trPr>
          <w:trHeight w:val="184"/>
        </w:trPr>
        <w:tc>
          <w:tcPr>
            <w:tcW w:w="1900" w:type="dxa"/>
            <w:vAlign w:val="bottom"/>
          </w:tcPr>
          <w:p>
            <w:pPr>
              <w:spacing w:after="0" w:line="184" w:lineRule="exact"/>
              <w:rPr>
                <w:sz w:val="20"/>
                <w:szCs w:val="20"/>
                <w:color w:val="auto"/>
              </w:rPr>
            </w:pPr>
            <w:r>
              <w:rPr>
                <w:rFonts w:ascii="Arial" w:cs="Arial" w:eastAsia="Arial" w:hAnsi="Arial"/>
                <w:sz w:val="18"/>
                <w:szCs w:val="18"/>
                <w:color w:val="auto"/>
                <w:w w:val="88"/>
              </w:rPr>
              <w:t>jpenver@activepower.com</w:t>
            </w:r>
          </w:p>
        </w:tc>
        <w:tc>
          <w:tcPr>
            <w:tcW w:w="4060" w:type="dxa"/>
            <w:vAlign w:val="bottom"/>
          </w:tcPr>
          <w:p>
            <w:pPr>
              <w:spacing w:after="0"/>
              <w:rPr>
                <w:sz w:val="15"/>
                <w:szCs w:val="15"/>
                <w:color w:val="auto"/>
              </w:rPr>
            </w:pPr>
          </w:p>
        </w:tc>
        <w:tc>
          <w:tcPr>
            <w:tcW w:w="2200" w:type="dxa"/>
            <w:vAlign w:val="bottom"/>
            <w:gridSpan w:val="2"/>
          </w:tcPr>
          <w:p>
            <w:pPr>
              <w:spacing w:after="0" w:line="184" w:lineRule="exact"/>
              <w:rPr>
                <w:sz w:val="20"/>
                <w:szCs w:val="20"/>
                <w:color w:val="auto"/>
              </w:rPr>
            </w:pPr>
            <w:r>
              <w:rPr>
                <w:rFonts w:ascii="Arial" w:cs="Arial" w:eastAsia="Arial" w:hAnsi="Arial"/>
                <w:sz w:val="18"/>
                <w:szCs w:val="18"/>
                <w:color w:val="auto"/>
              </w:rPr>
              <w:t>azack@bernardgroup.com</w:t>
            </w:r>
          </w:p>
        </w:tc>
      </w:tr>
      <w:tr>
        <w:trPr>
          <w:trHeight w:val="20"/>
        </w:trPr>
        <w:tc>
          <w:tcPr>
            <w:tcW w:w="19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lowerRoman"/>
      <w:start w:val="1"/>
    </w:lvl>
  </w:abstractNum>
  <w:abstractNum w:abstractNumId="5">
    <w:nsid w:val="4E6AFB66"/>
    <w:multiLevelType w:val="hybridMultilevel"/>
    <w:lvl w:ilvl="0">
      <w:lvlJc w:val="left"/>
      <w:lvlText w:val="(%1)"/>
      <w:numFmt w:val="lowerLetter"/>
      <w:start w:val="3"/>
    </w:lvl>
  </w:abstractNum>
  <w:abstractNum w:abstractNumId="6">
    <w:nsid w:val="25E45D32"/>
    <w:multiLevelType w:val="hybridMultilevel"/>
    <w:lvl w:ilvl="0">
      <w:lvlJc w:val="left"/>
      <w:lvlText w:val="%1"/>
      <w:numFmt w:val="decimal"/>
      <w:start w:val="1"/>
    </w:lvl>
    <w:lvl w:ilvl="1">
      <w:lvlJc w:val="left"/>
      <w:lvlText w:val="(%2)"/>
      <w:numFmt w:val="lowerLetter"/>
      <w:start w:val="1"/>
    </w:lvl>
  </w:abstractNum>
  <w:abstractNum w:abstractNumId="7">
    <w:nsid w:val="519B500D"/>
    <w:multiLevelType w:val="hybridMultilevel"/>
    <w:lvl w:ilvl="0">
      <w:lvlJc w:val="left"/>
      <w:lvlText w:val="(%1)"/>
      <w:numFmt w:val="decimal"/>
      <w:start w:val="60"/>
    </w:lvl>
    <w:lvl w:ilvl="1">
      <w:lvlJc w:val="left"/>
      <w:lvlText w:val="%2"/>
      <w:numFmt w:val="lowerLetter"/>
      <w:start w:val="1"/>
    </w:lvl>
  </w:abstractNum>
  <w:abstractNum w:abstractNumId="8">
    <w:nsid w:val="431BD7B7"/>
    <w:multiLevelType w:val="hybridMultilevel"/>
    <w:lvl w:ilvl="0">
      <w:lvlJc w:val="left"/>
      <w:lvlText w:val="(%1)"/>
      <w:numFmt w:val="decimal"/>
      <w:start w:val="10"/>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lowerLetter"/>
      <w:start w:val="2"/>
    </w:lvl>
  </w:abstractNum>
  <w:abstractNum w:abstractNumId="13">
    <w:nsid w:val="436C6125"/>
    <w:multiLevelType w:val="hybridMultilevel"/>
    <w:lvl w:ilvl="0">
      <w:lvlJc w:val="left"/>
      <w:lvlText w:val="(%1)"/>
      <w:numFmt w:val="lowerRoman"/>
      <w:start w:val="2"/>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3"/>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4"/>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60"/>
    </w:lvl>
  </w:abstractNum>
  <w:abstractNum w:abstractNumId="24">
    <w:nsid w:val="B03E0C6"/>
    <w:multiLevelType w:val="hybridMultilevel"/>
    <w:lvl w:ilvl="0">
      <w:lvlJc w:val="left"/>
      <w:lvlText w:val="(%1)"/>
      <w:numFmt w:val="lowerLetter"/>
      <w:start w:val="1"/>
    </w:lvl>
    <w:lvl w:ilvl="1">
      <w:lvlJc w:val="left"/>
      <w:lvlText w:val="(%2)"/>
      <w:numFmt w:val="lowerRoman"/>
      <w:start w:val="1"/>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2019-12-14T17:58:41Z</dcterms:created>
  <dcterms:modified xsi:type="dcterms:W3CDTF">2019-12-14T17:58:41Z</dcterms:modified>
</cp:coreProperties>
</file>