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7" w:right="3039" w:hanging="4634"/>
        <w:spacing w:after="0" w:line="246" w:lineRule="auto"/>
        <w:rPr>
          <w:sz w:val="20"/>
          <w:szCs w:val="20"/>
          <w:color w:val="auto"/>
        </w:rPr>
      </w:pPr>
      <w:r>
        <w:rPr>
          <w:rFonts w:ascii="Courier New" w:cs="Courier New" w:eastAsia="Courier New" w:hAnsi="Courier New"/>
          <w:sz w:val="15"/>
          <w:szCs w:val="15"/>
          <w:color w:val="auto"/>
        </w:rPr>
        <w:t>As filed with the Securities and Exchange Commission on July 14, 2000 Registration No. 333-36946</w:t>
      </w:r>
    </w:p>
    <w:p>
      <w:pPr>
        <w:spacing w:after="0" w:line="1"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4" w:lineRule="exact"/>
        <w:rPr>
          <w:rFonts w:ascii="Courier New" w:cs="Courier New" w:eastAsia="Courier New" w:hAnsi="Courier New"/>
          <w:sz w:val="15"/>
          <w:szCs w:val="15"/>
          <w:color w:val="auto"/>
        </w:rPr>
      </w:pPr>
    </w:p>
    <w:p>
      <w:pPr>
        <w:ind w:left="2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Amendment No. 2 to</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S-1</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Under</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THE SECURITIES ACT OF 1933</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5" w:lineRule="exact"/>
        <w:rPr>
          <w:sz w:val="24"/>
          <w:szCs w:val="24"/>
          <w:color w:val="auto"/>
        </w:rPr>
      </w:pPr>
    </w:p>
    <w:p>
      <w:pPr>
        <w:ind w:left="267" w:right="3859" w:firstLine="273"/>
        <w:spacing w:after="0" w:line="246" w:lineRule="auto"/>
        <w:rPr>
          <w:sz w:val="20"/>
          <w:szCs w:val="20"/>
          <w:color w:val="auto"/>
        </w:rPr>
      </w:pPr>
      <w:r>
        <w:rPr>
          <w:rFonts w:ascii="Courier New" w:cs="Courier New" w:eastAsia="Courier New" w:hAnsi="Courier New"/>
          <w:sz w:val="15"/>
          <w:szCs w:val="15"/>
          <w:color w:val="auto"/>
        </w:rPr>
        <w:t>Delaware 3629 74-2642142 (State or other (Primary Standard Industrial (I.R.S. Employer jurisdiction of Classification Code Number)</w:t>
      </w:r>
    </w:p>
    <w:p>
      <w:pPr>
        <w:spacing w:after="0" w:line="2" w:lineRule="exact"/>
        <w:rPr>
          <w:sz w:val="24"/>
          <w:szCs w:val="24"/>
          <w:color w:val="auto"/>
        </w:rPr>
      </w:pPr>
    </w:p>
    <w:p>
      <w:pPr>
        <w:ind w:left="4627"/>
        <w:spacing w:after="0"/>
        <w:rPr>
          <w:sz w:val="20"/>
          <w:szCs w:val="20"/>
          <w:color w:val="auto"/>
        </w:rPr>
      </w:pPr>
      <w:r>
        <w:rPr>
          <w:rFonts w:ascii="Courier New" w:cs="Courier New" w:eastAsia="Courier New" w:hAnsi="Courier New"/>
          <w:sz w:val="15"/>
          <w:szCs w:val="15"/>
          <w:color w:val="auto"/>
        </w:rPr>
        <w:t>Identification Number)</w:t>
      </w: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incorporation or</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organization)</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11525 Stonehollow Dr.</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110</w:t>
      </w:r>
    </w:p>
    <w:p>
      <w:pPr>
        <w:spacing w:after="0" w:line="5"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Telephone: (512) 836-6464, Facsimile: (512) 836-4511</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the registrant's principal executive offices)</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11525 Stonehollow Drive</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110</w:t>
      </w:r>
    </w:p>
    <w:p>
      <w:pPr>
        <w:spacing w:after="0" w:line="5"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Telephone: (512) 836-6464</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Facsimile: (512) 836-4511</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of agent for service)</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26"/>
          </w:cols>
          <w:pgMar w:left="233" w:top="759" w:right="1440" w:bottom="1440" w:gutter="0" w:footer="0" w:header="0"/>
        </w:sectPr>
      </w:pPr>
    </w:p>
    <w:p>
      <w:pPr>
        <w:spacing w:after="0" w:line="5" w:lineRule="exact"/>
        <w:rPr>
          <w:sz w:val="24"/>
          <w:szCs w:val="24"/>
          <w:color w:val="auto"/>
        </w:rPr>
      </w:pPr>
    </w:p>
    <w:p>
      <w:pPr>
        <w:jc w:val="center"/>
        <w:ind w:right="13"/>
        <w:spacing w:after="0"/>
        <w:rPr>
          <w:sz w:val="20"/>
          <w:szCs w:val="20"/>
          <w:color w:val="auto"/>
        </w:rPr>
      </w:pPr>
      <w:r>
        <w:rPr>
          <w:rFonts w:ascii="Courier New" w:cs="Courier New" w:eastAsia="Courier New" w:hAnsi="Courier New"/>
          <w:sz w:val="15"/>
          <w:szCs w:val="15"/>
          <w:color w:val="auto"/>
        </w:rPr>
        <w:t>J. MATTHEW LYONS, P.C.</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TED A. GILMAN</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Brobeck, Phleger &amp; Harrison LLP</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301 Congress Avenue, Suite 1200</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Telephone: (512) 477-5495</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Facsimile: (512) 477-5813</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ROBERT S. BAIRD</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JEFFREY A. CHAPMAN</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SHANNA DINWIDDIE JONES</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Vinson &amp; Elkins L.L.P.</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600 Congress Avenue</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Telephone: (512) 495-8400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Facsimile: (512) 495-8612</w:t>
      </w:r>
    </w:p>
    <w:p>
      <w:pPr>
        <w:spacing w:after="0" w:line="180" w:lineRule="exact"/>
        <w:rPr>
          <w:sz w:val="24"/>
          <w:szCs w:val="24"/>
          <w:color w:val="auto"/>
        </w:rPr>
      </w:pPr>
    </w:p>
    <w:p>
      <w:pPr>
        <w:sectPr>
          <w:pgSz w:w="11900" w:h="16838" w:orient="portrait"/>
          <w:cols w:equalWidth="0" w:num="2">
            <w:col w:w="3467" w:space="720"/>
            <w:col w:w="6039"/>
          </w:cols>
          <w:pgMar w:left="233" w:top="759" w:right="1440" w:bottom="1440" w:gutter="0" w:footer="0" w:header="0"/>
          <w:type w:val="continuous"/>
        </w:sect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check the following box. [_]</w:t>
      </w:r>
    </w:p>
    <w:p>
      <w:pPr>
        <w:spacing w:after="0" w:line="2" w:lineRule="exact"/>
        <w:rPr>
          <w:sz w:val="24"/>
          <w:szCs w:val="24"/>
          <w:color w:val="auto"/>
        </w:rPr>
      </w:pPr>
    </w:p>
    <w:p>
      <w:pPr>
        <w:ind w:left="7" w:right="3319" w:firstLine="273"/>
        <w:spacing w:after="0" w:line="246"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7"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4"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75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+THE INFORMATION IN THIS PRELIMINARY PROSPECTUS IS NOT COMPLETE AND MAY BE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+CHANGED. THESE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MAY NOT BE SOLD UNTIL THE REGISTRATION STATEMENT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+FILED WITH THE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AND EXCHANGE COMMISSION IS EFFECTIVE. THIS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+PRELIMINARY PROSPECTUS IS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NOT AN OFFER TO SELL NOR DOES IT SEEK AN OFFER TO</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+BUY THESE SECURITIES IN ANY JURISDICTION WHERE THE OFFER OR SALE IS NOT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+PERMITTED.</w:t>
            </w:r>
          </w:p>
        </w:tc>
        <w:tc>
          <w:tcPr>
            <w:tcW w:w="4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Subject to Completion. Dated July 14, 2000.</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OF ACTIVE POWER APPEARS HERE]</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182"/>
        <w:spacing w:after="0" w:line="247" w:lineRule="auto"/>
        <w:rPr>
          <w:sz w:val="20"/>
          <w:szCs w:val="20"/>
          <w:color w:val="auto"/>
        </w:rPr>
      </w:pPr>
      <w:r>
        <w:rPr>
          <w:rFonts w:ascii="Courier New" w:cs="Courier New" w:eastAsia="Courier New" w:hAnsi="Courier New"/>
          <w:sz w:val="15"/>
          <w:szCs w:val="15"/>
          <w:color w:val="auto"/>
        </w:rPr>
        <w:t>This is an initial public offering of shares of common stock of Active Power, Inc. All of the 8,000,000 shares of common stock are being sold by Active Power.</w:t>
      </w:r>
    </w:p>
    <w:p>
      <w:pPr>
        <w:spacing w:after="0" w:line="17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We estimate that the initial public offering price per share will be between $11.00 and $13.00. Our common stock has been approved for quotation on the Nasdaq National Market under the symbol "ACPW".</w:t>
      </w:r>
    </w:p>
    <w:p>
      <w:pPr>
        <w:spacing w:after="0" w:line="177" w:lineRule="exact"/>
        <w:rPr>
          <w:sz w:val="20"/>
          <w:szCs w:val="20"/>
          <w:color w:val="auto"/>
        </w:rPr>
      </w:pPr>
    </w:p>
    <w:p>
      <w:pPr>
        <w:ind w:right="3599" w:firstLine="182"/>
        <w:spacing w:after="0" w:line="247" w:lineRule="auto"/>
        <w:rPr>
          <w:sz w:val="20"/>
          <w:szCs w:val="20"/>
          <w:color w:val="auto"/>
        </w:rPr>
      </w:pPr>
      <w:r>
        <w:rPr>
          <w:rFonts w:ascii="Courier New" w:cs="Courier New" w:eastAsia="Courier New" w:hAnsi="Courier New"/>
          <w:sz w:val="15"/>
          <w:szCs w:val="15"/>
          <w:color w:val="auto"/>
        </w:rPr>
        <w:t>See "Risk Factors" beginning on page 7 to read about factors you should consider before buying shares of our common stock.</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right="3139" w:firstLine="182"/>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jc w:val="right"/>
              <w:ind w:right="19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699"/>
        </w:trPr>
        <w:tc>
          <w:tcPr>
            <w:tcW w:w="6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rPr>
              <w:t>Per</w:t>
            </w:r>
          </w:p>
        </w:tc>
        <w:tc>
          <w:tcPr>
            <w:tcW w:w="500" w:type="dxa"/>
            <w:vAlign w:val="bottom"/>
          </w:tcPr>
          <w:p>
            <w:pPr>
              <w:spacing w:after="0"/>
              <w:rPr>
                <w:sz w:val="24"/>
                <w:szCs w:val="24"/>
                <w:color w:val="auto"/>
              </w:rPr>
            </w:pPr>
          </w:p>
        </w:tc>
      </w:tr>
      <w:tr>
        <w:trPr>
          <w:trHeight w:val="175"/>
        </w:trPr>
        <w:tc>
          <w:tcPr>
            <w:tcW w:w="6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7"/>
              </w:rPr>
              <w:t>Share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Total</w:t>
            </w:r>
          </w:p>
        </w:tc>
      </w:tr>
      <w:tr>
        <w:trPr>
          <w:trHeight w:val="175"/>
        </w:trPr>
        <w:tc>
          <w:tcPr>
            <w:tcW w:w="6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Initial public offering price .....................................</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Proceeds, before expenses, to Active Power.........................</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To the extent that the underwriters sell more than 8,000,000 shares of common stock, the underwriters have the option to purchase up to an additional 900,000 shares from Active Power and up to an additional 300,000 shares from a selling stockholder identified in this prospectus, each at the initial public offering price less the underwriting discount. Active Power will not receive any of the proceeds from the sale of any shares sold by the selling stockholder.</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5"/>
          <w:szCs w:val="15"/>
          <w:color w:val="auto"/>
        </w:rPr>
        <w:t>,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CIBC WORLD MARKETS</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2">
            <w:col w:w="3440" w:space="640"/>
            <w:col w:w="6139"/>
          </w:cols>
          <w:pgMar w:left="240" w:top="642" w:right="1440" w:bottom="1440" w:gutter="0" w:footer="0" w:header="0"/>
          <w:type w:val="continuous"/>
        </w:sectPr>
      </w:pPr>
    </w:p>
    <w:bookmarkStart w:id="2" w:name="page3"/>
    <w:bookmarkEnd w:id="2"/>
    <w:p>
      <w:pPr>
        <w:ind w:left="2260"/>
        <w:spacing w:after="0"/>
        <w:rPr>
          <w:sz w:val="20"/>
          <w:szCs w:val="20"/>
          <w:color w:val="auto"/>
        </w:rPr>
      </w:pPr>
      <w:r>
        <w:rPr>
          <w:rFonts w:ascii="Courier New" w:cs="Courier New" w:eastAsia="Courier New" w:hAnsi="Courier New"/>
          <w:sz w:val="15"/>
          <w:szCs w:val="15"/>
          <w:color w:val="auto"/>
        </w:rPr>
        <w:t>[INSIDE FRONT COVER GRAPHICS]</w:t>
      </w:r>
    </w:p>
    <w:p>
      <w:pPr>
        <w:spacing w:after="0" w:line="180"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[Description of graphics: The inside front cover has three graphical depictions.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first graphic is located on the top half of the page and is captioned "Active Power transforms unreliable, inconsistent electricity..." at the top of the page and "...into high quality, dependable power," at the bottom of the graphic in the middle of the page.</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left side of the graphic depicts sine waves representing the three problems with power supplied from the electric utility grid. The first graphic shows a steady sine wave that turns into a straight line. Above the straight line is the word "Outage" with an arrow pointing at the straight line. Below this graphic is a graphic of another sine wave which has smaller peaks and valleys in the middle of the sine wave. Above the middle of the sine wave are the words "Voltage Sag" with an arrow pointing at the center of the sine wave. Below this graphic is a graphic of another sine wave which has larger peaks and valleys in the middle of the sine wave. Above the middle of the sine wave are the words "Voltage Surges" with an arrow pointing at the center of the sine wave.</w:t>
      </w:r>
    </w:p>
    <w:p>
      <w:pPr>
        <w:spacing w:after="0" w:line="1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 the center of the graphic is a rotor with the Active Power logo in the middle. From the rotor to the right of the page is a smooth, continuous sine wave.</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 the left side of the bottom of the page is a graphic with the caption "CleanSource UPS Technology". The graphic is a three-dimensional rendering of our CleanSource UPS product showing the exposed internal components of the product without its sheet-metal shell. The graphic shows the appearance and relative size and location of the components of the product. The flywheel energy storage component is visible at the bottom of the CleanSource UPS product while the UPS electronics appear closer to the top.</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 the right side of the bottom of the page is a graphic with the caption "CAT branded CleanSource UPS". This graphic is a three-dimensional rendering of a Caterpillar-branded CleanSource UPS product showing the external appearance of the product with its painted sheet-metal shell. Caterpillar's "CAT" logo is visible on the upper left of the front side of the product.]</w:t>
      </w:r>
    </w:p>
    <w:p>
      <w:pPr>
        <w:sectPr>
          <w:pgSz w:w="11900" w:h="16838" w:orient="portrait"/>
          <w:cols w:equalWidth="0" w:num="1">
            <w:col w:w="10219"/>
          </w:cols>
          <w:pgMar w:left="240" w:top="643" w:right="1440" w:bottom="1440"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5"/>
          <w:szCs w:val="15"/>
          <w:color w:val="auto"/>
        </w:rPr>
        <w:t>PROSPECTUS SUMMARY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This summary provides an overview of the key aspects of the offering. Because this is a summary, it may not contain all of the information that is important to you.</w:t>
      </w: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we have developed a battery-free power quality system which is marketed under the Caterpillar brand name. In addition, we are currently developing a fully integrated continuous power system, the initial target market for which is the rapidly growing telecommunications industry.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need for high quality electric power that is free of sags, surges and power outages has been increasing rapidly in recent years. This demand for power quality has been driven largely by the growth in the use of computers, the Internet and telecommunications products. These sophisticated applications are less tolerant of voltage disturbances than conventional uses of electricity. A 1999 study by the Electric Power Research Institute estimated that electric power problems annually cost U.S. industry more than $30 billion in lost data, material and productivity. Therefore, end users of sophisticated electronic equipment are seeking new solutions for their power quality and reliability problems.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Conventional Power Quality Systems and Their Limitations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variety of approaches currently exist that attempt to address the problems associated with the poor quality of power delivered by the electric utility grid. Conventional power quality systems have been constructed using three main components,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 The conventional patchwork approach to UPS and CPS has resulted in inefficient systems that generally are expensive, unreliable and environmentally unsound.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our current products are superior alternatives to conventional UPS and CPS products and should be able to rapidly penetrate the power quality industry. With our future products, we anticipate that we will be able to compete in most segments of this industry.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Our first product, CleanSource DC, is a patented flywheel-based energy storage system that is a cost-effective, reliable, non-toxic replacement for the lead-acid batteries used in a UPS.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4" w:name="page5"/>
    <w:bookmarkEnd w:id="4"/>
    <w:p>
      <w:pPr>
        <w:ind w:right="3039"/>
        <w:spacing w:after="0" w:line="246" w:lineRule="auto"/>
        <w:rPr>
          <w:sz w:val="20"/>
          <w:szCs w:val="20"/>
          <w:color w:val="auto"/>
        </w:rPr>
      </w:pPr>
      <w:r>
        <w:rPr>
          <w:rFonts w:ascii="Courier New" w:cs="Courier New" w:eastAsia="Courier New" w:hAnsi="Courier New"/>
          <w:sz w:val="15"/>
          <w:szCs w:val="15"/>
          <w:color w:val="auto"/>
        </w:rPr>
        <w:t>flywheel, powered with electricity from the utility grid, stores kinetic energy by constantly spinning a compact rotor inside a low friction environment. When the user requires power due to a power outage or sag, CleanSource DC converts the kinetic energy of the spinning flywheel into electricity. For longer term power outages, CleanSource DC can provide enough power to bridge the gap between the power disturbance and the start-up of the genset which will deliver long-term back-up power.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second product, CleanSource UPS, is the primary focus of our current sales efforts. It integrates UPS electronics, which detect any power quality problems, with our flywheel-based energy storage system. As a result of the efficiencies created by the significant component overlap in the two systems, CleanSource UPS represents a more compact, reliable and efficient power quality solution. When used with a genset, CleanSource UPS also provides a continuous power solution. We have granted Caterpillar distribution rights to CleanSource UPS, which is marketed under the Caterpillar brand name. While the power quality market is generally conservative and reluctant to adopt new products, we believe that our arrangement with Caterpillar will provide CleanSource UPS the credibility it will need to overcome this reluctance and penetrate the market.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Leveraging the technology and design expertise developed in our earlier products, we are developing a fully integrated CPS. This system will combine short and long term energy storage and UPS functionality into one fully integrated system. We believe that this product will provide customers with higher levels of power reliability and lower operating costs than conventional patchwork, lead-acid battery based approaches. The initial target market for this product is as a back-up power source for distributed telecommunications applications. We anticipate commercial availability of our first CPS product in the fourth quarter of 2001.</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DISTRIBUTED POWER TECHNOLOGY. Under an agreement with Caterpillar, we are also studying the potential benefits of a new type of electromechanical technology that can be used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According to industry sources, in 1999 businesses spent in excess of $11.0 billion globally on power quality and reliability products in an attempt to reduce losses due to power disturbances. Industry sources also estimate that market growth rates for power quality and reliability products will be 30% per year. While more established companies currently serve the power quality market, we believe that our products are superior alternatives. Our current products, CleanSource DC and CleanSource UPS, are targeted at the $5.5 billion market for UPS. Our development efforts for our existing and future products will be focused on almost all of the remaining segments of this market.</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With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study conducted by the University of Texas and released by Cisco Systems projected that the U.S. Internet economy would grow to $850 billion in 2000, up 62% from 1999. To support this growth, internet service providers must construct new facilities to house the equipment required to provide the service demanded by their customers and are adding power quality equipment to ensure continuous service around-the-clock.</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This segment represents approximately $4.0 billion of the $11.0 billion power quality market. While conventional CPS systems presently meet market demand, we are designing our next generation product, a fully integrated CPS to service the specific needs of telecommunications providers. While this product is still in development, we believe that we will be able to rapidly penetrate this market.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INDUSTRIAL. Manufacturing organizations are employing increasing levels of automation. Even brief power disturbances, which result in lost material, lost data, and worker and plant down time, can be very expensive. Industries where we expect significant future opportunities include semiconductor and pharmaceutical manufacturing, plastic and fiber extrusion, textiles, and precision machining.</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facilities have been largely unprotected from power disturbances or have only been spot-protected with a surge protector or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in the world. Because even a short power disturbance can cause an extended shutdown of sensitive electronic equipment, many of the customers that have historically relied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a significant market opportunity exists to upgrade, or retrofit, a portion of Caterpillar's approximately 250,000 installed gensets worldwide by adding our CleanSource UPS, thereby creating a CPS.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believe that employing our CleanSource products with fuel cells and microturbines represent potential markets for our CleanSource products. These new technologies, which allow users to bypass the electric utility grid by generating power locally, cannot respond effectively to rapid changes in electric power demands, or loads. CleanSource DC can absorb sharp peaks in electrical demand, allowing a microturbine or fuel cell to be sized for the average power requirement of the customer, rather than for peak power requirements, thereby generating significant cost savings.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FACTORS YOU SHOULD CONSIDER</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In addition to the information we provide in the "Risk Factors" section and elsewhere in this prospectus, you should also consider the following factors regarding our company.</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Customer Concentration. Since our inception, a few customers have accounted for the majority of our sales. During 1999, our four largest customers accounted for 89% of our sales, with our largest, Caterpillar, accounting for 39%. In the first six months of 2000, Caterpillar accounted for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6" w:name="page7"/>
    <w:bookmarkEnd w:id="6"/>
    <w:p>
      <w:pPr>
        <w:ind w:right="3139"/>
        <w:spacing w:after="0" w:line="247" w:lineRule="auto"/>
        <w:rPr>
          <w:sz w:val="20"/>
          <w:szCs w:val="20"/>
          <w:color w:val="auto"/>
        </w:rPr>
      </w:pPr>
      <w:r>
        <w:rPr>
          <w:rFonts w:ascii="Courier New" w:cs="Courier New" w:eastAsia="Courier New" w:hAnsi="Courier New"/>
          <w:sz w:val="15"/>
          <w:szCs w:val="15"/>
          <w:color w:val="auto"/>
        </w:rPr>
        <w:t>83% of our revenue as we have shifted focus to our CleanSource UPS product. We expect to be dependent on a few original equipment manufacturer customers, particularly Caterpillar, for most of our sales for the foreseeable future.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Limited Operating History. To date, we have primarily funded our operations through sales of our preferred stock, which has resulted in gross proceeds of approximately $42.8 million, as well as $5.0 million in development funding which we received from Caterpillar in 1999. As of June 30, 2000, we had generated an accumulated deficit of $37.0 million and expect to continue to sustain operating losses for the next several years.</w:t>
      </w:r>
    </w:p>
    <w:p>
      <w:pPr>
        <w:spacing w:after="0" w:line="1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CORPORATE INFORMATION</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We were founded as a Texas corporation in 1992. We changed our name from Magnetic Bearing Technologies, Inc. to Active Power, Inc. in 1996 and we reincorporated in Delaware in 2000.</w:t>
      </w:r>
    </w:p>
    <w:p>
      <w:pPr>
        <w:spacing w:after="0" w:line="174"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principal executive offices are located at 11525 Stonehollow Drive, Suite 110, Austin, Texas 78758. Our telephone number is (512) 836-6464.</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ASSUMPTIONS THAT APPLY TO THIS PROSPECTUS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This offering is for 8,000,000 shares. The underwriters have a 30-day option to purchase up to 900,000 additional shares from us and up to 300,000 additional shares from a selling stockholder to cover over-allotments. Unless we state otherwise, the information in this prospectus assumes that the underwriters will not exercise the over-allotment option.</w:t>
      </w:r>
    </w:p>
    <w:p>
      <w:pPr>
        <w:spacing w:after="0" w:line="178"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Except where we state otherwise, the information we present in this prospectus:</w:t>
      </w:r>
    </w:p>
    <w:p>
      <w:pPr>
        <w:spacing w:after="0" w:line="175" w:lineRule="exact"/>
        <w:rPr>
          <w:sz w:val="20"/>
          <w:szCs w:val="20"/>
          <w:color w:val="auto"/>
        </w:rPr>
      </w:pPr>
    </w:p>
    <w:p>
      <w:pPr>
        <w:ind w:left="360" w:right="3499" w:hanging="185"/>
        <w:spacing w:after="0" w:line="247"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2.16-for-1 split of our common stock which will be effected prior to the consummation of this offering;</w:t>
      </w:r>
    </w:p>
    <w:p>
      <w:pPr>
        <w:spacing w:after="0" w:line="175" w:lineRule="exact"/>
        <w:rPr>
          <w:sz w:val="20"/>
          <w:szCs w:val="20"/>
          <w:color w:val="auto"/>
        </w:rPr>
      </w:pPr>
    </w:p>
    <w:p>
      <w:pPr>
        <w:ind w:left="360" w:right="3319" w:hanging="185"/>
        <w:spacing w:after="0" w:line="24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our reincorporation in Delaware in April 2000, at which time each share of common stock and preferred stock issued by our predecessor Texas corporation was exchanged for two shares of a similar series of common stock or preferred stock in the successor Delaware corporation; and</w:t>
      </w:r>
    </w:p>
    <w:p>
      <w:pPr>
        <w:spacing w:after="0" w:line="178" w:lineRule="exact"/>
        <w:rPr>
          <w:sz w:val="20"/>
          <w:szCs w:val="20"/>
          <w:color w:val="auto"/>
        </w:rPr>
      </w:pPr>
    </w:p>
    <w:p>
      <w:pPr>
        <w:jc w:val="both"/>
        <w:ind w:left="360" w:right="3599" w:hanging="185"/>
        <w:spacing w:after="0" w:line="24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all outstanding shares of preferred stock, other than our 1992 preferred stock, into 17,461,883 shares of common stock upon the closing of this offering.</w:t>
      </w:r>
    </w:p>
    <w:p>
      <w:pPr>
        <w:spacing w:after="0" w:line="17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All references in this prospectus to "we", "us", "ours" and "Active Power" are intended to include Active Power, Inc., including our predecessor Texas corporation.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7" w:right="1440" w:bottom="1440" w:gutter="0" w:footer="0" w:header="0"/>
        </w:sectPr>
      </w:pPr>
    </w:p>
    <w:bookmarkStart w:id="7" w:name="page8"/>
    <w:bookmarkEnd w:id="7"/>
    <w:p>
      <w:pPr>
        <w:ind w:left="308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 are offering........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0"/>
          <w:szCs w:val="20"/>
          <w:color w:val="auto"/>
        </w:rPr>
      </w:pPr>
    </w:p>
    <w:p>
      <w:pPr>
        <w:sectPr>
          <w:pgSz w:w="11900" w:h="16838" w:orient="portrait"/>
          <w:cols w:equalWidth="0" w:num="2">
            <w:col w:w="3260" w:space="460"/>
            <w:col w:w="6499"/>
          </w:cols>
          <w:pgMar w:left="240" w:top="642" w:right="1440" w:bottom="1440" w:gutter="0" w:footer="0" w:header="0"/>
          <w:type w:val="continuous"/>
        </w:sectPr>
      </w:pPr>
    </w:p>
    <w:p>
      <w:pPr>
        <w:ind w:left="80" w:hanging="90"/>
        <w:spacing w:after="0" w:line="247" w:lineRule="auto"/>
        <w:rPr>
          <w:sz w:val="20"/>
          <w:szCs w:val="20"/>
          <w:color w:val="auto"/>
        </w:rPr>
      </w:pPr>
      <w:r>
        <w:rPr>
          <w:rFonts w:ascii="Courier New" w:cs="Courier New" w:eastAsia="Courier New" w:hAnsi="Courier New"/>
          <w:sz w:val="15"/>
          <w:szCs w:val="15"/>
          <w:color w:val="auto"/>
        </w:rPr>
        <w:t>Outstanding common stock after the offering...........................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37,662,399 shares</w:t>
      </w:r>
    </w:p>
    <w:p>
      <w:pPr>
        <w:spacing w:after="0" w:line="180"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039"/>
        <w:spacing w:after="0" w:line="246" w:lineRule="auto"/>
        <w:rPr>
          <w:sz w:val="20"/>
          <w:szCs w:val="20"/>
          <w:color w:val="auto"/>
        </w:rPr>
      </w:pPr>
      <w:r>
        <w:rPr>
          <w:rFonts w:ascii="Courier New" w:cs="Courier New" w:eastAsia="Courier New" w:hAnsi="Courier New"/>
          <w:sz w:val="15"/>
          <w:szCs w:val="15"/>
          <w:color w:val="auto"/>
        </w:rPr>
        <w:t>We intend to use the net proceeds for working capital and other general corporate purposes, including increases in both component and finished goods inventory, expansion of our manufacturing facilities and capacity, capital expenditures, research and development, sales and marketing, and possible acquisitions and international expansion. See "Use of Proceeds".</w:t>
      </w:r>
    </w:p>
    <w:p>
      <w:pPr>
        <w:spacing w:after="0" w:line="181"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ACPW</w:t>
      </w:r>
    </w:p>
    <w:p>
      <w:pPr>
        <w:spacing w:after="0" w:line="354"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number of shares of common stock to be outstanding after this offering is based on the number of shares outstanding as of June 30, 2000, and assumes the conversion of all of our preferred stock, other than our 1992 preferred stock, into 17,461,883 shares of common stock. This number assumes no exercise of the underwriters' over-allotment option and excludes:</w:t>
      </w:r>
    </w:p>
    <w:p>
      <w:pPr>
        <w:spacing w:after="0" w:line="178" w:lineRule="exact"/>
        <w:rPr>
          <w:sz w:val="20"/>
          <w:szCs w:val="20"/>
          <w:color w:val="auto"/>
        </w:rPr>
      </w:pPr>
    </w:p>
    <w:p>
      <w:pPr>
        <w:ind w:left="360" w:right="3219" w:hanging="185"/>
        <w:spacing w:after="0" w:line="247"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3,423,194 shares of common stock issuable upon exercise of options outstanding as of June 30, 2000 with a weighted average exercise price of $1.08 per share;</w:t>
      </w:r>
    </w:p>
    <w:p>
      <w:pPr>
        <w:spacing w:after="0" w:line="174" w:lineRule="exact"/>
        <w:rPr>
          <w:sz w:val="20"/>
          <w:szCs w:val="20"/>
          <w:color w:val="auto"/>
        </w:rPr>
      </w:pPr>
    </w:p>
    <w:p>
      <w:pPr>
        <w:ind w:left="360" w:right="3419" w:hanging="185"/>
        <w:spacing w:after="0" w:line="246"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101,740 additional shares of common stock reserved under our 1993 stock option plan as of June 30, 2000, and an increase of an additional 2,592,000 shares of common stock reserved under our 2000 stock option plan which was approved by our board of directions on July 13, 2000;</w:t>
      </w:r>
    </w:p>
    <w:p>
      <w:pPr>
        <w:spacing w:after="0" w:line="177" w:lineRule="exact"/>
        <w:rPr>
          <w:sz w:val="20"/>
          <w:szCs w:val="20"/>
          <w:color w:val="auto"/>
        </w:rPr>
      </w:pPr>
    </w:p>
    <w:p>
      <w:pPr>
        <w:ind w:left="360" w:right="3219" w:hanging="185"/>
        <w:spacing w:after="0" w:line="247"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1,080,000 shares of common stock reserved for issuance under our employee stock purchase plan; and</w:t>
      </w:r>
    </w:p>
    <w:p>
      <w:pPr>
        <w:spacing w:after="0" w:line="175" w:lineRule="exact"/>
        <w:rPr>
          <w:sz w:val="20"/>
          <w:szCs w:val="20"/>
          <w:color w:val="auto"/>
        </w:rPr>
      </w:pPr>
    </w:p>
    <w:p>
      <w:pPr>
        <w:ind w:left="360" w:right="3499" w:hanging="185"/>
        <w:spacing w:after="0" w:line="247"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432,000 shares of common stock issuable upon exercise of outstanding warrants as of June 30, 2000 with a weighted average exercise price of $5.25 per share.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type w:val="continuous"/>
        </w:sectPr>
      </w:pPr>
    </w:p>
    <w:bookmarkStart w:id="8" w:name="page9"/>
    <w:bookmarkEnd w:id="8"/>
    <w:p>
      <w:pPr>
        <w:jc w:val="center"/>
        <w:ind w:right="3059"/>
        <w:spacing w:after="0"/>
        <w:rPr>
          <w:sz w:val="20"/>
          <w:szCs w:val="20"/>
          <w:color w:val="auto"/>
        </w:rPr>
      </w:pPr>
      <w:r>
        <w:rPr>
          <w:rFonts w:ascii="Courier New" w:cs="Courier New" w:eastAsia="Courier New" w:hAnsi="Courier New"/>
          <w:sz w:val="15"/>
          <w:szCs w:val="15"/>
          <w:color w:val="auto"/>
        </w:rPr>
        <w:t>SUMMARY FINANCIAL INFORMATION</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940" w:type="dxa"/>
            <w:vAlign w:val="bottom"/>
          </w:tcPr>
          <w:p>
            <w:pPr>
              <w:spacing w:after="0"/>
              <w:rPr>
                <w:sz w:val="15"/>
                <w:szCs w:val="15"/>
                <w:color w:val="auto"/>
              </w:rPr>
            </w:pPr>
          </w:p>
        </w:tc>
        <w:tc>
          <w:tcPr>
            <w:tcW w:w="24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5"/>
        </w:trPr>
        <w:tc>
          <w:tcPr>
            <w:tcW w:w="29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820" w:type="dxa"/>
            <w:vAlign w:val="bottom"/>
          </w:tcPr>
          <w:p>
            <w:pPr>
              <w:spacing w:after="0"/>
              <w:rPr>
                <w:sz w:val="15"/>
                <w:szCs w:val="15"/>
                <w:color w:val="auto"/>
              </w:rPr>
            </w:pPr>
          </w:p>
        </w:tc>
        <w:tc>
          <w:tcPr>
            <w:tcW w:w="17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9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138</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   915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$ 1,047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3,862</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3,187</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9,358</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(1,073)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(3,738)</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(5,979) (10,188)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(2,439)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(11,065)</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contains a summary of our unaudited balance sheet: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June 30,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reflect the conversion of all outstanding shares of convertible preferred stock into 17,461,883 shares of common stock upon the consummation of this offering, as if such conversion had occurred on June 30, 2000; and</w:t>
      </w:r>
    </w:p>
    <w:p>
      <w:pPr>
        <w:spacing w:after="0" w:line="177" w:lineRule="exact"/>
        <w:rPr>
          <w:sz w:val="20"/>
          <w:szCs w:val="20"/>
          <w:color w:val="auto"/>
        </w:rPr>
      </w:pPr>
    </w:p>
    <w:p>
      <w:pPr>
        <w:ind w:left="360" w:right="3219" w:hanging="185"/>
        <w:spacing w:after="0" w:line="246"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June 30, 2000 to additionally reflect estimated net proceeds from the sale of 8,000,000 shares of common stock offered hereby at an assumed initial public offering price of $12.00 per share.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680" w:type="dxa"/>
            <w:vAlign w:val="bottom"/>
            <w:gridSpan w:val="3"/>
          </w:tcPr>
          <w:p>
            <w:pPr>
              <w:jc w:val="center"/>
              <w:ind w:right="64"/>
              <w:spacing w:after="0"/>
              <w:rPr>
                <w:sz w:val="20"/>
                <w:szCs w:val="20"/>
                <w:color w:val="auto"/>
              </w:rPr>
            </w:pPr>
            <w:r>
              <w:rPr>
                <w:rFonts w:ascii="Courier New" w:cs="Courier New" w:eastAsia="Courier New" w:hAnsi="Courier New"/>
                <w:sz w:val="15"/>
                <w:szCs w:val="15"/>
                <w:color w:val="auto"/>
              </w:rPr>
              <w:t>JUNE 30, 2000</w:t>
            </w:r>
          </w:p>
        </w:tc>
      </w:tr>
      <w:tr>
        <w:trPr>
          <w:trHeight w:val="175"/>
        </w:trPr>
        <w:tc>
          <w:tcPr>
            <w:tcW w:w="440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PRO</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40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ACTUAL</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rPr>
              <w:t>FORMA</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5"/>
        </w:trPr>
        <w:tc>
          <w:tcPr>
            <w:tcW w:w="44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 invest-</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ments..........................................</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$ 17,749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$17,749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$105,749</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18,586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18,586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106,586</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23,267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23,267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111,267</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Redeemable convertible preferred stock..........</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69,645</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(48,084)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21,561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109,561</w:t>
            </w:r>
          </w:p>
        </w:tc>
      </w:tr>
      <w:tr>
        <w:trPr>
          <w:trHeight w:val="524"/>
        </w:trPr>
        <w:tc>
          <w:tcPr>
            <w:tcW w:w="4400" w:type="dxa"/>
            <w:vAlign w:val="bottom"/>
          </w:tcPr>
          <w:p>
            <w:pPr>
              <w:ind w:left="3540"/>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9" w:name="page10"/>
    <w:bookmarkEnd w:id="9"/>
    <w:p>
      <w:pPr>
        <w:jc w:val="center"/>
        <w:ind w:right="295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You should carefully consider the following risks and all other information contained in this prospectus before deciding to invest in our common stock.</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WE HAVE INCURRED SIGNIFICANT LOSSES AND ANTICIPATE LOSSES FOR THE NEXT SEVERAL YEARS.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incurred operating losses since our inception and expect to continue to incur losses in the foreseeable future. As of June 30, 2000, we had an accumulated deficit of $37.0 million. To date, our product revenue has been insignificant, and we have funded our operations through sales of our stock and a $5.0 million development funding payment from Caterpillar.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DUE TO OUR LIMITED OPERATING HISTORY AND THE UNCERTAIN MARKET ACCEPTANCE OF OUR PRODUCTS, WE MAY NOT EVER ACHIEVE SIGNIFICANT REVENUE AND MAY HAVE DIFFICULTY ACCURATELY PREDICTING REVENUE FOR FUTURE PERIODS AND APPROPRIATELY BUDGETING FOR EXPENSES.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generated a total of $2.8 million in product revenue over the past two and one-half years, and we have sold fewer than 100 CleanSource DC and CleanSource UPS products. We are uncertain whether our products will achieve market acceptance such that our revenues will increase or whether we will be able to achieve significant revenue. Therefore, we have a very limited ability to predict future revenue. In addition, we currently have only a small backlog of orders.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18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OUR BUSINESS IS SUBJECT TO FLUCTUATIONS IN OPERATING RESULTS, WHICH COULD NEGATIVELY IMPACT THE PRICE OF OUR STOCK.</w:t>
      </w:r>
    </w:p>
    <w:p>
      <w:pPr>
        <w:spacing w:after="0" w:line="175"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4" w:lineRule="exact"/>
        <w:rPr>
          <w:sz w:val="20"/>
          <w:szCs w:val="20"/>
          <w:color w:val="auto"/>
        </w:rPr>
      </w:pPr>
    </w:p>
    <w:p>
      <w:pPr>
        <w:ind w:left="360" w:right="3419" w:hanging="185"/>
        <w:spacing w:after="0" w:line="247"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orders from our customers and the possibility that these customers may change their order requirements with little or no advance notice to us;</w:t>
      </w:r>
    </w:p>
    <w:p>
      <w:pPr>
        <w:spacing w:after="0" w:line="174" w:lineRule="exact"/>
        <w:rPr>
          <w:sz w:val="20"/>
          <w:szCs w:val="20"/>
          <w:color w:val="auto"/>
        </w:rPr>
      </w:pPr>
    </w:p>
    <w:p>
      <w:pPr>
        <w:ind w:left="360" w:right="3499" w:hanging="185"/>
        <w:spacing w:after="0" w:line="247"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our flywheel-based energy storage system as an alternative to lead-acid batteries;</w:t>
      </w:r>
    </w:p>
    <w:p>
      <w:pPr>
        <w:spacing w:after="0" w:line="175" w:lineRule="exact"/>
        <w:rPr>
          <w:sz w:val="20"/>
          <w:szCs w:val="20"/>
          <w:color w:val="auto"/>
        </w:rPr>
      </w:pPr>
    </w:p>
    <w:p>
      <w:pPr>
        <w:ind w:left="360" w:right="3419" w:hanging="185"/>
        <w:spacing w:after="0" w:line="247"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deferral of customer orders in anticipation of new products from us or other providers of power quality systems;</w:t>
      </w:r>
    </w:p>
    <w:p>
      <w:pPr>
        <w:spacing w:after="0" w:line="175" w:lineRule="exact"/>
        <w:rPr>
          <w:sz w:val="20"/>
          <w:szCs w:val="20"/>
          <w:color w:val="auto"/>
        </w:rPr>
      </w:pPr>
    </w:p>
    <w:p>
      <w:pPr>
        <w:ind w:left="360" w:right="3499" w:hanging="185"/>
        <w:spacing w:after="0" w:line="24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need for short term power outage protection in traditional UPS systems;</w:t>
      </w:r>
    </w:p>
    <w:p>
      <w:pPr>
        <w:spacing w:after="0" w:line="175" w:lineRule="exact"/>
        <w:rPr>
          <w:sz w:val="20"/>
          <w:szCs w:val="20"/>
          <w:color w:val="auto"/>
        </w:rPr>
      </w:pPr>
    </w:p>
    <w:p>
      <w:pPr>
        <w:ind w:left="360" w:right="3419" w:hanging="185"/>
        <w:spacing w:after="0" w:line="246"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regarding the adoption of our current and future products, including our recently introduced CleanSource UPS product and our fully integrated CPS, which we expect to introduce in the fourth quarter of 2001; and</w:t>
      </w:r>
    </w:p>
    <w:p>
      <w:pPr>
        <w:spacing w:after="0" w:line="177" w:lineRule="exact"/>
        <w:rPr>
          <w:sz w:val="20"/>
          <w:szCs w:val="20"/>
          <w:color w:val="auto"/>
        </w:rPr>
      </w:pPr>
    </w:p>
    <w:p>
      <w:pPr>
        <w:ind w:left="3540" w:right="5219" w:hanging="3365"/>
        <w:spacing w:after="0" w:line="494" w:lineRule="auto"/>
        <w:tabs>
          <w:tab w:leader="none" w:pos="35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growth of the markets for our products. 7</w:t>
      </w:r>
    </w:p>
    <w:p>
      <w:pPr>
        <w:sectPr>
          <w:pgSz w:w="11900" w:h="16838" w:orient="portrait"/>
          <w:cols w:equalWidth="0" w:num="1">
            <w:col w:w="10219"/>
          </w:cols>
          <w:pgMar w:left="240" w:top="643" w:right="1440" w:bottom="1440" w:gutter="0" w:footer="0" w:header="0"/>
        </w:sectPr>
      </w:pPr>
    </w:p>
    <w:bookmarkStart w:id="10" w:name="page11"/>
    <w:bookmarkEnd w:id="10"/>
    <w:p>
      <w:pPr>
        <w:jc w:val="both"/>
        <w:ind w:right="3039"/>
        <w:spacing w:after="0" w:line="247" w:lineRule="auto"/>
        <w:rPr>
          <w:sz w:val="20"/>
          <w:szCs w:val="20"/>
          <w:color w:val="auto"/>
        </w:rPr>
      </w:pPr>
      <w:r>
        <w:rPr>
          <w:rFonts w:ascii="Courier New" w:cs="Courier New" w:eastAsia="Courier New" w:hAnsi="Courier New"/>
          <w:sz w:val="15"/>
          <w:szCs w:val="15"/>
          <w:color w:val="auto"/>
        </w:rPr>
        <w:t>OUR BUSINESS IS DEPENDENT ON THE MARKET FOR POWER QUALITY PRODUCTS, AND IF THIS MARKET DOES NOT EXPAND AS WE ANTICIPATE, OR IF ALTERNATIVES TO OUR PRODUCTS ARE SUCCESSFUL, OUR BUSINESS WILL SUFFER.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which could render them less desirable or obsolete.</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HAVE LIMITED PRODUCT OFFERINGS, AND OUR SUCCESS DEPENDS ON OUR ABILITY TO DEVELOP IN A TIMELY MANNER NEW AND ENHANCED PRODUCTS THAT ACHIEVE MARKET ACCEPTANCE.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FAILURE TO EXPAND OUR DISTRIBUTION CHANNELS AND MANAGE OUR DISTRIBUTION RELATIONSHIPS COULD IMPEDE OUR FUTURE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80"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WE ARE HEAVILY DEPENDENT ON OUR RELATIONSHIP WITH CATERPILLAR. IF OUR RELATIONSHIP IS UNSUCCESSFUL, OUR BUSINESS AND REVENUE WILL SUFFER.</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relationship with Caterpillar is not successful, or if Caterpillar's distribution of our CleanSource UPS product is not successful, our business and revenue will suffer. Pursuant to a development agreement, Caterpillar provided us with $5.0 million in funding to support the development of our CleanSource UPS product. In exchange for this payment, Caterpillar received co-ownership of the proprietary rights in this product. Either we or Caterpillar may license to other entities the intellectual property that we jointly own without seeking the consent of the other and all licensing revenue generated by licensing this intellectual property will be solely retained by the licensing party. However, we may not license the joint intellectual property to specifically identified competitors of Caterpillar until January 1, 2005. Caterpillar may terminate this agreement at any time by giving us 90 days' advance written notice. We also have a distribution agreement with Caterpillar. During 1999 and the first six months of 2000, we received approximately $412,000, or 39%, and $712,000, or 83%, respectively, of our product revenue from Caterpillar. Pursuant to the distribution agreement with Caterpillar, they are the exclusive distributor, subject to limited exceptions, of our CleanSource UPS product. Caterpillar is not obligated to purchase any CleanSource UPS units.</w:t>
      </w:r>
    </w:p>
    <w:p>
      <w:pPr>
        <w:spacing w:after="0" w:line="186"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DEPEND ON A LIMITED NUMBER OF OEM CUSTOMERS FOR THE VAST MAJORITY OF OUR REVENUE, AND THE LOSS OF OR SIGNIFICANT REDUCTION IN ORDERS FROM ANY KEY OEM CUSTOMER, PARTICULARLY CATERPILLAR, WOULD SIGNIFICANTLY REDUCE OUR REVENUE.</w:t>
      </w:r>
    </w:p>
    <w:p>
      <w:pPr>
        <w:spacing w:after="0" w:line="174"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rely on OEMs as a primary distribution channel as they are able to sell our products to a large number of end-user organizations. We believe that the use of OEM channels will enable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2" w:right="1440" w:bottom="1440" w:gutter="0" w:footer="0" w:header="0"/>
        </w:sectPr>
      </w:pPr>
    </w:p>
    <w:bookmarkStart w:id="11" w:name="page12"/>
    <w:bookmarkEnd w:id="11"/>
    <w:p>
      <w:pPr>
        <w:ind w:right="3039"/>
        <w:spacing w:after="0" w:line="246" w:lineRule="auto"/>
        <w:rPr>
          <w:sz w:val="20"/>
          <w:szCs w:val="20"/>
          <w:color w:val="auto"/>
        </w:rPr>
      </w:pPr>
      <w:r>
        <w:rPr>
          <w:rFonts w:ascii="Courier New" w:cs="Courier New" w:eastAsia="Courier New" w:hAnsi="Courier New"/>
          <w:sz w:val="15"/>
          <w:szCs w:val="15"/>
          <w:color w:val="auto"/>
        </w:rPr>
        <w:t>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1999 sales to our four largest customers, Caterpillar, Powerware, Micron Technologies and Lee Technologies, accounted for 39%, 21%, 16% and 13%, respectively, of our revenue. In the first half of 2000, sales to Caterpillar accounted for 83% of our revenue. Therefore, the loss of any of our key OEM customers, primarily Caterpillar, or a significant reduction in sales to any one of them, would significantly reduce our revenue. We also have granted Caterpillar semi-exclusive worldwide rights to distribute our CleanSource UPS product, provided that they meet minimum annual sales requirements. These restrictions will further increase our dependence upon Caterpillar. However, Caterpillar is not obligated to purchase any CleanSource UPS units under this agreement.</w:t>
      </w:r>
    </w:p>
    <w:p>
      <w:pPr>
        <w:spacing w:after="0" w:line="18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OEMS MAY DEVOTE A LIMITED AMOUNT OF THEIR RESOURCES TO SALES, MARKETING AND CUSTOMER SERVICE AND SUPPORT OF OUR PRODUCTS, WHICH WOULD ADVERSELY AFFECT OUR PRODUCT REVENUES.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part of our OEM strategy, we do not make all of our products available to all of our OEMs. Consequently, an OEM could sell one of our products and compete with another product that we have not made available to it. For example, because of our relationship with Caterpillar, none of our current or potential future CleanSource DC OEMs, other than Caterpillar, is able to sell CleanSource UPS. As a result, OEMs may devote a limited amount of resources to sales, marketing and customer service and support of our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MANAGING THE EXPANSION OF OUR OPERATIONS.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undergoing rapid growth in the number of our employees, the size of our physical facilities and the scope of our operations. For example, we had 38 employees on January 1, 1998 and had 126 employees on June 30, 2000. Such rapid expansion is likely to place a significant strain on our senior management team and other resources. Our business, prospects, results of operations or financial condition could be harmed if we encounter difficulties in effectively managing the budgeting, forecasting and other process control issues presented by such a rapid expansion.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NO EXPERIENCE MANUFACTURING OUR PRODUCTS IN THE QUANTITIES WE EXPECT TO SELL IN THE FUTURE.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83"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WE ARE SUBJECT TO INCREASED INVENTORY RISKS AND COSTS BECAUSE WE OUTSOURCE THE MANUFACTURING OF COMPONENTS OF OUR PRODUCTS IN ADVANCE OF BINDING COMMITMENTS FROM OUR CUSTOMERS TO PURCHASE OUR PRODUCTS.</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17" w:right="1440" w:bottom="1440" w:gutter="0" w:footer="0" w:header="0"/>
        </w:sectPr>
      </w:pPr>
    </w:p>
    <w:bookmarkStart w:id="12" w:name="page13"/>
    <w:bookmarkEnd w:id="12"/>
    <w:p>
      <w:pPr>
        <w:ind w:right="3319"/>
        <w:spacing w:after="0" w:line="246" w:lineRule="auto"/>
        <w:rPr>
          <w:sz w:val="20"/>
          <w:szCs w:val="20"/>
          <w:color w:val="auto"/>
        </w:rPr>
      </w:pPr>
      <w:r>
        <w:rPr>
          <w:rFonts w:ascii="Courier New" w:cs="Courier New" w:eastAsia="Courier New" w:hAnsi="Courier New"/>
          <w:sz w:val="15"/>
          <w:szCs w:val="15"/>
          <w:color w:val="auto"/>
        </w:rPr>
        <w:t>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 power module and a microprocessor for our products from sole sources. We do not have long-term contracts with any of our suppliers, and to date most of our component purchases have been made in relatively small volumes.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generally use a twelve 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18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While we have severance arrangements in place with Mr. Pinkerton and with David S. Gino, our chief financial officer, we do not 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83"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HIRED A SUBSTANTIAL NUMBER OF OUR EMPLOYEES FROM OUR CURRENT CUSTOMERS AND FROM SOME OF OUR COMPETITORS, WHICH COULD DAMAGE OUR CUSTOMER RELATIONSHIPS AND EXPOSE US TO POTENTIAL LITIGATION.</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There is a limited supply of skilled employees in the power quality industry. We have hired many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 property. Although we do not believe we have infringed upon the intellectual property of our competitors, such lawsuits could divert our attention and resources from our business operations.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3" w:name="page14"/>
    <w:bookmarkEnd w:id="13"/>
    <w:p>
      <w:pPr>
        <w:jc w:val="both"/>
        <w:ind w:right="3219"/>
        <w:spacing w:after="0" w:line="247" w:lineRule="auto"/>
        <w:rPr>
          <w:sz w:val="20"/>
          <w:szCs w:val="20"/>
          <w:color w:val="auto"/>
        </w:rPr>
      </w:pPr>
      <w:r>
        <w:rPr>
          <w:rFonts w:ascii="Courier New" w:cs="Courier New" w:eastAsia="Courier New" w:hAnsi="Courier New"/>
          <w:sz w:val="15"/>
          <w:szCs w:val="15"/>
          <w:color w:val="auto"/>
        </w:rPr>
        <w:t>WE ARE A RELATIVELY SMALL COMPANY WITH LIMITED RESOURCES COMPARED TO SOME OF OUR CURRENT AND POTENTIAL COMPETITORS, AND COMPETITION WITHIN OUR MARKETS MAY LIMIT OUR SALES GROWTH.</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located in the United States, Canada and abroad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8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IF WE ARE UNABLE TO PROTECT OUR INTELLECTUAL PROPERTY, WE MAY BE UNABLE TO COMPETE.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6"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OUR EFFORTS TO PROTECT OUR INTELLECTUAL PROPERTY MAY CAUSE US TO BECOME INVOLVED IN COSTLY AND LENGTHY LITIGATION WHICH COULD SERIOUSLY HARM OUR BUSINESS.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4" w:name="page15"/>
    <w:bookmarkEnd w:id="14"/>
    <w:p>
      <w:pPr>
        <w:ind w:right="3039"/>
        <w:spacing w:after="0" w:line="247" w:lineRule="auto"/>
        <w:rPr>
          <w:sz w:val="20"/>
          <w:szCs w:val="20"/>
          <w:color w:val="auto"/>
        </w:rPr>
      </w:pPr>
      <w:r>
        <w:rPr>
          <w:rFonts w:ascii="Courier New" w:cs="Courier New" w:eastAsia="Courier New" w:hAnsi="Courier New"/>
          <w:sz w:val="15"/>
          <w:szCs w:val="15"/>
          <w:color w:val="auto"/>
        </w:rPr>
        <w:t>management's time and attention. Any potential intellectual property litigation also could force us to take specific actions, including:</w:t>
      </w:r>
    </w:p>
    <w:p>
      <w:pPr>
        <w:spacing w:after="0" w:line="175" w:lineRule="exact"/>
        <w:rPr>
          <w:sz w:val="20"/>
          <w:szCs w:val="20"/>
          <w:color w:val="auto"/>
        </w:rPr>
      </w:pPr>
    </w:p>
    <w:p>
      <w:pPr>
        <w:ind w:left="360" w:right="4139" w:hanging="185"/>
        <w:spacing w:after="0" w:line="247"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selling our products that use the challenged intellectual property;</w:t>
      </w:r>
    </w:p>
    <w:p>
      <w:pPr>
        <w:spacing w:after="0" w:line="175" w:lineRule="exact"/>
        <w:rPr>
          <w:sz w:val="20"/>
          <w:szCs w:val="20"/>
          <w:color w:val="auto"/>
        </w:rPr>
      </w:pPr>
    </w:p>
    <w:p>
      <w:pPr>
        <w:ind w:left="360" w:right="3679" w:hanging="185"/>
        <w:spacing w:after="0" w:line="24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from the owner of the infringed intellectual property right a license to sell or use the relevant technology or trademark, which license may not be available on reasonable terms, or at all; or</w:t>
      </w:r>
    </w:p>
    <w:p>
      <w:pPr>
        <w:spacing w:after="0" w:line="174" w:lineRule="exact"/>
        <w:rPr>
          <w:sz w:val="20"/>
          <w:szCs w:val="20"/>
          <w:color w:val="auto"/>
        </w:rPr>
      </w:pPr>
    </w:p>
    <w:p>
      <w:pPr>
        <w:ind w:left="360" w:right="3679" w:hanging="185"/>
        <w:spacing w:after="0" w:line="247"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 those products that use infringing intellectual property or cease to use an infringing trademark.</w:t>
      </w:r>
    </w:p>
    <w:p>
      <w:pPr>
        <w:spacing w:after="0" w:line="17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ANY ACQUISITIONS WE MAKE COULD DISRUPT OUR BUSINESS AND HARM OUR FINANCIAL CONDITION.</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Although we are not currently negotiating any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79" w:lineRule="exact"/>
        <w:rPr>
          <w:sz w:val="20"/>
          <w:szCs w:val="20"/>
          <w:color w:val="auto"/>
        </w:rPr>
      </w:pPr>
    </w:p>
    <w:p>
      <w:pPr>
        <w:ind w:left="360" w:right="3499" w:hanging="185"/>
        <w:spacing w:after="0" w:line="24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integrating the acquired operations, technologies or products with our existing business and products;</w:t>
      </w:r>
    </w:p>
    <w:p>
      <w:pPr>
        <w:spacing w:after="0" w:line="175" w:lineRule="exact"/>
        <w:rPr>
          <w:sz w:val="20"/>
          <w:szCs w:val="20"/>
          <w:color w:val="auto"/>
        </w:rPr>
      </w:pPr>
    </w:p>
    <w:p>
      <w:pPr>
        <w:ind w:left="360" w:right="3779" w:hanging="185"/>
        <w:spacing w:after="0" w:line="247"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disruption of our ongoing business and distraction of our management;</w:t>
      </w:r>
    </w:p>
    <w:p>
      <w:pPr>
        <w:spacing w:after="0" w:line="175" w:lineRule="exact"/>
        <w:rPr>
          <w:sz w:val="20"/>
          <w:szCs w:val="20"/>
          <w:color w:val="auto"/>
        </w:rPr>
      </w:pPr>
    </w:p>
    <w:p>
      <w:pPr>
        <w:ind w:left="360" w:right="3779" w:hanging="185"/>
        <w:spacing w:after="0" w:line="247"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retaining business relationships with suppliers and customers of the acquired companies;</w:t>
      </w:r>
    </w:p>
    <w:p>
      <w:pPr>
        <w:spacing w:after="0" w:line="175" w:lineRule="exact"/>
        <w:rPr>
          <w:sz w:val="20"/>
          <w:szCs w:val="20"/>
          <w:color w:val="auto"/>
        </w:rPr>
      </w:pPr>
    </w:p>
    <w:p>
      <w:pPr>
        <w:ind w:left="360" w:right="3499" w:hanging="185"/>
        <w:spacing w:after="0" w:line="24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coordinating and integrating overall business strategies, sales and marketing, and research and development efforts;</w:t>
      </w:r>
    </w:p>
    <w:p>
      <w:pPr>
        <w:spacing w:after="0" w:line="175" w:lineRule="exact"/>
        <w:rPr>
          <w:sz w:val="20"/>
          <w:szCs w:val="20"/>
          <w:color w:val="auto"/>
        </w:rPr>
      </w:pPr>
    </w:p>
    <w:p>
      <w:pPr>
        <w:ind w:left="360" w:right="4139" w:hanging="185"/>
        <w:spacing w:after="0" w:line="247"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of corporate cultures, controls, procedures and policies;</w:t>
      </w:r>
    </w:p>
    <w:p>
      <w:pPr>
        <w:spacing w:after="0" w:line="175" w:lineRule="exact"/>
        <w:rPr>
          <w:sz w:val="20"/>
          <w:szCs w:val="20"/>
          <w:color w:val="auto"/>
        </w:rPr>
      </w:pPr>
    </w:p>
    <w:p>
      <w:pPr>
        <w:ind w:left="360" w:right="4319" w:hanging="185"/>
        <w:spacing w:after="0" w:line="247"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entering markets in which we lack prior experience; and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potential loss of key employees.</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WE MAY REQUIRE SUBSTANTIAL ADDITIONAL FUNDS IN THE FUTURE TO FINANCE OUR PRODUCT DEVELOPMENT AND COMMERCIALIZATION PLANS.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this offering. We expect that the net proceeds of this offering,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5" w:name="page16"/>
    <w:bookmarkEnd w:id="15"/>
    <w:p>
      <w:pPr>
        <w:ind w:right="3139"/>
        <w:spacing w:after="0" w:line="247" w:lineRule="auto"/>
        <w:rPr>
          <w:sz w:val="20"/>
          <w:szCs w:val="20"/>
          <w:color w:val="auto"/>
        </w:rPr>
      </w:pPr>
      <w:r>
        <w:rPr>
          <w:rFonts w:ascii="Courier New" w:cs="Courier New" w:eastAsia="Courier New" w:hAnsi="Courier New"/>
          <w:sz w:val="15"/>
          <w:szCs w:val="15"/>
          <w:color w:val="auto"/>
        </w:rPr>
        <w:t>INSIDERS WILL CONTINUE TO HAVE SUBSTANTIAL CONTROL OVER OUR COMPANY AFTER THIS OFFERING AND COULD DELAY OR PREVENT A CHANGE IN CORPORATE CONTROL.</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executive officers and directors, and their respective affiliates, will beneficially own, in the aggregate, approximately 45.0% of our outstanding common stock. As a result, these stockholders will be able to exert significant control over all matters requiring stockholder approval, including the election of directors and approval of significant corporate transactions. This concentration of voting power could delay or prevent an acquisition of our company on terms which other stockholders may desire.</w:t>
      </w:r>
    </w:p>
    <w:p>
      <w:pPr>
        <w:spacing w:after="0" w:line="180"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PROVISIONS IN OUR CHARTER DOCUMENTS AND OF DELAWARE LAW, AND PROVISIONS IN OUR AGREEMENT WITH CATERPILLAR, COULD PREVENT, DELAY OR IMPEDE A CHANGE IN CONTROL OF OUR COMPANY AND MAY DEPRESS THE MARKET PRICE OF OUR COMMON STOCK.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 Please see "Description of Capital Stock--Anti-Takeover Effects" for more information concerning the anti-takeover provisions applicable to us.</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STOCK PRICE MAY BE VOLATILE, AND YOU MAY NOT BE ABLE TO RESELL YOUR SHARES AT OR ABOVE THE INITIAL PUBLIC OFFERING PRICE.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Although we have applied to have our common stock quoted on the Nasdaq National Market, an active trading market for our shares may never develop or be sustained following this offering. The initial public offering price for our common stock will be determined through negotiations between the underwriters and us. This initial public offering price may vary from the market price of our common stock after the offering. If you purchase shares of common stock, you may not be able to resell those shares at or above the initial public offering price. The market price of our common stock may fluctuate significantly in response to numerous factors, some of which are beyond our control, including the following:</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actual or anticipated fluctuations in our operating results;</w:t>
      </w:r>
    </w:p>
    <w:p>
      <w:pPr>
        <w:spacing w:after="0" w:line="180" w:lineRule="exact"/>
        <w:rPr>
          <w:sz w:val="20"/>
          <w:szCs w:val="20"/>
          <w:color w:val="auto"/>
        </w:rPr>
      </w:pPr>
    </w:p>
    <w:p>
      <w:pPr>
        <w:ind w:left="360" w:right="3419" w:hanging="185"/>
        <w:spacing w:after="0" w:line="247"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by securities analysts or our failure to perform in line with such estimates;</w:t>
      </w:r>
    </w:p>
    <w:p>
      <w:pPr>
        <w:spacing w:after="0" w:line="175" w:lineRule="exact"/>
        <w:rPr>
          <w:sz w:val="20"/>
          <w:szCs w:val="20"/>
          <w:color w:val="auto"/>
        </w:rPr>
      </w:pPr>
    </w:p>
    <w:p>
      <w:pPr>
        <w:ind w:left="360" w:right="3319" w:hanging="185"/>
        <w:spacing w:after="0" w:line="247"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valuations of other technology companies, particularly those that sell products used in power quality systems;</w:t>
      </w:r>
    </w:p>
    <w:p>
      <w:pPr>
        <w:spacing w:after="0" w:line="175" w:lineRule="exact"/>
        <w:rPr>
          <w:sz w:val="20"/>
          <w:szCs w:val="20"/>
          <w:color w:val="auto"/>
        </w:rPr>
      </w:pPr>
    </w:p>
    <w:p>
      <w:pPr>
        <w:ind w:left="360" w:right="3679" w:hanging="185"/>
        <w:spacing w:after="0" w:line="247"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or our competitors of significant technical innovations, acquisitions, strategic partnerships, joint ventures or capital commitments;</w:t>
      </w:r>
    </w:p>
    <w:p>
      <w:pPr>
        <w:spacing w:after="0" w:line="174" w:lineRule="exact"/>
        <w:rPr>
          <w:sz w:val="20"/>
          <w:szCs w:val="20"/>
          <w:color w:val="auto"/>
        </w:rPr>
      </w:pPr>
    </w:p>
    <w:p>
      <w:pPr>
        <w:ind w:left="360" w:right="3679" w:hanging="185"/>
        <w:spacing w:after="0" w:line="247" w:lineRule="auto"/>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technologies or product enhancements that reduce the need for flywheel energy storage systems;</w:t>
      </w:r>
    </w:p>
    <w:p>
      <w:pPr>
        <w:spacing w:after="0" w:line="175" w:lineRule="exact"/>
        <w:rPr>
          <w:sz w:val="20"/>
          <w:szCs w:val="20"/>
          <w:color w:val="auto"/>
        </w:rPr>
      </w:pPr>
    </w:p>
    <w:p>
      <w:pPr>
        <w:ind w:left="360" w:hanging="185"/>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one or more key OEM customers; and</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departures of key personnel.</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6" w:name="page17"/>
    <w:bookmarkEnd w:id="16"/>
    <w:p>
      <w:pPr>
        <w:ind w:right="3139"/>
        <w:spacing w:after="0" w:line="246" w:lineRule="auto"/>
        <w:rPr>
          <w:sz w:val="20"/>
          <w:szCs w:val="20"/>
          <w:color w:val="auto"/>
        </w:rPr>
      </w:pPr>
      <w:r>
        <w:rPr>
          <w:rFonts w:ascii="Courier New" w:cs="Courier New" w:eastAsia="Courier New" w:hAnsi="Courier New"/>
          <w:sz w:val="15"/>
          <w:szCs w:val="15"/>
          <w:color w:val="auto"/>
        </w:rPr>
        <w:t>Of our total outstanding shares following this offering, 29,662,399, or 78.8%, are restricted from immediate resale but may be sold into the market in the near future. This could cause the market price of our common stock to drop significantly, even if our business is doing well.</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After this offering, we will have outstanding 37,662,399 shares of common stock based on the number of shares outstanding at June 30, 2000. This includes the 8,000,000 shares we are selling in this offering, which may be resold in the public market immediately. The remaining 29,662,399 shares will become available for resale in the public market as shown in the chart below, which assumes no exercise of the underwriters' over-allotment option.</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Number of Shares/</w:t>
            </w:r>
          </w:p>
        </w:tc>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 of Total Shares</w:t>
            </w:r>
          </w:p>
        </w:tc>
        <w:tc>
          <w:tcPr>
            <w:tcW w:w="5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Outstanding</w:t>
            </w:r>
          </w:p>
        </w:tc>
        <w:tc>
          <w:tcPr>
            <w:tcW w:w="5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Date of availability for resale into the public market</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spacing w:after="0"/>
              <w:rPr>
                <w:sz w:val="20"/>
                <w:szCs w:val="20"/>
                <w:color w:val="auto"/>
              </w:rPr>
            </w:pPr>
            <w:r>
              <w:rPr>
                <w:rFonts w:ascii="Courier New" w:cs="Courier New" w:eastAsia="Courier New" w:hAnsi="Courier New"/>
                <w:sz w:val="15"/>
                <w:szCs w:val="15"/>
                <w:color w:val="auto"/>
              </w:rPr>
              <w:t>8,000,000/21.2%</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Immediately (except to the extent purchased by our</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affiliates).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5,028,658/13.4%</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90 days after the date of this prospectus due to lock-up</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agreements these stockholders have with the underwriters if</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5,034,617/13.4%</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120 days after the date of this prospectus if additional</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19,335,321/51.3%</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180 days after the date of this prospectus due to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release of the lock-up agreement these stockholders have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with the underwriters.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263,803/0.7%</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some point after 180 days from the date of this</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prospectus subject to vesting requirements and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requirements of Rule 144 (subject, in some cases, to volume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limitations), Rule 144(k) or Rule 701.</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restrictions on resale end, the market price of our stock could drop significantly if the holders of restricted shares sell them or are perceived by the market as intending to sell them. For more detailed information, see "Shares Eligible for Future Sale" on page 59.</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management may apply the proceeds of this offering to uses that our stockholders may not agree with and in ways that do not improve our efforts to achieve profitability or increase our stock price.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Although in "Use of Proceeds" we have specified some ways in which we initially intend to use a portion of the proceeds of this offering, our management will have considerable discretion in the application of the net proceeds received by us from this offering, and you will not have the opportunity, as part of your investment decision, to assess whether the proceeds are being used appropriately. You must rely on the judgment of our management regarding the application of the proceeds of this offering. The net proceeds may be used for corporate purposes that do not improve our efforts to achieve profitability or increase our stock price. Pending application of the net proceeds from this offering, they may be placed in investments that do not produce income or that lose value.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17" w:right="1440" w:bottom="1440" w:gutter="0" w:footer="0" w:header="0"/>
        </w:sectPr>
      </w:pPr>
    </w:p>
    <w:bookmarkStart w:id="17" w:name="page18"/>
    <w:bookmarkEnd w:id="17"/>
    <w:p>
      <w:pPr>
        <w:ind w:left="126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This prospectus contains forward-looking statements that involve substantial risks and uncertainties. You can identify these statements by forward-looking words such as:</w:t>
      </w:r>
    </w:p>
    <w:p>
      <w:pPr>
        <w:spacing w:after="0" w:line="174" w:lineRule="exact"/>
        <w:rPr>
          <w:sz w:val="20"/>
          <w:szCs w:val="20"/>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 similar words.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should read statements that contain these words and other forward-looking statements carefully because they discuss our future expectations, make projections of our future results of operations or of our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"Risk Factors" and "Management's Discussion and Analysis of Financial Condition and Results of Operations", as well as any cautionary language in this prospectus, provide examples of risks, uncertainties and events that may cause our actual results to differ materially from the expectations we describe in our forward-looking statements. Before you invest in our common stock, you should be aware that the occurrence of the events described in the "Risk Factors" and "Management's Discussion and Analysis of Financial Condition and Results of Operations" sections and elsewhere in this prospectus could have a material adverse effect on our business, operating results and financial condition.</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8" w:name="page19"/>
    <w:bookmarkEnd w:id="18"/>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the assumed initial public offering price of $12.00 per share, we will receive approximately $88.0 million from our sale of 8,000,000 shares of common stock, net of estimated offering expenses and underwriting discounts and commissions payable by us. If the underwriters exercise their over-allotment option in full, we will receive an additional $10.0 million in net proceeds and the selling stockholder will receive approximately $3.3 million in net proceeds. We will not receive any portion of the net proceeds received by the selling stockholder from the sale of his shares upon exercise of the underwriters' over-allotment option. See "Principal and Selling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principal purposes of this offering are to increase our equity capital, create a public market for our common stock under market conditions that we believe are favorable, facilitate future access by us to public equity markets and provide us with increased visibility in our markets. We estimate that we will use the net proceeds of the offering for general corporate purposes, including increases in both component and finished goods inventory, expansion of our manufacturing facilities and capacity, capital expenditures, research and development, sales and marketing and possible acquisitions and international expansion. We anticipate using approximately $2.0 million of the proceeds of this offering for general capital expenditures, such as the buildout of additional office, engineering lab and manufacturing space and investment in our information systems. In addition, we plan to purchase approximately $2.0 million of capital equipment for use in our research and development activities and to expand our manufacturing capacity. Additionally, following this offering, our board of directors may determine to use $210,000 of our proceeds to redeem our 1992 preferred stock. As of the date of this prospectus, we have not allocated any specific amount of proceeds for these purposes.</w:t>
      </w:r>
    </w:p>
    <w:p>
      <w:pPr>
        <w:spacing w:after="0" w:line="186"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Notwithstanding the estimates set forth above, our management will have significant flexibility in applying the net proceeds of this offering. For example, we may use a portion of the net proceeds to acquire businesses, products or technologies that are complimentary to our current or future business and product lines. Although we are not subject to any agreement or letter of intent with respect to potential acquisitions, we have from time to time engaged in acquisition discussions with other parties. Pending any such uses of the proceeds of this offering, we will invest the net proceeds of this offering in short-term, investment grade, interest-bearing instruments.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have never declared or paid any dividends on our capital stock. We expect to retain future earnings, if any, for use in the operation and expansion of our business and do not anticipate paying any cash dividends in the foreseeable future. Any determination to pay dividends in the future will be at the discretion of our board of directors and will depend upon, among other factors, our results of operations, financial condition and capital requirements. Our credit agreements prohibit us from paying cash dividends while any borrowings are outstanding under the credit agreements.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9" w:name="page20"/>
    <w:bookmarkEnd w:id="19"/>
    <w:p>
      <w:pPr>
        <w:jc w:val="center"/>
        <w:ind w:right="2959"/>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our short-term debt and capitalization: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June 30, 2000;</w:t>
      </w:r>
    </w:p>
    <w:p>
      <w:pPr>
        <w:spacing w:after="0" w:line="180" w:lineRule="exact"/>
        <w:rPr>
          <w:sz w:val="20"/>
          <w:szCs w:val="20"/>
          <w:color w:val="auto"/>
        </w:rPr>
      </w:pPr>
    </w:p>
    <w:p>
      <w:pPr>
        <w:ind w:left="360" w:right="3319" w:hanging="185"/>
        <w:spacing w:after="0" w:line="247"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at June 30, 2000 to reflect the conversion of all outstanding shares of our preferred stock, other than the 1992 preferred stock, into 17,461,883 shares of our common stock;</w:t>
      </w:r>
    </w:p>
    <w:p>
      <w:pPr>
        <w:spacing w:after="0" w:line="174" w:lineRule="exact"/>
        <w:rPr>
          <w:sz w:val="20"/>
          <w:szCs w:val="20"/>
          <w:color w:val="auto"/>
        </w:rPr>
      </w:pPr>
    </w:p>
    <w:p>
      <w:pPr>
        <w:ind w:left="360" w:right="3419" w:hanging="185"/>
        <w:spacing w:after="0" w:line="246" w:lineRule="auto"/>
        <w:tabs>
          <w:tab w:leader="none" w:pos="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June 30, 2000 to additionally reflect estimated net proceeds from the sale of 8,000,000 shares of common stock offered hereby at an assumed initial public offering price of $12.00 per share.</w:t>
      </w:r>
    </w:p>
    <w:p>
      <w:pPr>
        <w:spacing w:after="0" w:line="177"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You should read the following table in conjunction with our financial statements and the notes to those statements which are included in this prospectus.</w:t>
      </w:r>
    </w:p>
    <w:p>
      <w:pPr>
        <w:spacing w:after="0" w:line="200" w:lineRule="exact"/>
        <w:rPr>
          <w:sz w:val="20"/>
          <w:szCs w:val="20"/>
          <w:color w:val="auto"/>
        </w:rPr>
      </w:pPr>
    </w:p>
    <w:p>
      <w:pPr>
        <w:spacing w:after="0" w:line="32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AS OF JUNE 30, 2000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PRO FORMA</w:t>
      </w:r>
    </w:p>
    <w:p>
      <w:pPr>
        <w:spacing w:after="0" w:line="5" w:lineRule="exact"/>
        <w:rPr>
          <w:sz w:val="20"/>
          <w:szCs w:val="20"/>
          <w:color w:val="auto"/>
        </w:rPr>
      </w:pPr>
    </w:p>
    <w:p>
      <w:pPr>
        <w:ind w:left="4540"/>
        <w:spacing w:after="0"/>
        <w:tabs>
          <w:tab w:leader="none" w:pos="5340" w:val="left"/>
          <w:tab w:leader="none" w:pos="63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PRO FORMA</w:t>
        <w:tab/>
        <w:t>AS ADJUSTED</w:t>
      </w:r>
    </w:p>
    <w:p>
      <w:pPr>
        <w:spacing w:after="0" w:line="5" w:lineRule="exact"/>
        <w:rPr>
          <w:sz w:val="20"/>
          <w:szCs w:val="20"/>
          <w:color w:val="auto"/>
        </w:rPr>
      </w:pPr>
    </w:p>
    <w:p>
      <w:pPr>
        <w:ind w:left="4440"/>
        <w:spacing w:after="0"/>
        <w:tabs>
          <w:tab w:leader="none" w:pos="5340" w:val="left"/>
          <w:tab w:leader="none" w:pos="6340" w:val="left"/>
        </w:tabs>
        <w:rPr>
          <w:sz w:val="20"/>
          <w:szCs w:val="20"/>
          <w:color w:val="auto"/>
        </w:rPr>
      </w:pPr>
      <w:r>
        <w:rPr>
          <w:rFonts w:ascii="Courier New" w:cs="Courier New" w:eastAsia="Courier New" w:hAnsi="Courier New"/>
          <w:sz w:val="15"/>
          <w:szCs w:val="15"/>
          <w:color w:val="auto"/>
        </w:rPr>
        <w:t>--------</w:t>
        <w:tab/>
        <w:t>---------</w:t>
        <w:tab/>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(IN THOUSANDS, EXCEPT SHARE</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DATA)</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with redemption rights................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5">
            <w:col w:w="4260" w:space="180"/>
            <w:col w:w="100" w:space="360"/>
            <w:col w:w="180" w:space="7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Redeemable convertible preferred stock, $0.001</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 value, 8,527,166 shares designated,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7,732,082 issued and outstanding, actual; no</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or outstanding, pro</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forma and pro forma as adjusted...............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69,645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360"/>
            <w:col w:w="560" w:space="6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1992 preferred stock, $0.001 par value, 420,000</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640"/>
            <w:col w:w="180" w:space="7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 (deficit):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$0.001 par value, 30,000,000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authorized; 12,200,516 shares issued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outstanding, actual; 29,662,399 shares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issued and outstanding, pro forma;</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37,662,399 shares issued and outstanding,</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 forma as adjusted.......................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paid-in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stock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deficit............................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 stockholders' equity (deficit).......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Total capitalization.....................</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(37,024)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(48,084)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69,625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(37,022)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157,617</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(37,022)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109,561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$109,561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4">
            <w:col w:w="4260" w:space="180"/>
            <w:col w:w="820" w:space="100"/>
            <w:col w:w="820" w:space="260"/>
            <w:col w:w="377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 information set forth above excludes, as of June 30, 2000:</w:t>
      </w:r>
    </w:p>
    <w:p>
      <w:pPr>
        <w:spacing w:after="0" w:line="180" w:lineRule="exact"/>
        <w:rPr>
          <w:sz w:val="20"/>
          <w:szCs w:val="20"/>
          <w:color w:val="auto"/>
        </w:rPr>
      </w:pPr>
    </w:p>
    <w:p>
      <w:pPr>
        <w:ind w:left="540" w:right="3779" w:hanging="183"/>
        <w:spacing w:after="0" w:line="247" w:lineRule="auto"/>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432,000 shares issuable upon exercise of warrants with a weighted average exercise price of $5.25 per share;</w:t>
      </w:r>
    </w:p>
    <w:p>
      <w:pPr>
        <w:spacing w:after="0" w:line="175" w:lineRule="exact"/>
        <w:rPr>
          <w:sz w:val="20"/>
          <w:szCs w:val="20"/>
          <w:color w:val="auto"/>
        </w:rPr>
      </w:pPr>
    </w:p>
    <w:p>
      <w:pPr>
        <w:ind w:left="540" w:right="3419" w:hanging="183"/>
        <w:spacing w:after="0" w:line="247"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3,423,194 shares issuable upon exercise of outstanding options under our stock option plan with a weighted average exercise price of $1.08 per share; and</w:t>
      </w:r>
    </w:p>
    <w:p>
      <w:pPr>
        <w:spacing w:after="0" w:line="174" w:lineRule="exact"/>
        <w:rPr>
          <w:sz w:val="20"/>
          <w:szCs w:val="20"/>
          <w:color w:val="auto"/>
        </w:rPr>
      </w:pPr>
    </w:p>
    <w:p>
      <w:pPr>
        <w:ind w:left="540" w:right="3419" w:hanging="183"/>
        <w:spacing w:after="0" w:line="247"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101,740 additional shares of common stock reserved for issuance under our stock option plan.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type w:val="continuous"/>
        </w:sectPr>
      </w:pPr>
    </w:p>
    <w:bookmarkStart w:id="20" w:name="page21"/>
    <w:bookmarkEnd w:id="20"/>
    <w:p>
      <w:pPr>
        <w:jc w:val="center"/>
        <w:ind w:right="2959"/>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historical net tangible book deficit at June 30, 2000 was $48.1 million or $3.94 per share. Historical net tangible book deficit per share is equal to the amount of our total tangible assets less total liabilities, divided by the number of shares of common stock outstanding as of June 30, 2000.</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 forma net tangible book value at June 30, 2000, was $21.6 million, or $0.73 per share of common stock. Pro forma net tangible book value per share is equal to the amount of our total pro forma tangible assets less total pro forma liabilities, divided by the pro forma number of shares of common stock outstanding as of June 30, 2000, after giving effect to the conversion of all outstanding shares of our convertible preferred stock into 17,461,883 shares of common stock.</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Dilution in pro forma net tangible book value per share represents the difference between the amount per share paid by purchasers of shares of common stock in this offering and the pro forma net tangible book value per share of common stock immediately after the completion of this offering. After giving effect to our sale of 8,000,000 shares of common stock in this offering at an assumed initial public offering price of $12.00 per share, and after deducting underwriting discounts and commissions and estimated offering expenses payable by us, our adjusted pro forma net tangible book value at June 30, 2000 would have been $109.6 million, or $2.91 per share. This amount represents an immediate increase in pro forma net tangible book value to our existing stockholders of $2.18 per share and an immediate dilution to new investors of $9.09 per share. The following table illustrates this per share dilution:</w:t>
      </w:r>
    </w:p>
    <w:p>
      <w:pPr>
        <w:spacing w:after="0" w:line="200" w:lineRule="exact"/>
        <w:rPr>
          <w:sz w:val="20"/>
          <w:szCs w:val="20"/>
          <w:color w:val="auto"/>
        </w:rPr>
      </w:pPr>
    </w:p>
    <w:p>
      <w:pPr>
        <w:spacing w:after="0" w:line="33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Assumed initial public offering price per share.............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Historical net tangible book deficit per share at June 30,</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$(3.94)</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Increase attributable to conversion of preferred stock......</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4.67</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Pro forma net tangible book value per share at June 30,</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.73</w:t>
            </w: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Increase in pro forma net tangible book value per share</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attributable to this offering............................</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2.18</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offering...................................................</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Dilution per share to new investors.........................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$ 9.09</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If the underwriters exercise their over-allotment option in full,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pro forma net tangible book value at June 30, 2000 would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$119.6 million, or $3.10 per share, representing an immediate increase in pro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net tangible book value to our existing stockholders of $2.37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immediate dilution to new investors of $8.90 per share. Additionally,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options and warrants outstanding at June 30, 2000 were exercised in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adjusted pro forma net tangible book value at June 30, 2000 would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$125.6 million, or $2.96 per share, representing an immediate increase in pro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net tangible book value to our existing stockholders of $2.23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immediate dilution to new investors of $9.04 per share.</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1" w:name="page22"/>
    <w:bookmarkEnd w:id="21"/>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on a pro forma basis at June 30, 2000, after giving effect to the pro forma adjustments described above, the differences between the number of shares of common stock purchased from us, the aggregate cash consideration paid to us and the average price per share paid by our existing stockholders and by new investors purchasing shares of common stock in this offering. The calculation below is based on an assumed initial public offering price of $12.00 per share, before deducting underwriting discounts and commissions and estimated offering expenses payable by us: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PURCHASED</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 CONSIDERATION</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PRICE PER</w:t>
            </w:r>
          </w:p>
        </w:tc>
      </w:tr>
      <w:tr>
        <w:trPr>
          <w:trHeight w:val="175"/>
        </w:trPr>
        <w:tc>
          <w:tcPr>
            <w:tcW w:w="2760" w:type="dxa"/>
            <w:vAlign w:val="bottom"/>
          </w:tcPr>
          <w:p>
            <w:pPr>
              <w:spacing w:after="0"/>
              <w:rPr>
                <w:sz w:val="15"/>
                <w:szCs w:val="15"/>
                <w:color w:val="auto"/>
              </w:rPr>
            </w:pP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AMOUNT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PERCENT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c>
          <w:tcPr>
            <w:tcW w:w="2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 ---------</w:t>
            </w:r>
          </w:p>
        </w:tc>
      </w:tr>
      <w:tr>
        <w:trPr>
          <w:trHeight w:val="350"/>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Existing stockholders.........</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29,662,399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$ 44,103,169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$ 1.49</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New investors.................</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8,000,000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96,000,000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12.00</w:t>
            </w: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37,662,399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$140,103,169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This discussion and table assume no exercise of any stock options or warrants outstanding at June 30, 2000. At June 30, 2000, there were warrants to purchase 432,000 shares of common stock with a weighted average exercise price of $5.25 per share, and options outstanding under our stock option plan to purchase a total of 3,423,194 shares of common stock with a weighted average exercise price of $1.08 per share. To the extent that any of these warrants or options are exercised, there will be further dilution to new investors.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17" w:right="1440" w:bottom="1440" w:gutter="0" w:footer="0" w:header="0"/>
        </w:sectPr>
      </w:pPr>
    </w:p>
    <w:bookmarkStart w:id="22" w:name="page23"/>
    <w:bookmarkEnd w:id="22"/>
    <w:p>
      <w:pPr>
        <w:ind w:left="2540"/>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You should read the selected financial data set forth below in conjunction with our financial statements and the notes thereto, "Management's Discussion and Analysis of Financial Condition and Results of Operations", and other financial information appearing elsewhere in this prospectus.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statement of operations data set forth below for the years ended December 31, 1997, 1998 and 1999 and the balance sheet data as of December 31, 1998 and 1999 are derived from, and qualified by reference to, our audited financial statements appearing elsewhere in this prospectus. The statement of operations data for the years ended December 31, 1995 and 1996 and the balance sheet data as of December 31, 1995, 1996 and 1997 have been derived from audited financial statements not included in this prospectus. The statement of operations data for the six months ended June 30, 1999 and 2000 and the balance sheet data as of June 30, 2000 are derived from unaudited financial statements appearing elsewhere in this prospectus which, in the opinion of our management, reflect all normal recurring adjustments that we consider necessary for a fair presentation of such information in accordance with generally accepted accounting principles. Operating results for the six months ended June 30, 2000 are not necessarily indicative of the results that may be expected for the full fiscal year or future results.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6"/>
          </w:tcPr>
          <w:p>
            <w:pPr>
              <w:jc w:val="right"/>
              <w:ind w:right="284"/>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36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3"/>
                <w:szCs w:val="3"/>
                <w:color w:val="auto"/>
                <w:w w:val="92"/>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5"/>
                <w:szCs w:val="15"/>
                <w:color w:val="auto"/>
              </w:rPr>
            </w:pPr>
          </w:p>
        </w:tc>
        <w:tc>
          <w:tcPr>
            <w:tcW w:w="1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60" w:type="dxa"/>
            <w:vAlign w:val="bottom"/>
            <w:gridSpan w:val="8"/>
          </w:tcPr>
          <w:p>
            <w:pPr>
              <w:ind w:left="280"/>
              <w:spacing w:after="0"/>
              <w:rPr>
                <w:sz w:val="20"/>
                <w:szCs w:val="20"/>
                <w:color w:val="auto"/>
              </w:rPr>
            </w:pPr>
            <w:r>
              <w:rPr>
                <w:rFonts w:ascii="Courier New" w:cs="Courier New" w:eastAsia="Courier New" w:hAnsi="Courier New"/>
                <w:sz w:val="15"/>
                <w:szCs w:val="15"/>
                <w:color w:val="auto"/>
              </w:rPr>
              <w:t>(IN THOUSANDS, EXCEPT PER SHARE DATA)</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spacing w:after="0"/>
              <w:rPr>
                <w:sz w:val="24"/>
                <w:szCs w:val="24"/>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915</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1,238</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1,697</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(323)</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Research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968</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2,598</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4,045</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4,441</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3,658</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483</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1,926</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3,972</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2,560</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deferred stock</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3,140</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Total operating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1,451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5,971</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9,358</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(1,451)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(3,882)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(6,294)</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339</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439</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(34)</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(3,614)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(1,532)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(1,562)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(1,342)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(5,979)</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(10,188)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(11,065)</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c>
          <w:tcPr>
            <w:tcW w:w="180" w:type="dxa"/>
            <w:vAlign w:val="bottom"/>
          </w:tcPr>
          <w:p>
            <w:pPr>
              <w:spacing w:after="0"/>
              <w:rPr>
                <w:sz w:val="15"/>
                <w:szCs w:val="15"/>
                <w:color w:val="auto"/>
              </w:rPr>
            </w:pP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(1,635)</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(4,564)</w:t>
            </w:r>
          </w:p>
        </w:tc>
        <w:tc>
          <w:tcPr>
            <w:tcW w:w="1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(39,848)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(4,474)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(26,475)</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per share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common stock, basic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(0.17)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(0.90)</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9,358,982</w:t>
            </w:r>
          </w:p>
        </w:tc>
        <w:tc>
          <w:tcPr>
            <w:tcW w:w="18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9,426,456</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9,589,463</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9,789,407</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10,009,554</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9,761,606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10,983,192</w:t>
            </w:r>
          </w:p>
        </w:tc>
      </w:tr>
      <w:tr>
        <w:trPr>
          <w:trHeight w:val="524"/>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9"/>
        </w:trPr>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4"/>
          </w:tcPr>
          <w:p>
            <w:pPr>
              <w:jc w:val="right"/>
              <w:ind w:right="324"/>
              <w:spacing w:after="0"/>
              <w:rPr>
                <w:sz w:val="20"/>
                <w:szCs w:val="20"/>
                <w:color w:val="auto"/>
              </w:rPr>
            </w:pPr>
            <w:r>
              <w:rPr>
                <w:rFonts w:ascii="Courier New" w:cs="Courier New" w:eastAsia="Courier New" w:hAnsi="Courier New"/>
                <w:sz w:val="15"/>
                <w:szCs w:val="15"/>
                <w:color w:val="auto"/>
                <w:w w:val="99"/>
              </w:rPr>
              <w:t>AS OF DECEMBER 31,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AS OF</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8"/>
              </w:rPr>
              <w:t>--------------------------------------</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1997</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1999</w:t>
            </w:r>
          </w:p>
        </w:tc>
        <w:tc>
          <w:tcPr>
            <w:tcW w:w="360" w:type="dxa"/>
            <w:vAlign w:val="bottom"/>
          </w:tcPr>
          <w:p>
            <w:pPr>
              <w:spacing w:after="0"/>
              <w:rPr>
                <w:sz w:val="15"/>
                <w:szCs w:val="15"/>
                <w:color w:val="auto"/>
              </w:rPr>
            </w:pPr>
          </w:p>
        </w:tc>
        <w:tc>
          <w:tcPr>
            <w:tcW w:w="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3"/>
          </w:tcPr>
          <w:p>
            <w:pPr>
              <w:jc w:val="center"/>
              <w:ind w:right="4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short-term investments......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$419</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$2,434</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$4,340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$ 7,536</w:t>
            </w: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$26,265</w:t>
            </w:r>
          </w:p>
        </w:tc>
        <w:tc>
          <w:tcPr>
            <w:tcW w:w="82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$17,749</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Working capital..............</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2,470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8,008</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26,394</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18,586</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assets.................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3,002</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5,921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9,734</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28,366</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23,267</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Long-term obligations, less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current portion.............</w:t>
            </w:r>
          </w:p>
        </w:tc>
        <w:tc>
          <w:tcPr>
            <w:tcW w:w="7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preferred stock.............</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918</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4,960</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11,786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24,575</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54,235</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69,645</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stockholders' deficit..</w:t>
            </w:r>
          </w:p>
        </w:tc>
        <w:tc>
          <w:tcPr>
            <w:tcW w:w="5240" w:type="dxa"/>
            <w:vAlign w:val="bottom"/>
            <w:gridSpan w:val="11"/>
          </w:tcPr>
          <w:p>
            <w:pPr>
              <w:jc w:val="right"/>
              <w:ind w:right="604"/>
              <w:spacing w:after="0"/>
              <w:rPr>
                <w:sz w:val="20"/>
                <w:szCs w:val="20"/>
                <w:color w:val="auto"/>
              </w:rPr>
            </w:pPr>
            <w:r>
              <w:rPr>
                <w:rFonts w:ascii="Courier New" w:cs="Courier New" w:eastAsia="Courier New" w:hAnsi="Courier New"/>
                <w:sz w:val="15"/>
                <w:szCs w:val="15"/>
                <w:color w:val="auto"/>
              </w:rPr>
              <w:t>(535) (2,167) (6,742) (15,524) (30,338) (48,084)</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ectPr>
          <w:pgSz w:w="11900" w:h="16838" w:orient="portrait"/>
          <w:cols w:equalWidth="0" w:num="1">
            <w:col w:w="10219"/>
          </w:cols>
          <w:pgMar w:left="240" w:top="642" w:right="1440" w:bottom="81" w:gutter="0" w:footer="0" w:header="0"/>
        </w:sectPr>
      </w:pPr>
    </w:p>
    <w:bookmarkStart w:id="23" w:name="page24"/>
    <w:bookmarkEnd w:id="23"/>
    <w:p>
      <w:pPr>
        <w:ind w:left="2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316" w:right="1440" w:bottom="1440" w:gutter="0" w:footer="0" w:header="0"/>
        </w:sectPr>
      </w:pPr>
    </w:p>
    <w:bookmarkStart w:id="24" w:name="page25"/>
    <w:bookmarkEnd w:id="24"/>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Our products are sold for use in the facilities of companies in many different industries that all share a critical need for reliable, high quality power, such as Internet service providers, semiconductor manufacturers, telecommunications providers, pharmaceutical manufacturers, hospitals, electric utilities and broadcasters. As an extension of these existing product lines, we are developing a fully integrated continuous power system. The initial target market for this product is the rapidly growing telecommunications industry.</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Since 1996, we have focused our efforts and financial resources primarily on the design and development of our CleanSource line of power quality products and on establishing effective OEM channels to market our products. As of June 30, 2000, we had generated an accumulated deficit of $37.0 million and expect to continue to sustain operating losses for the next several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Since our inception, a small number of customers have accounted for the majority of our annual sales. During 1999, our four largest customers accounted for 89% of our sales, with our largest customer, Caterpillar, accounting for 39%. In the first six months of 2000, Caterpillar accounted for 83% of our revenue as we shifted focus to our CleanSource UPS product. We expect to continue to be dependent on a few OEM customers, primarily Caterpillar, for the majority of our sales for the foreseeable future.</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178" w:lineRule="exact"/>
        <w:rPr>
          <w:sz w:val="20"/>
          <w:szCs w:val="20"/>
          <w:color w:val="auto"/>
        </w:rPr>
      </w:pPr>
    </w:p>
    <w:p>
      <w:pPr>
        <w:ind w:left="360" w:right="3499" w:hanging="185"/>
        <w:spacing w:after="0" w:line="247"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manufacturing facilities and add manufacturing personnel to address anticipated product demand;</w:t>
      </w:r>
    </w:p>
    <w:p>
      <w:pPr>
        <w:spacing w:after="0" w:line="175" w:lineRule="exact"/>
        <w:rPr>
          <w:sz w:val="20"/>
          <w:szCs w:val="20"/>
          <w:color w:val="auto"/>
        </w:rPr>
      </w:pPr>
    </w:p>
    <w:p>
      <w:pPr>
        <w:ind w:left="360" w:right="3419" w:hanging="185"/>
        <w:spacing w:after="0" w:line="247"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personnel levels in product development and engineering to accelerate time to market on new products and enhance existing product lines; and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Add sales and marketing personnel to support our OEM customers.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We believe that although these efforts will increase our operating expenses, they will also enable us to realize accelerated revenue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connection with the grant of stock options to our employees in 1999 and during the six months ended June 30, 2000, we recorded deferred stock compensation aggregating $15.8 million. Deferred stock compensation represents the difference between the estimated fair value, determined subsequently by us, of the common stock underlying the options and the options' exercise price on the date of grant. We amortize deferred stock compensation to operating expense over the vesting</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2" w:right="1440" w:bottom="1440" w:gutter="0" w:footer="0" w:header="0"/>
        </w:sectPr>
      </w:pPr>
    </w:p>
    <w:bookmarkStart w:id="25" w:name="page26"/>
    <w:bookmarkEnd w:id="25"/>
    <w:p>
      <w:pPr>
        <w:ind w:right="3039"/>
        <w:spacing w:after="0" w:line="246" w:lineRule="auto"/>
        <w:rPr>
          <w:sz w:val="20"/>
          <w:szCs w:val="20"/>
          <w:color w:val="auto"/>
        </w:rPr>
      </w:pPr>
      <w:r>
        <w:rPr>
          <w:rFonts w:ascii="Courier New" w:cs="Courier New" w:eastAsia="Courier New" w:hAnsi="Courier New"/>
          <w:sz w:val="15"/>
          <w:szCs w:val="15"/>
          <w:color w:val="auto"/>
        </w:rPr>
        <w:t>period, generally four years. In 1999, we amortized $1.6 million of the deferred stock compensation to expense and during the six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2000 we amortized an additional $3.1</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million to expense. We currently expect to</w:t>
            </w: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amortize the deferred stock compensation remaining at June 30, 2000 in the</w:t>
            </w:r>
          </w:p>
        </w:tc>
      </w:tr>
      <w:tr>
        <w:trPr>
          <w:trHeight w:val="175"/>
        </w:trPr>
        <w:tc>
          <w:tcPr>
            <w:tcW w:w="3320" w:type="dxa"/>
            <w:vAlign w:val="bottom"/>
            <w:gridSpan w:val="3"/>
          </w:tcPr>
          <w:p>
            <w:pPr>
              <w:spacing w:after="0"/>
              <w:rPr>
                <w:sz w:val="20"/>
                <w:szCs w:val="20"/>
                <w:color w:val="auto"/>
              </w:rPr>
            </w:pPr>
            <w:r>
              <w:rPr>
                <w:rFonts w:ascii="Courier New" w:cs="Courier New" w:eastAsia="Courier New" w:hAnsi="Courier New"/>
                <w:sz w:val="15"/>
                <w:szCs w:val="15"/>
                <w:color w:val="auto"/>
              </w:rPr>
              <w:t>periods below (in millions):</w:t>
            </w:r>
          </w:p>
        </w:tc>
        <w:tc>
          <w:tcPr>
            <w:tcW w:w="19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699"/>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July 1,</w:t>
            </w:r>
          </w:p>
        </w:tc>
        <w:tc>
          <w:tcPr>
            <w:tcW w:w="3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2000 to December 31, 2000................</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$ 3.6</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31, 2001.............</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4.2</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31, 2002.............</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2.2</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31, 2003.............</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31, 2004.............</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0.1</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$11.1</w:t>
      </w: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1999 TO 1998</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primarily consists of sales of our CleanSource power quality products. Sales increased $131,000, or 14%, to $1.05 million in 1999 from $915,000 in 1998. This increase was attributable to the continued acceptance of our first product, CleanSource DC, as well as the initial sales of our second product, CleanSource UPS, in the fourth quarter of 1999. The average selling price of our products increased in 1999 due to the introduction and the initial sales of our CleanSource UPS product, which carries a higher selling price than our CleanSource DC product.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In addition, a portion of our occupancy expenses as well as product warranty costs are allocated to cost of goods sold. Cost of goods sold increased $1.8 million, or 143%, to $3.0 million in 1999 from $1.2 million in 1998. In anticipation of future demand for our products, we expanded our manufacturing capacity in 1999. As a result, the additional manufacturing overhead contributed to higher cost of goods sold in 1999. In addition, we expensed approximately $549,000 in 1999 associated with components that we determined to be in excess of our needs due to design changes made to our CleanSource DC product. We expect that as our production volumes increase over time, unit production costs will tend to decrease as we achieve greater economies of scale in production and in purchasing component parts.</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DEVELOPMENT FUNDING. Development funding consists of funds received from Caterpillar to support the development of the CleanSource UPS product. In 1999, we received $5.0 million in development funding. We did not receive any development funding in 1998 or in 1997. We do not currently have any other development funding contracts.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primarily consists of compensation and related costs of employees engaged in research, development and engineering activities, as well as an allocated portion of our occupancy costs. Research and development expense increased $396,000, or 10%, to $4.4 million in 1999 from $4.0 million in 1998. The increase in research and development expense was primarily due to the increased product development of CleanSource UPS and other products. We believe that research and development expense will continue to increase significantly in 2000 and thereafter as we continue to develop new products and enhance existing product lines.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and related costs for sales, marketing and administrative personnel, an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17" w:right="1440" w:bottom="1440" w:gutter="0" w:footer="0" w:header="0"/>
        </w:sectPr>
      </w:pPr>
    </w:p>
    <w:bookmarkStart w:id="26" w:name="page27"/>
    <w:bookmarkEnd w:id="26"/>
    <w:p>
      <w:pPr>
        <w:ind w:right="3039"/>
        <w:spacing w:after="0" w:line="246" w:lineRule="auto"/>
        <w:rPr>
          <w:sz w:val="20"/>
          <w:szCs w:val="20"/>
          <w:color w:val="auto"/>
        </w:rPr>
      </w:pPr>
      <w:r>
        <w:rPr>
          <w:rFonts w:ascii="Courier New" w:cs="Courier New" w:eastAsia="Courier New" w:hAnsi="Courier New"/>
          <w:sz w:val="15"/>
          <w:szCs w:val="15"/>
          <w:color w:val="auto"/>
        </w:rPr>
        <w:t>allocable portion of occupancy costs, other promotional and marketing expenses, professional fees and reserves for bad debt. Selling, general and administrative expense increased approximately $2.0 million, or 106%, to $4.0 million in 1999 from $1.9 million in 1998. The increase in selling, general and administrative expense was principally due to a charge of $1.4 million related to warrants we issued to stockholders in conjunction with strategic alliance agreements we entered into with them relating to their use, evaluation and feedback of products they agreed to purchase and other business assistance. Additionally, we increased personnel in our sales organization in order to support our OEM channel partners and to address opportunities for sales of our CleanSource UPS product line. We believe that selling, general and administrative expense will increase in future periods as we add sales, marketing and administrative personnel to position us for future sales growth.</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AMORTIZATION OF DEFERRED STOCK COMPENSATION. Deferred stock compensation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$1.6 million in 1999. No amortization of deferred stock compensation occurred in 1998 as, prior to 1999, we believe that all options were granted at exercise prices equal to the fair value of the underlying stock on the date of grant. We expect that this amortization expense will increase in 2000 due to the vesting of options that were granted in 1999 and 2000. However, we expect the amortization expense to decrease after 2000, as the options that were granted at exercise prices less than the estimated fair value determined subsequently by us become fully vested.</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1999 includes a $3.6 million charge for the change in fair value of outstanding warrants with redemption rights. Because of the redemption feature, we reflect these warrants as a liability and record fair value changes in current period losses. In 1999, the fair value of the underlying common stock increased substantially, resulting in an increase in the warrant value and corresponding expense. Prior to 1999, the underlying common stock value approximated the value at the date of issuance of the 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INCOME TAX EXPENSE. As of December 31, 1999, our accumulated net operating loss carryforward was $14.4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1998 TO 1997</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$778,000, or 565%, to $915,000 in 1998 from $137,000 in 1997. The increase was attributable to greater market acceptance of our first product, CleanSource DC. In 1998, we experienced increases in sales to new customers for this product as well as to existing customers.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increased $1.1 million, or 687%, to $1.2 million in 1998 from $157,000 in 1997. The increase in cost of goods sold was primarily due to the expansion of our manufacturing infrastructure to support the increase in the 1998 sales volume of the CleanSource DC product.</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increased $1.4 million, or 56%, to $4.0 million in 1998 from $2.6 million in 1997. The increase in research and development expense primarily was due to an increase in our engineering staff from 17 employees at December 31, 1997 to 29 employees at December 31, 1998, as well as increased product development expenses associated with our CleanSource DC product.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17" w:right="1440" w:bottom="1440" w:gutter="0" w:footer="0" w:header="0"/>
        </w:sectPr>
      </w:pPr>
    </w:p>
    <w:bookmarkStart w:id="27" w:name="page28"/>
    <w:bookmarkEnd w:id="27"/>
    <w:p>
      <w:pPr>
        <w:ind w:right="321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$661,000, or 52%, to $1.9 million in 1998 from $1.3 million in 1997. The increase in selling, general and administrative expense was attributable to an increase in 1998 in the number of personnel within our sales, marketing and administrative departments to support an anticipated growth in sales volume.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SIX MONTHS ENDED JUNE 30, 2000 TO SIX MONTHS ENDED JUNE 30, 1999</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$388,000, or 82%, to $861,000 from $473,000 for the six months ended June 30, 2000 and 1999, respectively, as we began to generate greater sales from our CleanSource UPS product line, particularly in the second quarter of 2000. For the six months ended June 30, 2000, Caterpillar accounted for 83% of our sales. We expect to continue to be dependent on a few OEM customers, primarily Caterpillar, for the majority of our sales for the foreseeable future.</w:t>
      </w:r>
    </w:p>
    <w:p>
      <w:pPr>
        <w:spacing w:after="0" w:line="179"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COST OF GOODS SOLD. Cost of goods sold increased $337,000, or 25%, to $1.7 million from $1.4 million for the six months ended June 30, 2000 and 1999, respectively. This increase is related to the increase in product revenue.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increased $1.6 million, or 76%, to $3.7 million from $2.1 million for the six months ended June 30, 2000 and 1999, respectively. This increase was mainly due to an increase in staffing to accelerate our product development efforts.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$1.5 million, or 144%, to $2.6 million from $1.0 million for the six months ended June 30, 2000 and 1999, respectively. This increase was due to increasing our sales force to support our OEM channel partners, as well as increasing our administrative staff in preparation for our anticipated sales growth.</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the six months ended June 30, 2000 includes a $1.6 million charge for the change in fair value of outstanding warrants with redemption rights as a result of an increase in the fair value of the underlying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principal sources of liquidity as of June 30, 2000 consisted of $17.7 million of cash, cash equivalents and short-term investments, as well as our bank credit facility and an equipment financing line. Our bank credit facility consists of a revolving line of credit with borrowing availability equal to the lesser of $1.0 million or 80% of eligible accounts receivable. As of June 30, 2000, we had no amounts outstanding under this line of credit and a borrowing availability of $179,849. Borrowings outstanding under the credit line will bear interest at the bank's prime rate, which was 9.5% at June 30, 2000. The equipment financing line was originated in March 1997 and is comprised of seven separate schedules that are set to mature at various times between April 2001 and December 2001. The aggregate amount of equipment purchases that were financed under the equipment financing line was approximately $400,000 as of June 30, 2000.</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During 1999, cash used by operating activities was $2.6 million, which compares to $5.9 million and $3.9 million in 1998 and 1997. For the six months ended June 30, 2000, cash used by operating activities was $6.2 million. The cash usage in each of these periods was primarily attributable to our focus on the development of products and the expansion of our manufacturing operations and sales activities.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2" w:right="1440" w:bottom="1440" w:gutter="0" w:footer="0" w:header="0"/>
        </w:sectPr>
      </w:pPr>
    </w:p>
    <w:bookmarkStart w:id="28" w:name="page29"/>
    <w:bookmarkEnd w:id="28"/>
    <w:p>
      <w:pPr>
        <w:ind w:right="3039" w:firstLine="364"/>
        <w:spacing w:after="0" w:line="246" w:lineRule="auto"/>
        <w:rPr>
          <w:sz w:val="20"/>
          <w:szCs w:val="20"/>
          <w:color w:val="auto"/>
        </w:rPr>
      </w:pPr>
      <w:r>
        <w:rPr>
          <w:rFonts w:ascii="Courier New" w:cs="Courier New" w:eastAsia="Courier New" w:hAnsi="Courier New"/>
          <w:sz w:val="15"/>
          <w:szCs w:val="15"/>
          <w:color w:val="auto"/>
        </w:rPr>
        <w:t>Capital expenditures were $437,000, $793,000, $598,000 and $2.2 million in 1997, 1998, 1999 and the six months ended June 30, 2000. We made these expenditures to acquire engineering test equipment, to develop market demonstration units, and to purchase manufacturing equipment to facilitate production testing, as well as for general computer equipment and software for administrative purposes. We expect to incur approximately $2.0 million in additional costs in 2000 in connection with the buildout of additional office, engineering lab and manufacturing space. In addition, we expect to purchase approximately $2.0 million of capital equipment in 2000 for use in our research and development activities and to expand our manufacturing capacity.</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the proceeds of this offering, together with our existing cash balances,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March 2000, the Financial Accounting Standards Board issued Interpretation No. 44 "Accounting for Certain Transactions Involving Stock Compensation", an interpretation of APB Opinion No. 25. Interpretation No. 44 has an effective date of July 1, 2000. We do not believe Interpretation No. 44 will affect our accounting for transactions involving stock-based compensation.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December 1999, the Staff of the Securities and Exchange Commission released Staff Accounting Bulletin, or SAB, No. 101, entitled "Revenue Recognition in Financial Statements", which provides guidance on the recognition, presentation and disclosure of revenue in financial statements. In June 2000, the Staff delayed the effective date of SAB No. 101 until October 2000. The Staff has disclosed that it is preparing a questions and answers guide related to SAB No. 101. While we do not expect SAB No. 101 or the questions and answers guide to have a material impact on our financial statements, until the Staff issues the questions and answers guide we will not be fully able to evaluate their impact.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Therefore, we have concluded that we do not have a material market risk exposure.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17" w:right="1440" w:bottom="1440" w:gutter="0" w:footer="0" w:header="0"/>
        </w:sectPr>
      </w:pPr>
    </w:p>
    <w:bookmarkStart w:id="29" w:name="page30"/>
    <w:bookmarkEnd w:id="29"/>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As an extension of these existing product lines, we are developing a fully integrated continuous power system. The initial target market for this product is the rapidly growing telecommunications industry.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Requirements of the New Economy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worldwide demand for high quality electricity has been increasing rapidly in recent years, driven in large part by growth in the use of computers, the Internet and telecommunications products. Industry sources have estimated that the share of all U.S. electricity consumed by computer-based microprocessors is 13% and that within the next two decades up to 50% of the nation's electricity supply may support the direct and indirect needs of the Internet.</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the influence of sophisticated digital electronics expands across all industries, the need for very high levels of power reliability and quality also increases. Most industries now rely on these highly sensitive electronics to manage and control their manufacturing processes. However, despite this increasingly dramatic change in the mix of electricity demand, the mechanisms used to provide power have not changed. The power delivered over the electricity grid today is subject to power disturbances, such as voltage sags and surges, and power outages. These disturbances, while typically lasting less than two seconds, can have significant detrimental effects on the devices of the new economy.</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sine waves representing both the types of problems with power supplied from the electric utility grid and the desired sine wave for "Reliable, Quality Electric Power". The first graphic on the far left is titled "Reliability Problem" and shows a steady sine wave that turns into a straight line. Above the straight line is the word "Outage" with an arrow pointing at the straight line. In the middle of the graphic under "Power Quality Problems" are two sine waves. The top sine wave has smaller peaks and valleys in the middle of the sine wave. Above the middle of the sine wave are the words "Voltage Sag" with an arrow pointing at the center of the sine wave. The bottom sine wave has larger peaks and valleys in the middle of the sine wave. Above the middle of the sine wave are the words "Voltage Surges" with an arrow pointing at the center of the sine wave. On the right side of the diagram is a smooth, continuous sine wave which is labeled "Reliable, Quality Electric Power".]</w:t>
      </w:r>
    </w:p>
    <w:p>
      <w:pPr>
        <w:spacing w:after="0" w:line="183"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outages in a number of major cities during recent summers have highlighted the increasing likelihood of costly interruptions and the need to seek reliability protection. Power disturbances are a significant concern for everything from the computers used in modern commercial and industrial processes to telecommunications equipment. Leaving these devices unprotected from disturbances can have significant and negative impacts on the power user. A 1999 study by the Electric Power Research Institute estimated that electric power problems annually cost U.S. industry more than $30 billion in lost data, material and productivity. Even the loss of quality power for one second at a semiconductor manufacturing plant can result in the loss of millions of dollars. As the digital economy grows, avoiding network and equipment downtime due to power-related problems will become even more important.</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2" w:right="1440" w:bottom="1440" w:gutter="0" w:footer="0" w:header="0"/>
        </w:sectPr>
      </w:pPr>
    </w:p>
    <w:bookmarkStart w:id="30" w:name="page31"/>
    <w:bookmarkEnd w:id="30"/>
    <w:p>
      <w:pPr>
        <w:ind w:right="3039" w:firstLine="273"/>
        <w:spacing w:after="0" w:line="246" w:lineRule="auto"/>
        <w:rPr>
          <w:sz w:val="20"/>
          <w:szCs w:val="20"/>
          <w:color w:val="auto"/>
        </w:rPr>
      </w:pPr>
      <w:r>
        <w:rPr>
          <w:rFonts w:ascii="Courier New" w:cs="Courier New" w:eastAsia="Courier New" w:hAnsi="Courier New"/>
          <w:sz w:val="15"/>
          <w:szCs w:val="15"/>
          <w:color w:val="auto"/>
        </w:rPr>
        <w:t>Electric utilities are unable to provide high quality, uninterrupted power due in large part to the inherent limitations of the existing transmission and distribution system. The electric utility grid is naturally exposed to reliability and quality problems caused by severe weather, animals, accidents and other external events. While substantial upgrades and other investment could improve overall reliability, the absolute level of power quality required for these sophisticated electronic applications may still remain difficult to achieve.</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POWER QUALITY SYSTEMS: UNINTERRUPTIBLE POWER SUPPLIES AND CONTINUOUS POWER SYSTEMS</w:t>
      </w:r>
    </w:p>
    <w:p>
      <w:pPr>
        <w:spacing w:after="0" w:line="175"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80"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A UPS protects sensitive systems from sags, surges and other temporary interruptions in utility-supplied power. A UPS consists of solid-state switches and electronics that are connected to both the utility grid and a back-up power source, typically lead-acid batteries. The UPS electronics monitor the power from the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80"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activates and begins to provide back-up power. Internet service providers, data processing centers, semiconductor plants, cellular phone sites and fiber nodes all use CPS to keep critical business equipment operating when electric utility power falters.</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diagrams depict a conventional UPS and CPS: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grahpic: The graphic on the left depicts a "Conventional UPS System". From the left side of the graphic is an arrow pointed to the center of the graphic with the caption "Electric Power from Utility" beneath the arrow. The arrow points to a box in the center of the graphic with the caption "Uninterruptable Power Supply Electronics" inside the box. Beneath the box and connected to the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"Electric power from the electric utility passes through the UPS to the customer. If this power is interrupted or is disturbed, the UPS immediately draws power from the battery to supply uninterrupted power to customer".</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graphic on the right depicts a "Conventional CPS System". From the left side of the graphic is an arrow pointed to the center of the graphic with the caption "Electric Power from Utility" beneath the arrow. The arrow points to a box in the center of the graphic with the caption "Uninterruptible Power Supply Electronics" inside the box. Above the box and connected to the center box with a line is an oval with the caption "Generator" inside the oval and the caption "long term power (minutes to days)" to the left of the oval. Beneath the center box and connected to the center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"In a CPS configuration, if the power disturbance lasts longer than a few seconds, the standy generator is started to provide electric power for as long as required."]</w:t>
      </w:r>
    </w:p>
    <w:p>
      <w:pPr>
        <w:sectPr>
          <w:pgSz w:w="11900" w:h="16838" w:orient="portrait"/>
          <w:cols w:equalWidth="0" w:num="1">
            <w:col w:w="10219"/>
          </w:cols>
          <w:pgMar w:left="240" w:top="643" w:right="1440" w:bottom="0" w:gutter="0" w:footer="0" w:header="0"/>
        </w:sectPr>
      </w:pPr>
    </w:p>
    <w:p>
      <w:pPr>
        <w:spacing w:after="0" w:line="183" w:lineRule="exact"/>
        <w:rPr>
          <w:sz w:val="20"/>
          <w:szCs w:val="20"/>
          <w:color w:val="auto"/>
        </w:rPr>
      </w:pPr>
    </w:p>
    <w:p>
      <w:pPr>
        <w:ind w:right="920"/>
        <w:spacing w:after="0" w:line="246" w:lineRule="auto"/>
        <w:rPr>
          <w:sz w:val="20"/>
          <w:szCs w:val="20"/>
          <w:color w:val="auto"/>
        </w:rPr>
      </w:pPr>
      <w:r>
        <w:rPr>
          <w:rFonts w:ascii="Courier New" w:cs="Courier New" w:eastAsia="Courier New" w:hAnsi="Courier New"/>
          <w:sz w:val="15"/>
          <w:szCs w:val="15"/>
          <w:color w:val="auto"/>
        </w:rPr>
        <w:t>Electric power from the electric utility passes through the UPS to the customer. If this power is interrupted or is disturbed, the UPS immediately draws power from the battery to supply uninterrupted power to the customer.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OF CONVENTIONAL UPS AND CPS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a CPS configuration, if the power disturbance lasts longer than a few seconds, the standby generator is started to provide electric power for as long as required.</w:t>
      </w:r>
    </w:p>
    <w:p>
      <w:pPr>
        <w:spacing w:after="0" w:line="1226" w:lineRule="exact"/>
        <w:rPr>
          <w:sz w:val="20"/>
          <w:szCs w:val="20"/>
          <w:color w:val="auto"/>
        </w:rPr>
      </w:pPr>
    </w:p>
    <w:p>
      <w:pPr>
        <w:sectPr>
          <w:pgSz w:w="11900" w:h="16838" w:orient="portrait"/>
          <w:cols w:equalWidth="0" w:num="2">
            <w:col w:w="3540" w:space="80"/>
            <w:col w:w="6599"/>
          </w:cols>
          <w:pgMar w:left="240" w:top="643" w:right="1440" w:bottom="0" w:gutter="0" w:footer="0" w:header="0"/>
          <w:type w:val="continuous"/>
        </w:sectPr>
      </w:pPr>
    </w:p>
    <w:p>
      <w:pPr>
        <w:ind w:right="3039" w:firstLine="273"/>
        <w:spacing w:after="0" w:line="247" w:lineRule="auto"/>
        <w:rPr>
          <w:sz w:val="20"/>
          <w:szCs w:val="20"/>
          <w:color w:val="auto"/>
        </w:rPr>
      </w:pPr>
      <w:r>
        <w:rPr>
          <w:rFonts w:ascii="Courier New" w:cs="Courier New" w:eastAsia="Courier New" w:hAnsi="Courier New"/>
          <w:sz w:val="15"/>
          <w:szCs w:val="15"/>
          <w:color w:val="auto"/>
        </w:rPr>
        <w:t>Conventional UPS and CPS devices have evolved out of a makeshift combination of diesel engines, generators, automobile batteries and UPS electronics. We believe that this patchwork</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0" w:gutter="0" w:footer="0" w:header="0"/>
          <w:type w:val="continuous"/>
        </w:sectPr>
      </w:pPr>
    </w:p>
    <w:bookmarkStart w:id="31" w:name="page32"/>
    <w:bookmarkEnd w:id="31"/>
    <w:p>
      <w:pPr>
        <w:ind w:right="3139"/>
        <w:spacing w:after="0" w:line="246" w:lineRule="auto"/>
        <w:rPr>
          <w:sz w:val="20"/>
          <w:szCs w:val="20"/>
          <w:color w:val="auto"/>
        </w:rPr>
      </w:pPr>
      <w:r>
        <w:rPr>
          <w:rFonts w:ascii="Courier New" w:cs="Courier New" w:eastAsia="Courier New" w:hAnsi="Courier New"/>
          <w:sz w:val="15"/>
          <w:szCs w:val="15"/>
          <w:color w:val="auto"/>
        </w:rPr>
        <w:t>approach to UPS and CPS has resulted in systems that are less efficient, less reliable and more expensive than they otherwise could be. The lead-acid batteries which provide ride-through, or temporary, power for the UPS and CPS, are viewed as the weakest component of conventional power quality and reliability solutions. Lead-acid batteries have numerous problems, including:</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RELIABILITY</w:t>
      </w:r>
    </w:p>
    <w:p>
      <w:pPr>
        <w:spacing w:after="0" w:line="180" w:lineRule="exact"/>
        <w:rPr>
          <w:sz w:val="20"/>
          <w:szCs w:val="20"/>
          <w:color w:val="auto"/>
        </w:rPr>
      </w:pPr>
    </w:p>
    <w:p>
      <w:pPr>
        <w:ind w:left="360" w:right="3599" w:hanging="185"/>
        <w:spacing w:after="0" w:line="247"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Relatively high failure rate--Batteries are prone to heat buildup and acid leaks that lead to battery failure.</w:t>
      </w:r>
    </w:p>
    <w:p>
      <w:pPr>
        <w:spacing w:after="0" w:line="175" w:lineRule="exact"/>
        <w:rPr>
          <w:sz w:val="20"/>
          <w:szCs w:val="20"/>
          <w:color w:val="auto"/>
        </w:rPr>
      </w:pPr>
    </w:p>
    <w:p>
      <w:pPr>
        <w:ind w:left="360" w:right="3319" w:hanging="185"/>
        <w:spacing w:after="0" w:line="247"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life based on usage--When batteries are repeatedly used at close to their maximum power output, their power output capacity can rapidly decrease, reducing the batteries' effectiveness over time.</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COST</w:t>
      </w:r>
    </w:p>
    <w:p>
      <w:pPr>
        <w:spacing w:after="0" w:line="180" w:lineRule="exact"/>
        <w:rPr>
          <w:sz w:val="20"/>
          <w:szCs w:val="20"/>
          <w:color w:val="auto"/>
        </w:rPr>
      </w:pPr>
    </w:p>
    <w:p>
      <w:pPr>
        <w:ind w:left="360" w:right="3319" w:hanging="185"/>
        <w:spacing w:after="0" w:line="246"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maintenance--Batteries must be regularly inspected, generally every three months, to detect problems. Batteries also require periodic testing to determine their power output capacity, which degrades over time.</w:t>
      </w:r>
    </w:p>
    <w:p>
      <w:pPr>
        <w:spacing w:after="0" w:line="177" w:lineRule="exact"/>
        <w:rPr>
          <w:sz w:val="20"/>
          <w:szCs w:val="20"/>
          <w:color w:val="auto"/>
        </w:rPr>
      </w:pPr>
    </w:p>
    <w:p>
      <w:pPr>
        <w:ind w:left="360" w:right="3319" w:hanging="185"/>
        <w:spacing w:after="0" w:line="246"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Bulky--Generally, multiple batteries forming banks or strings must be used to support UPS functions. They also must be spaced apart to prevent uncontrolled heating. Batteries therefore consume valuable space which otherwise could be allocated to revenue generating equipment.</w:t>
      </w:r>
    </w:p>
    <w:p>
      <w:pPr>
        <w:spacing w:after="0" w:line="177" w:lineRule="exact"/>
        <w:rPr>
          <w:sz w:val="20"/>
          <w:szCs w:val="20"/>
          <w:color w:val="auto"/>
        </w:rPr>
      </w:pPr>
    </w:p>
    <w:p>
      <w:pPr>
        <w:ind w:left="360" w:right="3499" w:hanging="185"/>
        <w:spacing w:after="0" w:line="247" w:lineRule="auto"/>
        <w:tabs>
          <w:tab w:leader="none" w:pos="3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replacement required--Regardless of usage, batteries have a limited useful life and must be replaced every 2 to 6 years, depending upon the type of use, environment and other factors.</w:t>
      </w:r>
    </w:p>
    <w:p>
      <w:pPr>
        <w:spacing w:after="0" w:line="174" w:lineRule="exact"/>
        <w:rPr>
          <w:sz w:val="20"/>
          <w:szCs w:val="20"/>
          <w:color w:val="auto"/>
        </w:rPr>
      </w:pPr>
    </w:p>
    <w:p>
      <w:pPr>
        <w:ind w:left="360" w:right="3959" w:hanging="185"/>
        <w:spacing w:after="0" w:line="247" w:lineRule="auto"/>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Temperature sensitivity--Unless cooled by costly air conditioning systems, battery life will rapidly degrade.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left="360" w:right="3599" w:hanging="185"/>
        <w:spacing w:after="0" w:line="247"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Toxicity--Batteries contain toxic materials such as lead and sulfuric acid.</w:t>
      </w:r>
    </w:p>
    <w:p>
      <w:pPr>
        <w:spacing w:after="0" w:line="175" w:lineRule="exact"/>
        <w:rPr>
          <w:sz w:val="20"/>
          <w:szCs w:val="20"/>
          <w:color w:val="auto"/>
        </w:rPr>
      </w:pPr>
    </w:p>
    <w:p>
      <w:pPr>
        <w:ind w:left="360" w:right="3419" w:hanging="185"/>
        <w:spacing w:after="0" w:line="247"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Disposal--State and federal environmental regulations governing battery disposal are rigorous and costly.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Beyond the specific problems associated with lead-acid batteries, existing UPS and CPS contain inefficiencies inherent in any system that was not designed as an integrated solution. Specifically, the major components of these systems do not come from a single reliable source. This lack of a single-source supplier makes installation, maintenance and failure analysis more difficult, costly and complex. Separate companies manufacture, market and service the genset, UPS electronics and batteries. The end user must assume the responsibility to integrate and monitor the system.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CleanSource DC is the first commercially viable, non-chemical replacement for lead-acid batteries used for short-term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to generate back-up power. Our CleanSource flywheel energy storage system is compact, quiet and predictable.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817" w:right="1440" w:bottom="1440" w:gutter="0" w:footer="0" w:header="0"/>
        </w:sectPr>
      </w:pPr>
    </w:p>
    <w:bookmarkStart w:id="32" w:name="page33"/>
    <w:bookmarkEnd w:id="32"/>
    <w:p>
      <w:pPr>
        <w:ind w:right="3039" w:firstLine="364"/>
        <w:spacing w:after="0" w:line="246" w:lineRule="auto"/>
        <w:rPr>
          <w:sz w:val="20"/>
          <w:szCs w:val="20"/>
          <w:color w:val="auto"/>
        </w:rPr>
      </w:pPr>
      <w:r>
        <w:rPr>
          <w:rFonts w:ascii="Courier New" w:cs="Courier New" w:eastAsia="Courier New" w:hAnsi="Courier New"/>
          <w:sz w:val="15"/>
          <w:szCs w:val="15"/>
          <w:color w:val="auto"/>
        </w:rPr>
        <w:t>CleanSource DC can run in conjunction with or can replace battery strings used in UPS and CPS systems and can replace the batteries now used with fuel cells and microturbines to meet peak power demands. This system is available in a variety of delivered power ratings up to 480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Our installed CleanSource DC units have accumulated over 235,000 hours of field operation.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CleanSource UPS is contrasted with a conventional battery-based system in the illustration below.</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a comparison of a "Conventional Battery-Based UPS" and a "CleanSource UPS". The Traditional Battery-Based UPS is pictured on the left side of the graphic. The left portion of the Traditional Battery-Based UPS is labeled "battery cabinets" and the right side of the Traditional Battery-Based UPS is labeled "UPS electronics". Beneath the picture of the Traditional Battery-Based UPS is the following information: "240 KW UPS with minimum battery cabinet; Footprint - 37.5 sq. ft., Weight - 13,000 lbs., Electrical Efficiency - 92%". The CleanSource UPS is pictured on the right side of the graphic. Beneath the picture of the CleanSource UPS is the following information: "250 KW UPS with energy storage; Footprint - 10 sq. ft., Weight - 3,250 lbs., Electrical Efficiency - 98%".]</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CleanSource UPS design takes advantage of the many component similarities between CleanSource DC and standard UPS electronics. Each system requires power conversion electronics, fans for cooling, a frame for structural support, a user display and data reporting, and other overlapping functions. By combining these functions into a single system, as shown in the figure below, we can provide a highly reliable power quality solution while achieving significant cost savings.</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"CleanSource UPS System Efficiencies". The graphic is a ven diagram consisting of two circles which partially overlap in the middle of the graphic. The circle on the left side of the graphic is labeled "Energy Storage" at the bottom left. Inside the left circle on the left side of the circle are the words "flywheel puck". In the middle of the left circle is the caption "Flywheel Electronics". In the middle of the graphic where the circles overlap from top to bottom are the words "heat sinks &amp; fans", "cabinet frame &amp; skins" and "monitoring &amp; display". Above the overlapping portion of the circles is the caption "System Efficiencies" with an arrow pointed toward the overlapping portion of the diagram. The circle on the right side of the graphic is labeled "UPS" at the bottom right. Inside the right circle on the right side of the circle are the words "bypass switch contactors". In the middle of the right circle is the caption "UPS Electronics".]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3" w:right="1440" w:bottom="1440" w:gutter="0" w:footer="0" w:header="0"/>
        </w:sectPr>
      </w:pPr>
    </w:p>
    <w:bookmarkStart w:id="33" w:name="page34"/>
    <w:bookmarkEnd w:id="33"/>
    <w:p>
      <w:pPr>
        <w:ind w:right="3039" w:firstLine="364"/>
        <w:spacing w:after="0" w:line="246" w:lineRule="auto"/>
        <w:rPr>
          <w:sz w:val="20"/>
          <w:szCs w:val="20"/>
          <w:color w:val="auto"/>
        </w:rPr>
      </w:pPr>
      <w:r>
        <w:rPr>
          <w:rFonts w:ascii="Courier New" w:cs="Courier New" w:eastAsia="Courier New" w:hAnsi="Courier New"/>
          <w:sz w:val="15"/>
          <w:szCs w:val="15"/>
          <w:color w:val="auto"/>
        </w:rPr>
        <w:t>Due to its unique design, CleanSource UPS typically has a lower installed cost than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systems. In conjunction with Caterpillar, we designed CleanSource UPS to be compatible with new and installed standby generators, extending their application to CPS. We are currently delivering CleanSource UPS units and have plans to introduce higher power, parallel systems by the end of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We are developing an advanced CPS for the distributed telecommunications market that combines short and long term energy storage and UPS functionality into one fully integrated system. We believe that benefits of this fully integrated CPS product will include increased reliability, lower cost and less maintenance relative to the piecemeal systems in use today. We anticipate commercial availability of our first CPS product in the fourth quarter of 2001.</w:t>
      </w:r>
    </w:p>
    <w:p>
      <w:pPr>
        <w:spacing w:after="0" w:line="179"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DISTRIBUTED POWER TECHNOLOGY. Under an agreement with Caterpillar, the world's leading producer of distributed power systems, we are studying the potential benefits of a new type of electromechanical technology that can be used in distributed power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goal is to become the leading supplier of power quality and reliability equipment. Key elements of our strategy include: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MANUFACTURE AND MARKET OPTIMAL SOLUTIONS FOR TARGETED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products for specific markets. Our first product, CleanSource DC, put this principle into practice. We created a flywheel product to meet the specific needs of the UPS market. In so doing, we overcame the design constraints that had hampered preceding flywheel programs to produce the first commercially viable alternative to lead-acid batteries. We intend to continue to identify market needs for the power industry and design products to address those specific needs.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CORE TECHNOLOGIES TO DEVELOP NEXT GENERATION PRODUCTS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intend to continue to use our expertise in advanced electromechanical technologies combined with an integrated solutions approach to create innovative products that lower the cost and increase the quality of electric power. We are designing a fully integrated CPS with applications in the distributed telecommunications power quality and reliability market. Additionally, we have entered into an agreement with Caterpillar to study the feasibility of a new type of electromechanical technology for use in distributed power applications.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 AND MARKET OUR PRODUCTS THROUGH ESTABLISHED OEM CHANNELS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working with leading original equipment manufacturers, or OEMs, enables us to rapidly introduce our products into established customer and dealer networks and promote the adoption of new technologies. To date, our most important OEM relationship is with Caterpillar, a worldwide distributor of our CleanSource UPS products. Additionally, we have established distributor relationships with leading UPS OEMs Powerware and MGE UPS Systems for our CleanSource DC</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17" w:right="1440" w:bottom="1440" w:gutter="0" w:footer="0" w:header="0"/>
        </w:sectPr>
      </w:pPr>
    </w:p>
    <w:bookmarkStart w:id="34" w:name="page35"/>
    <w:bookmarkEnd w:id="34"/>
    <w:p>
      <w:pPr>
        <w:ind w:right="3499"/>
        <w:spacing w:after="0" w:line="247" w:lineRule="auto"/>
        <w:rPr>
          <w:sz w:val="20"/>
          <w:szCs w:val="20"/>
          <w:color w:val="auto"/>
        </w:rPr>
      </w:pPr>
      <w:r>
        <w:rPr>
          <w:rFonts w:ascii="Courier New" w:cs="Courier New" w:eastAsia="Courier New" w:hAnsi="Courier New"/>
          <w:sz w:val="15"/>
          <w:szCs w:val="15"/>
          <w:color w:val="auto"/>
        </w:rPr>
        <w:t>product. We intend to continue to use development and distribution relationships for our future products to achieve rapid market penetration.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RELATIONSHIP WITH CATERPILLAR TO ACHIEVE RAPID MARKET PENETRATION</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We believe that our distribution agreement with Caterpillar allows us to rapidly penetrate the power quality and reliability market through Caterpillar's worldwide network of over 200 dealers and over 1,500 branch outlets. A portion of Caterpillar's large installed base of over 250,000 gensets also provides a significant retrofit opportunity by converting installed standby systems to CPS with our CleanSource UPS. Our relationship with Caterpillar should enhance our credibility among the generally conservative customers within the power quality and reliability market. We will continue to examine additional ways to leverage our relationship with Caterpillar.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OUTSOURCE COMPONENTS TO RAPIDLY SCALE MANUFACTURING</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intend to continue to outsource all non-proprietary hardware and electronics by maintaining and building on multiple supplier relationships so that we can respond quickly to significant quantity increases. We intend to focus on the final assembly and testing of our products, decreasing production cycle times and increasing volume production capability.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AGGRESSIVELY PROTECT OUR INTELLECTUAL PROPERTY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seek to identify and to protect aggressively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Electric Power Research Institute estimates that power disturbances cost U.S. businesses more than $30 billion each year. According to industry sources, in 1999 businesses spent in excess of $11.0 billion globally on power quality and reliability products in an attempt to reduce these losses. Our current products, CleanSource DC and CleanSource UPS, are targeted at the $5.5 billion market for UPS. We believe that our CleanSource products are superior alternatives to conventional UPS and CPS products and should be able to rapidly penetrate this growing segment of the power quality industry. With future products, we anticipate that we will be able to compete in most segments of this market.</w:t>
      </w:r>
    </w:p>
    <w:p>
      <w:pPr>
        <w:spacing w:after="0" w:line="181"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With our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 1999 study conducted by the University of Texas and released by Cisco Systems, Inc. found that the U.S. Internet economy grew at an estimated average annual rate of 175% from 1995 to 1998. The June 2000 update to this study also projected that the Internet economy would grow to $850 billion in 2000, up 62% from 1999. To support this growth, internet service providers must construct new facilities to house the computers and communications systems required to provide around-the-clock service to their customers. To ensure continuous service, ISPs are adding power quality equipment to protect these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The market for back-up telecommunications power systems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3" w:right="1440" w:bottom="1440" w:gutter="0" w:footer="0" w:header="0"/>
        </w:sectPr>
      </w:pPr>
    </w:p>
    <w:bookmarkStart w:id="35" w:name="page36"/>
    <w:bookmarkEnd w:id="35"/>
    <w:p>
      <w:pPr>
        <w:ind w:right="3039"/>
        <w:spacing w:after="0" w:line="246" w:lineRule="auto"/>
        <w:rPr>
          <w:sz w:val="20"/>
          <w:szCs w:val="20"/>
          <w:color w:val="auto"/>
        </w:rPr>
      </w:pPr>
      <w:r>
        <w:rPr>
          <w:rFonts w:ascii="Courier New" w:cs="Courier New" w:eastAsia="Courier New" w:hAnsi="Courier New"/>
          <w:sz w:val="15"/>
          <w:szCs w:val="15"/>
          <w:color w:val="auto"/>
        </w:rPr>
        <w:t>represented approximately $4.0 billion of the $11.0 billion power quality market in 1999. Conventional CPS systems currently satisfy market demand using a patchwork of gensets, lead-acid batteries and UPS electronics. We are designing our next generation product, a fully integrated CPS, to service the specific needs of this market, although we expect broader market applications in the future. We believe that our fully integrated CPS will be well positioned to serve this market and will achieve rapid market penetration.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INDUSTRIAL. An Electric Power Research Institute study on recurring U.S. power problems estimated that the average U.S. 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plastic and fiber extrusion, textiles, and precision machining.</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or generators which are not coupled with a UPS, in the world. As even a short power outage can cause an extended shutdown of sensitive electronic equipment, many of the customers that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250,000 installed gensets worldwide by adding our CleanSource UPS, thereby creating a CPS, represents a significant market opportunity.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Fuel cells and microturbines, which allow users to bypass the electric utility grid by 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or fuel cell to be sized for the average power requirement of the customer. This combination provides a cost competitive alternative to sizing the fuel cell or microturbine to handle both peak and average electrical demands.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RELATIONSHIP WITH CATERPILLAR</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established a strategic relationship with Caterpillar granting Caterpillar the world wide right to distribute CleanSource UPS. Caterpillar is a market leader in new genset sales and has the largest installed base of existing standby generators in the world. By offering a Caterpillar UPS with a standby genset, Caterpillar can transform a standby power system into a CPS. The combined solution reduces maintenance cost and increases reliability relative to traditional CPS products. Moreover, because Caterpillar's product line now includes both a UPS and a genset, Caterpillar will be selling, installing and servicing a complete CPS under a single brand name. We believe that this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2" w:right="1440" w:bottom="1440" w:gutter="0" w:footer="0" w:header="0"/>
        </w:sectPr>
      </w:pPr>
    </w:p>
    <w:bookmarkStart w:id="36" w:name="page37"/>
    <w:bookmarkEnd w:id="36"/>
    <w:p>
      <w:pPr>
        <w:ind w:right="3219"/>
        <w:spacing w:after="0" w:line="246" w:lineRule="auto"/>
        <w:rPr>
          <w:sz w:val="20"/>
          <w:szCs w:val="20"/>
          <w:color w:val="auto"/>
        </w:rPr>
      </w:pPr>
      <w:r>
        <w:rPr>
          <w:rFonts w:ascii="Courier New" w:cs="Courier New" w:eastAsia="Courier New" w:hAnsi="Courier New"/>
          <w:sz w:val="15"/>
          <w:szCs w:val="15"/>
          <w:color w:val="auto"/>
        </w:rPr>
        <w:t>total solution gives both Caterpillar and us a significant competitive advantage in the power quality market. Through Caterpillar's worldwide dealership and sales force network and its market reputation, we believe that we will be able to rapidly penetrate the market for our products.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UPS Development Agreement. We entered into a development agreement with Caterpillar in January 1999 for the creation and distribution of CleanSource UPS marketed under the Caterpillar brand name. Under the development agreement, Caterpillar provided $5.0 million in funding to support the development of CleanSource UPS.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While we retained sole ownership of the underlying flywheel energy storage technology, we jointly own intellectual property associated with the integration of UPS electronics with CleanSource DC with Caterpillar. Either we or Caterpillar may license to other entities the intellectual property that we jointly own without seeking the consent of the other and all licensing revenue generated by licensing the joint intellectual property will be solely retained by the licensing party. However, we may not license the joint intellectual property to specifically identified competitors of Caterpillar until January 1, 2005.</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While this agreement has no expiration date, Caterpillar may terminate it at any time by giving us 90 days' advance written notice. Upon termination of the development agreement, the parties will have no further obligation to engage in any future development efforts or study the applicability of any such development. However, the ownership rights granted each party will survive any such termination.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Distribution Agreement. We also have a distribution agreement with Caterpillar. During 1999 and the first six months of 2000, we received approximately $412,000, or 39%, and $712,000, or 83%, respectively, of our product revenue from Caterpillar under this agreement. The principal provisions of this agreement are summarized below:</w:t>
      </w:r>
    </w:p>
    <w:p>
      <w:pPr>
        <w:spacing w:after="0" w:line="178" w:lineRule="exact"/>
        <w:rPr>
          <w:sz w:val="20"/>
          <w:szCs w:val="20"/>
          <w:color w:val="auto"/>
        </w:rPr>
      </w:pPr>
    </w:p>
    <w:p>
      <w:pPr>
        <w:ind w:left="360" w:right="4319" w:hanging="185"/>
        <w:spacing w:after="0" w:line="247" w:lineRule="auto"/>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has semi-exclusive worldwide rights to distribute CleanSource UPS under the Caterpillar brand name;</w:t>
      </w:r>
    </w:p>
    <w:p>
      <w:pPr>
        <w:spacing w:after="0" w:line="175" w:lineRule="exact"/>
        <w:rPr>
          <w:sz w:val="20"/>
          <w:szCs w:val="20"/>
          <w:color w:val="auto"/>
        </w:rPr>
      </w:pPr>
    </w:p>
    <w:p>
      <w:pPr>
        <w:ind w:left="360" w:right="3319" w:hanging="185"/>
        <w:spacing w:after="0" w:line="246"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long as Caterpillar meets minimum annual sales requirements, we will not sell CleanSource UPS to specifically identified competitors of Caterpillar until January 1, 2005 or the termination of the distribution agreement; and</w:t>
      </w:r>
    </w:p>
    <w:p>
      <w:pPr>
        <w:spacing w:after="0" w:line="177" w:lineRule="exact"/>
        <w:rPr>
          <w:sz w:val="20"/>
          <w:szCs w:val="20"/>
          <w:color w:val="auto"/>
        </w:rPr>
      </w:pPr>
    </w:p>
    <w:p>
      <w:pPr>
        <w:ind w:left="360" w:right="3499" w:hanging="185"/>
        <w:spacing w:after="0" w:line="247"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provide Caterpillar the same warranty Caterpillar provides its customers procuring electric power generation products (one year from delivery).</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Caterpillar may continue to distribute CleanSource UPS until January 1, 2005. At such time the agreement will continue for additional six-month periods unless either party provides written notice to the other within ninety days of the end of the current period of its decision not to renew the agreement. The agreement may also be terminated by Caterpillar for our uncured material breach, if CleanSource UPS consistently and materially fails to meet our published specifications, if we substantially and continuously fail to meet agreed shipment dates for products ordered by Caterpillar. Finally, either party may terminate in the event of a change in control of the other.</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Feasibility Study. Under our development agreement with Caterpillar, we are also studying the potential benefits of a new type of electromechanical technology for use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SUPPORT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In the power quality industry, we believe that partnering with established companies with significant relationships and service capabilities enables us to promote the adoption of new</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3" w:right="1440" w:bottom="1440" w:gutter="0" w:footer="0" w:header="0"/>
        </w:sectPr>
      </w:pPr>
    </w:p>
    <w:bookmarkStart w:id="37" w:name="page38"/>
    <w:bookmarkEnd w:id="37"/>
    <w:p>
      <w:pPr>
        <w:ind w:right="3039"/>
        <w:spacing w:after="0" w:line="246" w:lineRule="auto"/>
        <w:rPr>
          <w:sz w:val="20"/>
          <w:szCs w:val="20"/>
          <w:color w:val="auto"/>
        </w:rPr>
      </w:pPr>
      <w:r>
        <w:rPr>
          <w:rFonts w:ascii="Courier New" w:cs="Courier New" w:eastAsia="Courier New" w:hAnsi="Courier New"/>
          <w:sz w:val="15"/>
          <w:szCs w:val="15"/>
          <w:color w:val="auto"/>
        </w:rPr>
        <w:t>technology that otherwise would take significantly longer for wide application. Our sales activity has focused principally on OEM adoption of our products through extensive OEM testing, product qualification and early product placement with select end users. We intend to continue to sell through OEMs to gain acceptance of our proprietary and innovative power technologies. We believe that focusing on product acceptance and support from OEMs provides the greatest opportunity for market penetration and sales growth with minimal resources. We are also expanding our international sales activities through our multinational OEM sales channels. We employ a small, geographically dispersed sales force to develop leads and educate our OEM customers in their sales efforts.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marketing efforts are geared toward developing and sustaining key relationships with OEMs, participating in tradeshows to promote and launch our products, and training for the salespeople within the OEM channels.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AND SUPPORT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transitioning the primary service and maintenance of our products from our own service personnel to the OEMs who sell our products. We believe that this will reduce the need for a large end-user support organization by enabling our OEMs to provide installation, service and primary support to their customers. Our service personnel will remain as a back-up for difficult situations or where no trained personnel are immediately available and will support initial applications of the products. Our customer service and support organization also provides comprehensive training programs to our OEM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CUSTOMERS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primary customers are OEMs. To date, our most significant OEM is Caterpillar, which distributes CleanSource UPS under its brand name. We intend to continue to use selected development and distribution partnerships to develop and distribute our future products into selected markets and achieve rapid market penetration.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End use industries for our products include Internet service providers, semiconductor manufacturers, telecommunication providers, pharmaceutical manufacturers, hospitals, electric utilities and broadcasters.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1999, Caterpillar accounted for 39% of our total revenue and sales of our CleanSource DC product to our largest UPS OEM, Powerware, accounted for 21% of our revenue. Sales of CleanSource DC to Micron Technologies and Lee Technologies also accounted for 16% and for 13% of our 1999 revenue, respectively. No other customer accounted for more than 10% of our revenue during 1999. Due to Caterpillar's semi-exclusive CleanSource UPS distribution rights, we anticipate that revenue from Caterpillar will comprise a majority of our revenue in 2000. In the six months ended June 30, 2000, Caterpillar accounted for 83% of our revenue.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FLYWHEEL ENERGY STORAGE SYSTEM</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Our patented flywheel energy storage system stores kinetic energy--energy produced by motion--by spinning a compact rotor constantly in a low-friction environment. When the user requires short-term back-up power--i.e. when the electric power used to spin the flywheel fluctuates or is lost--the wheel's inertia causes it to continue spinning. The resulting kinetic energy of the spinning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2" w:right="1440" w:bottom="1440" w:gutter="0" w:footer="0" w:header="0"/>
        </w:sectPr>
      </w:pPr>
    </w:p>
    <w:bookmarkStart w:id="38" w:name="page39"/>
    <w:bookmarkEnd w:id="38"/>
    <w:p>
      <w:pPr>
        <w:jc w:val="both"/>
        <w:ind w:right="3219"/>
        <w:spacing w:after="0" w:line="247" w:lineRule="auto"/>
        <w:rPr>
          <w:sz w:val="20"/>
          <w:szCs w:val="20"/>
          <w:color w:val="auto"/>
        </w:rPr>
      </w:pPr>
      <w:r>
        <w:rPr>
          <w:rFonts w:ascii="Courier New" w:cs="Courier New" w:eastAsia="Courier New" w:hAnsi="Courier New"/>
          <w:sz w:val="15"/>
          <w:szCs w:val="15"/>
          <w:color w:val="auto"/>
        </w:rPr>
        <w:t>flywheel generates electricity for short periods. We believe that relative to other energy storage alternatives, our system provides high quality, reliable power at the lowest cost.</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"The CleanSource Flywheel Technology" and lists the patents we have obtained or filed for on the specific parts of the flywheel system. From the top of the left side of the flywheel to the bottom, we have listed the following patents: "Magnetic bearing integrated into field circuit, Patent# US5920138", "Constant voltage regulation, Patent# US5932935", "Smooth air-gap armature, Patent Pending", "High-power motor-generator, Patent# US5905321". From the top of the right side of the flywheel to the bottom, we have listed the following patents: "Ball bearing cartridge for easy replacement, Patent# US6029538", High intertia motor-generator rotor, Patent# US5929548" and "Slotless motor-generator stator, Patent# US5731654, Patent# 5969457".]</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3" w:right="1440" w:bottom="1440" w:gutter="0" w:footer="0" w:header="0"/>
        </w:sectPr>
      </w:pPr>
    </w:p>
    <w:bookmarkStart w:id="39" w:name="page40"/>
    <w:bookmarkEnd w:id="39"/>
    <w:p>
      <w:pPr>
        <w:ind w:right="3039"/>
        <w:spacing w:after="0" w:line="246" w:lineRule="auto"/>
        <w:rPr>
          <w:sz w:val="20"/>
          <w:szCs w:val="20"/>
          <w:color w:val="auto"/>
        </w:rPr>
      </w:pPr>
      <w:r>
        <w:rPr>
          <w:rFonts w:ascii="Courier New" w:cs="Courier New" w:eastAsia="Courier New" w:hAnsi="Courier New"/>
          <w:sz w:val="15"/>
          <w:szCs w:val="15"/>
          <w:color w:val="auto"/>
        </w:rPr>
        <w:t>contained in the armature to generate constant output power. This enables the flywheel system to provide between ten and sixty seconds of electricity during power disturbances. While a lead-acid battery can typically provide back-up power for a much longer period, this capability usually is not required. Our flywheel-based system can provide ride-through, or temporary, power for the majority of power disturbances, such as voltage sags and surges, and can bridge the gap between a power outage and the time required to switch to generator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CLEANSOURCE FAMILY OF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unique flywheel energy storage system device is being used in our two currently offered products: CleanSource DC and CleanSource UPS. The CleanSource UPS design takes advantage of the many component similarities between the CleanSource DC and a traditional UPS system. Both products require power conversion electronics, fans for cooling, a frame for structural support, telemetry, data reporting, a user display and other overlapping functions. By combining these functions into a single system, we achieved significant cost efficiencies.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UPS electronics we use in our CleanSource UPS product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GENERATOR START ENHANCEMENT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To enhance the overall system reliability of CleanSource UPS, we have patented a method to draw power from the flywheel to supply 24 volts of starting power to a genset to augment or replace the typical starter battery, which is the cause of most generator start failures. When taking advantage of this flywheel-sourced starting power, the reliability of the entire CPS solution is significantly enhanced.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features and performance to address the specific needs. Our research and development expenses were $2.6 million, $4.0 million and $4.4 million in 1997, 1998 and 1999, respectively. We anticipate maintaining significant levels of research and development expenditures in the future. At June 30, 2000, our research and development efforts employed 53 engineers and technicians.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source all of our components from contract manufacturers to enhance our ability to scale our operations and minimize cost. This approach allows us to respond quickly to customer orders while maintaining high quality standards.</w:t>
      </w:r>
    </w:p>
    <w:p>
      <w:pPr>
        <w:spacing w:after="0" w:line="174"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internal manufacturing process consists of assembly, functional testing and quality control of our products. We also test components, parts and subassemblies obtained from suppliers for quality control purposes.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817" w:right="1440" w:bottom="1440" w:gutter="0" w:footer="0" w:header="0"/>
        </w:sectPr>
      </w:pPr>
    </w:p>
    <w:bookmarkStart w:id="40" w:name="page41"/>
    <w:bookmarkEnd w:id="40"/>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all of our components on a purchase order basis and do not have written or long-term agreements with any of our suppliers. Although we use standard parts and components for our products where possible, we purchase a particular type of power module from Semikron International and a microprocessor from Motorola, both of whom are single source suppliers. If we were unable to obtain these components, we believe it would take approximately six months to develop a substitute power module and approximately four months to develop a substitute microprocessor. We have an oral agreement with the power module supplier to maintain at least three months inventory for us, and we maintain an additional three months of inventory. We maintain approximately three months of inventory of the Motorola microprocessor. We intend to seek long-term agreements with key suppliers to ensure the adequate supply of components.</w:t>
      </w:r>
    </w:p>
    <w:p>
      <w:pPr>
        <w:spacing w:after="0" w:line="183"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We plan to substantially expand our manufacturing facilities and capacity in order to support projected volume demand for our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rely on a combination of patents and trademarks, as well as confidentiality agreements and other contractual restrictions with employees and third parties, to establish and protect our proprietary rights. We currently have filed 32 patents before the United States' Patent and Trademark Office, 21 of which have issued, nine of which are pending, three of which have been allowed, and two of which we abandoned. Additionally, we have made 25 filings under the Patent Cooperation Treaty, and before the European Patent Office and the Japanese Patent Office. Of those patents prosecuted before the United States' Patent and Trademark Office, 17 claim inventions related to our CleanSource product line, eight of which have issued. Six of these issued patents protect inventions related to a motor/generator for flywheel use, a central component of our CleanSource product. Our patent strategy is critical for preserving our rights in and to the intellectual property embodied in our CleanSource product line. As a manufactured, tangible device that is sold rather than licensed, the CleanSource product line does not qualify for copyright or trade secret protection. To enforce our ownership of such technology, we principally rely on the protection obtained through the patents we own, as well as state unfair competition laws. We intend to aggressively protect our patents, including by bringing legal actions if we deem it necessary.</w:t>
      </w:r>
    </w:p>
    <w:p>
      <w:pPr>
        <w:spacing w:after="0" w:line="18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own the registered trademark CLEANSOURCE in the United States and have applied for a trademark on our logo. All other trademarks, service marks or trade names referred to in this prospectus are the property of their respective owners.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quality and power reliability markets are intensely competitive. The principal bases of competition are system reliability, availability, cost, including initial cost and total cost of ownership, and OEM endorsement and brand recognition.</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CleanSource DC product competes with makers of lead-acid batteries and groups that are developing their own battery-free technologies. Piller and International Computer Power are the only companies currently offering flywheel energy storage systems that directly compete with the CleanSource DC. The Piller flywheel is only available with Piller's proprietary UPS system. In the 500kw and under power range, we believe that we have a substantial majority of the installed base of flywheel products. In the overall flywheel market, we believe that we and Piller each have approximately half of the installed flywheel units. The CleanSource DC is the only flywheel system that is sold and serviced by the major UPS manufacturers--Powerware, Liebert and MGE UPS Systems.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2" w:right="1440" w:bottom="1440" w:gutter="0" w:footer="0" w:header="0"/>
        </w:sectPr>
      </w:pPr>
    </w:p>
    <w:bookmarkStart w:id="41" w:name="page42"/>
    <w:bookmarkEnd w:id="41"/>
    <w:p>
      <w:pPr>
        <w:ind w:right="3039" w:firstLine="364"/>
        <w:spacing w:after="0" w:line="246" w:lineRule="auto"/>
        <w:rPr>
          <w:sz w:val="20"/>
          <w:szCs w:val="20"/>
          <w:color w:val="auto"/>
        </w:rPr>
      </w:pPr>
      <w:r>
        <w:rPr>
          <w:rFonts w:ascii="Courier New" w:cs="Courier New" w:eastAsia="Courier New" w:hAnsi="Courier New"/>
          <w:sz w:val="15"/>
          <w:szCs w:val="15"/>
          <w:color w:val="auto"/>
        </w:rPr>
        <w:t>Our CleanSource UPS as distributed by Caterpillar competes with UPS manufacturers such as Powerware, Liebert and MGE UPS Systems, who also are CleanSource DC distributors. When sold in conjunction with a standby generator, the CleanSource UPS competes with battery-free systems from Piller, Hitec and EuroDiesel. While CleanSource UPS is a new product and we therefore have not sold a significant number of units, we believe that the high efficiency, broad power range and compact footprint of the CleanSource UPS, coupled with Caterpillar's brand recognition and support, will allow us to compete successfully with these alternatives.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expect our future CPS product to compete with manufacturers of CPS equipment for the telecommunications market, such as Alpha Technologies and the Lectro division of Invensys. While we believe that our future CPS product will offer the telecommunications market a superior technology to what currently exists, we may have difficulty competing with the existing product offerings in this market and may never develop a competitive product offering.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June 30, 2000, we had 126 employees, with 53 engaged in research and development, 38 in manufacturing, 12 in sales, 7 in marketing and customer support, and 16 in administration, information technology and finance. None of our employees is represented by a labor union. We have not experienced any work stoppages and consider our relations with our employees to be good.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corporate headquarters facility, which houses our administrative, advanced development, engineering, information systems, marketing, sales and service and support groups, consists of approximately 23,500 square feet in Austin, Texas. We lease our corporate headquarters facility pursuant to a lease agreement that expires in March 2003. Our manufacturing facility of approximately 15,000 square feet is also located in Austin, Texas. The lease on this facility also expires in March 2003. The total monthly lease payments due under our leases for our facilities in Austin, Texas are approximately $35,000.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are not party to any legal proceedings.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817" w:right="1440" w:bottom="1440" w:gutter="0" w:footer="0" w:header="0"/>
        </w:sectPr>
      </w:pPr>
    </w:p>
    <w:bookmarkStart w:id="42" w:name="page43"/>
    <w:bookmarkEnd w:id="42"/>
    <w:p>
      <w:pPr>
        <w:ind w:left="3180"/>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DIRECTORS AND KEY EMPLOYEES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our executive officers and directors and certain of our key employees: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220" w:type="dxa"/>
            <w:vAlign w:val="bottom"/>
            <w:gridSpan w:val="2"/>
          </w:tcPr>
          <w:p>
            <w:pPr>
              <w:jc w:val="right"/>
              <w:ind w:right="2744"/>
              <w:spacing w:after="0"/>
              <w:rPr>
                <w:sz w:val="20"/>
                <w:szCs w:val="20"/>
                <w:color w:val="auto"/>
              </w:rPr>
            </w:pPr>
            <w:r>
              <w:rPr>
                <w:rFonts w:ascii="Courier New" w:cs="Courier New" w:eastAsia="Courier New" w:hAnsi="Courier New"/>
                <w:sz w:val="15"/>
                <w:szCs w:val="15"/>
                <w:color w:val="auto"/>
              </w:rPr>
              <w:t>AGE POSITION(S)</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 -----------</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OFFICERS:</w:t>
            </w:r>
          </w:p>
        </w:tc>
        <w:tc>
          <w:tcPr>
            <w:tcW w:w="36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Eric L.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S. Gino..................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Chief Financial</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Officer and Secretary</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James A. Balthazar.............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Marketing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E. Ott, 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Sales and Service</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Rodney S. Bond.................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Lindsay R.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Terrence L. Rock...............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KEY EMPLOYEES:</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Mark Ascolese..................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Daniel R. Brent................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Manufacturing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B. Clifton...............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Advanced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C. Kainer..............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Business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Travis R. Williams.............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Engineering</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(1)Member of the 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(2)Member of the audit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ERIC L. JONES has served as the Chairman of our Board of Directors since March 1995. Since April 1994, he has been a partner with SSM Venture Partners, L.P., an Austin, Texas-based venture capital firm. Mr. Jones is currently a director/chairman of several private companies including 360 Commerce and Motive Communications. He is also the past chairman of the board of directors of VTEL Corporation and Tivoli Systems. During a 25 year career at Texas Instruments, Mr. Jones held various positions, including as a corporate vice president and as president of TI's Data Systems Group. Mr. Jones holds a Ph.D. in mechanical engineering from the University of Texas at Austin.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JOSEPH F. PINKERTON, III, our founder, has served as our Chief Executive Officer, President and director since August 1992. From June 1989 to June 1992, Mr. Pinkerton was a principal with FRC, a private research and development company. Mr. Pinkerton holds numerous U.S. and foreign patents. Mr. Pinkerton holds a B.A. in physics from Albion College, in association with Columbia University.</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S. GINO has served as our Chief Financial Officer, Vice President of Finance and Secretary since December 1999. From August 1995 to November 1999, Mr. Gino was the Chief Financial Officer and Executive Vice President of Finance of DuPont Photomasks, a public semiconductor component manufacturer. From October 1987 to August 1995, Mr. Gino held a</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3" w:right="1440" w:bottom="1440" w:gutter="0" w:footer="0" w:header="0"/>
        </w:sectPr>
      </w:pPr>
    </w:p>
    <w:bookmarkStart w:id="43" w:name="page44"/>
    <w:bookmarkEnd w:id="43"/>
    <w:p>
      <w:pPr>
        <w:ind w:right="3039"/>
        <w:spacing w:after="0" w:line="247" w:lineRule="auto"/>
        <w:rPr>
          <w:sz w:val="20"/>
          <w:szCs w:val="20"/>
          <w:color w:val="auto"/>
        </w:rPr>
      </w:pPr>
      <w:r>
        <w:rPr>
          <w:rFonts w:ascii="Courier New" w:cs="Courier New" w:eastAsia="Courier New" w:hAnsi="Courier New"/>
          <w:sz w:val="15"/>
          <w:szCs w:val="15"/>
          <w:color w:val="auto"/>
        </w:rPr>
        <w:t>number of financial and business management positions with The DuPont Company. Mr. Gino holds a B.A. in economics from the University of California and an MBA from the University of Phoenix.</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JAMES A. BALTHAZAR has served as our Vice President of Marketing since October 1996. From March 1984 to August 1996, Mr. Balthazar held various management positions, including Vice President of Marketing at Convex Computer Corporation, a public supercomputer manufacturer. Mr. Balthazar holds a B.S. from the University of Maryland, College Park and an M.S. in engineering from Cornell University.</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E. OTT, II has served as our Vice President of Sales and Service since September 1997. From July 1996 to September 1997, Mr. Ott served as General Manager for Eastern United States, Canada and Latin America at US Data Corp., a public manufacturer of automation software. From August 1995 to July 1996, he was the Southeastern Sales Director for Pyramid Technology Corp., a public high performance UNIX server manufacturer, and from July 1994 to June 1995, he was the Southeastern United States Sales Manager for Sybase, Inc. Mr. Ott holds a B.S. in electrical engineering and an M.B.A. from the University of Missouri at Columbia.</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RICHARD E. ANDERSON has served on our Board of Directors since 1992. In 1992, Mr. Anderson co-founded Hill Partners, Inc., a real estate development and investment company, where he currently serves as a partner. Mr. Anderson holds a B.A. in economics from Southern Methodist University.</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RODNEY S. BOND has served on our Board of Directors since September 1994. Since May 1990, Mr. Bond has served in various capacities with VTEL Corporation, a public digital video communications company. He currently serves as the Vice President, Chief Strategic Officer and previously served as the Vice President, Chief Financial Officer of VTEL. Mr. Bond holds a B.S. in metalurgical engineering from the University of Illinois and an M.B.A. from Northwestern University.</w:t>
      </w:r>
    </w:p>
    <w:p>
      <w:pPr>
        <w:spacing w:after="0" w:line="179"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LINDSAY R. JONES has served on our Board of Directors since December 1996. Ms. Jones is a Vice President of Advent International Corp., a private equity firm, which she joined in September 1990. Ms. Jones holds a B.A. in economics from Middlebury College.</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JAN H. LINDELOW has served on our Board of Directors since February 1998. Since May 1997 to the present, Mr. Lindelow has served as Chairman and CEO of Tivoli Systems, Inc. From January 1995 to April 1997, he was a self-employed management consultant. From 1988 to June 1994, Mr. Lindelow worked in various management capacities at Asea Brown Boveri AG. Mr. Lindelow holds an M.S. in electrical engineering from the Royal Institute of Technology in Stockholm, Sweden.</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TERRENCE L. ROCK has served on our Board of Directors since 1997. Since 1996, Mr. Rock has served as a partner with CenterPoint Venture Partners. From 1983 to 1996, Mr. Rock worked for Convex Computer Corporation holding various positions, including President and Vice President of Operations. Mr. Rock also serves on the board at several private companies. Mr. Rock holds a B.S. in mechanical engineering from South Dakota School of Mines and Technology.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KEY EMPLOYEES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MARK ASCOLESE has served as our Senior Vice President since March 2000. From 1985 to March 2000, Mr. Ascolese served as President, Global Accounts, as well as various other executive level positions at Invensys PLC's Powerware subsidiary. Mr. Ascolese holds a B.S. in commerce from the University of Louisville.</w:t>
      </w:r>
    </w:p>
    <w:p>
      <w:pPr>
        <w:spacing w:after="0" w:line="178"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DANIEL R. BRENT has served as our Vice President of Manufacturing since July 1996. From June 1984 until July 1996, Mr. Brent held various manufacturing management positions, including manager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1440" w:gutter="0" w:footer="0" w:header="0"/>
        </w:sectPr>
      </w:pPr>
    </w:p>
    <w:bookmarkStart w:id="44" w:name="page45"/>
    <w:bookmarkEnd w:id="44"/>
    <w:p>
      <w:pPr>
        <w:ind w:right="3139"/>
        <w:spacing w:after="0" w:line="247" w:lineRule="auto"/>
        <w:rPr>
          <w:sz w:val="20"/>
          <w:szCs w:val="20"/>
          <w:color w:val="auto"/>
        </w:rPr>
      </w:pPr>
      <w:r>
        <w:rPr>
          <w:rFonts w:ascii="Courier New" w:cs="Courier New" w:eastAsia="Courier New" w:hAnsi="Courier New"/>
          <w:sz w:val="15"/>
          <w:szCs w:val="15"/>
          <w:color w:val="auto"/>
        </w:rPr>
        <w:t>and director of technical support in the Austin, Texas and Fremont, California divisions of Tandem Computers, Inc. Mr. Brent holds a B.S. in chemistry from Wichita State University.</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B. CLIFTON has served as our Vice President of Advanced Development since 1997. From 1994 to 1997, Mr. Clifton served as our Vice President of Engineering. Prior to joining Active Power, Mr. Clifton was a founder and Vice President of Engineering at Asoma Instruments. Mr. Clifton attended Texas Tech University, Oklahoma University and the University of Texas at Austin.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C. KAINER has served as our Vice President of Business Development since January 1999. From October 1997 to January 1999, Mr. Kainer served as our Vice President of Service. From January 1997 to October 1997, he served as Vice President of Sales for Haystack Labs, a private security software company. From November 1995 to September 1996, Mr. Kainer was the Vice President of Sales and Marketing of General Computer Systems, a private pharmaceutical software company. From July 1994 to October 1995, he was General Manager of the Americas at Convex Computer Corporation. Mr. Kainer holds a B.A. in history from the University of Houston.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TRAVIS R. WILLIAMS has served as our Vice President of Engineering since October 1997. Prior to this, Mr. Williams held various positions, including the Manager of Development Engineering at the Wayne Division of Dresser Industries, Inc., a public manufacturer of retail petroleum marketing systems, from February 1988 to September 1997. Mr. Williams holds a B.S. in mechanical engineering from Texas A&amp;M University and an M.S. in electrical engineering from the University of California at Los Angeles.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officers serve at the discretion of the board of directors, subject to severance agreements with Messrs. Pinkerton and Gino, which are described below. All of our current directors were elected pursuant to the Fourth Amended and Restated Voting Agreement dated November 23, 1999 by and between us and certain of our stockholders. The voting provisions of this agreement will automatically terminate upon the closing of this offering. There are no family relationships among any of our executive officers or directors.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 OF DIRECTORS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the closing of this offering, we intend to file an amended certificate of incorporation pursuant to which our board of directors will be divided into three classes effective upon the closing of this offering. The members of each class will serve for a staggered, three-year term. Upon the expiration of the term of a class of directors, directors in that class will be elected for three-year terms at the annual meeting of stockholders in the year in which their term expires. The classes will be comprised as follows:</w:t>
      </w:r>
    </w:p>
    <w:p>
      <w:pPr>
        <w:spacing w:after="0" w:line="179" w:lineRule="exact"/>
        <w:rPr>
          <w:sz w:val="20"/>
          <w:szCs w:val="20"/>
          <w:color w:val="auto"/>
        </w:rPr>
      </w:pPr>
    </w:p>
    <w:p>
      <w:pPr>
        <w:ind w:left="360" w:right="3599" w:hanging="185"/>
        <w:spacing w:after="0" w:line="247" w:lineRule="auto"/>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 Directors. Richard E. Anderson, Rodney S. Bond and Lindsay R. Jones will be Class I Directors whose terms will expire at the 2001 annual meeting of stockholders;</w:t>
      </w:r>
    </w:p>
    <w:p>
      <w:pPr>
        <w:spacing w:after="0" w:line="174" w:lineRule="exact"/>
        <w:rPr>
          <w:sz w:val="20"/>
          <w:szCs w:val="20"/>
          <w:color w:val="auto"/>
        </w:rPr>
      </w:pPr>
    </w:p>
    <w:p>
      <w:pPr>
        <w:ind w:left="360" w:right="3499" w:hanging="185"/>
        <w:spacing w:after="0" w:line="24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 Directors. Jan H. Lindelow and Terrence L. Rock will be Class II Directors whose terms will expire at the 2002 annual meeting of stockholders; and</w:t>
      </w:r>
    </w:p>
    <w:p>
      <w:pPr>
        <w:spacing w:after="0" w:line="174" w:lineRule="exact"/>
        <w:rPr>
          <w:sz w:val="20"/>
          <w:szCs w:val="20"/>
          <w:color w:val="auto"/>
        </w:rPr>
      </w:pPr>
    </w:p>
    <w:p>
      <w:pPr>
        <w:ind w:left="360" w:right="3419" w:hanging="185"/>
        <w:spacing w:after="0" w:line="24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III Directors. Eric L. Jones and Joseph F. Pinkerton, III will be Class III Directors whose terms will expire at the 2003 annual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0" w:lineRule="exact"/>
        <w:rPr>
          <w:sz w:val="20"/>
          <w:szCs w:val="20"/>
          <w:color w:val="auto"/>
        </w:rPr>
      </w:pPr>
    </w:p>
    <w:p>
      <w:pPr>
        <w:ind w:right="4139" w:firstLine="364"/>
        <w:spacing w:after="0" w:line="247" w:lineRule="auto"/>
        <w:rPr>
          <w:sz w:val="20"/>
          <w:szCs w:val="20"/>
          <w:color w:val="auto"/>
        </w:rPr>
      </w:pPr>
      <w:r>
        <w:rPr>
          <w:rFonts w:ascii="Courier New" w:cs="Courier New" w:eastAsia="Courier New" w:hAnsi="Courier New"/>
          <w:sz w:val="15"/>
          <w:szCs w:val="15"/>
          <w:color w:val="auto"/>
        </w:rPr>
        <w:t>Our board of directors has established an audit committee and a compensation committee.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AUDIT COMMITTEE. The audit committee reports to the board of directors with regard to the selection of our independent auditors, the scope of our annual audits, fees to be paid to the auditors, the performance of our independent auditors, compliance with our accounting and financial policies,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817" w:right="1440" w:bottom="1440" w:gutter="0" w:footer="0" w:header="0"/>
        </w:sectPr>
      </w:pPr>
    </w:p>
    <w:bookmarkStart w:id="45" w:name="page46"/>
    <w:bookmarkEnd w:id="45"/>
    <w:p>
      <w:pPr>
        <w:ind w:right="3319"/>
        <w:spacing w:after="0" w:line="247" w:lineRule="auto"/>
        <w:rPr>
          <w:sz w:val="20"/>
          <w:szCs w:val="20"/>
          <w:color w:val="auto"/>
        </w:rPr>
      </w:pPr>
      <w:r>
        <w:rPr>
          <w:rFonts w:ascii="Courier New" w:cs="Courier New" w:eastAsia="Courier New" w:hAnsi="Courier New"/>
          <w:sz w:val="15"/>
          <w:szCs w:val="15"/>
          <w:color w:val="auto"/>
        </w:rPr>
        <w:t>and management's procedures and policies relative to the adequacy of our internal accounting controls. The members of the audit committee are Messrs. Bond, Lindelow and Rock.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COMPENSATION COMMITTEE. The compensation committee reviews and makes recommendations to the board regarding our compensation policies and all forms of compensation to be provided to our directors, executive officers and certain other employees. In addition, the compensation committee reviews bonus and stock compensation arrangements for all of our other employees. The compensation committee also administers our stock option and stock purchase plans. The members of the compensation committee are Messrs. Anderson, Lindelow and Rock.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of our non-employee directors receives a fee of $5,000 per quarter for his or her service as a director. In addition, non-employee directors will receive stock option grants at periodic intervals under the automatic option grant program of our 2000 Stock Incentive Plan. Non-employee and employee directors will also be eligible to receive option grants under the discretionary option grant program of the 2000 plan. Under the automatic option grant program, each individual who first becomes a non-employee board member at any time after this offering will receive an option grant to purchase 25,000 shares of common stock on the date such individual joins the board. In addition, on the date of each annual stockholders meeting held after this offering, each non-employee board member who continues to serve as a non-employee board member will automatically be granted an option to purchase 7,500 shares of common stock, provided such individual has served on the board for at least six months.</w:t>
      </w:r>
    </w:p>
    <w:p>
      <w:pPr>
        <w:spacing w:after="0" w:line="183"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May 1996, we entered into a consulting services agreement with Eric L. Jones, the chairman of our board of directors. Mr. Jones receives a fee of $6,250 per month for providing business and strategic advisory consulting services to us. This agreement is terminable by either party upon 30 days' advance written notice.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board's compensation committee consists of Messrs. Anderson, Lindelow and Rock. To date, no member of our compensation committee has served as an officer or employee of Active Power. No member of the compensation committee serves as a member of the board of directors or compensation committee of any entity that has one or more executive officers serving as a member of our board of directors or its compensation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AND SEVERANCE ARRANGEMENTS</w:t>
      </w:r>
    </w:p>
    <w:p>
      <w:pPr>
        <w:spacing w:after="0" w:line="180" w:lineRule="exact"/>
        <w:rPr>
          <w:sz w:val="20"/>
          <w:szCs w:val="20"/>
          <w:color w:val="auto"/>
        </w:rPr>
      </w:pPr>
    </w:p>
    <w:p>
      <w:pPr>
        <w:ind w:right="3679" w:firstLine="364"/>
        <w:spacing w:after="0" w:line="247" w:lineRule="auto"/>
        <w:rPr>
          <w:sz w:val="20"/>
          <w:szCs w:val="20"/>
          <w:color w:val="auto"/>
        </w:rPr>
      </w:pPr>
      <w:r>
        <w:rPr>
          <w:rFonts w:ascii="Courier New" w:cs="Courier New" w:eastAsia="Courier New" w:hAnsi="Courier New"/>
          <w:sz w:val="15"/>
          <w:szCs w:val="15"/>
          <w:color w:val="auto"/>
        </w:rPr>
        <w:t>We have severance arrangements in place with the following executive officers:</w:t>
      </w:r>
    </w:p>
    <w:p>
      <w:pPr>
        <w:spacing w:after="0" w:line="175" w:lineRule="exact"/>
        <w:rPr>
          <w:sz w:val="20"/>
          <w:szCs w:val="20"/>
          <w:color w:val="auto"/>
        </w:rPr>
      </w:pPr>
    </w:p>
    <w:p>
      <w:pPr>
        <w:ind w:left="360" w:right="3419" w:hanging="185"/>
        <w:spacing w:after="0" w:line="246"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Pursuant to a resolution by our board of directors, Mr. Pinkerton will receive six months of severance pay if he is terminated without cause, which would result in a severance payment of $105,000 based on Mr. Pinkerton's current salary. Additionally, if after six months of an inability to perform his duties due to a permanent disability Mr. Pinkerton is terminated, he will receive three months of severance pay, which would result in a severance payment of $52,500 based on Mr. Pinkerton's current salary.</w:t>
      </w:r>
    </w:p>
    <w:p>
      <w:pPr>
        <w:spacing w:after="0" w:line="180" w:lineRule="exact"/>
        <w:rPr>
          <w:sz w:val="20"/>
          <w:szCs w:val="20"/>
          <w:color w:val="auto"/>
        </w:rPr>
      </w:pPr>
    </w:p>
    <w:p>
      <w:pPr>
        <w:ind w:left="360" w:right="3319" w:hanging="185"/>
        <w:spacing w:after="0" w:line="246"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S. GINO. Upon a change in corporate control that results in a significant reduction in his role and/or responsibility within 12 months of the change in corporate control, Mr. Gino will receive up to six months of severance pay, which would result in a severance payment of $100,000 based on Mr. Gino's current salary. Additionally, 75% of his then unvested options will accelerate and vest immediately.</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The following table provides the total compensation paid to our chief executive officer and the next highest paid executive officers whose compensation (salary and bonus) exceeded $100,000 in 1999.</w:t>
      </w:r>
    </w:p>
    <w:p>
      <w:pPr>
        <w:spacing w:after="0" w:line="17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80"/>
        <w:spacing w:after="0" w:line="247" w:lineRule="auto"/>
        <w:rPr>
          <w:sz w:val="20"/>
          <w:szCs w:val="20"/>
          <w:color w:val="auto"/>
        </w:rPr>
      </w:pPr>
      <w:r>
        <w:rPr>
          <w:rFonts w:ascii="Courier New" w:cs="Courier New" w:eastAsia="Courier New" w:hAnsi="Courier New"/>
          <w:sz w:val="15"/>
          <w:szCs w:val="15"/>
          <w:color w:val="auto"/>
        </w:rPr>
        <w:t>NAME AND PRINCIPAL POSITION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LONG-TERM</w:t>
      </w:r>
    </w:p>
    <w:p>
      <w:pPr>
        <w:spacing w:after="0" w:line="5" w:lineRule="exact"/>
        <w:rPr>
          <w:sz w:val="20"/>
          <w:szCs w:val="20"/>
          <w:color w:val="auto"/>
        </w:rPr>
      </w:pPr>
    </w:p>
    <w:p>
      <w:pPr>
        <w:ind w:left="800"/>
        <w:spacing w:after="0"/>
        <w:tabs>
          <w:tab w:leader="none" w:pos="342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ind w:left="2080"/>
        <w:spacing w:after="0"/>
        <w:tabs>
          <w:tab w:leader="none" w:pos="352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UNDERLYING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 BONUS ($) COMPENSATION ($) OPTIONS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p>
      <w:pPr>
        <w:sectPr>
          <w:pgSz w:w="11900" w:h="16838" w:orient="portrait"/>
          <w:cols w:equalWidth="0" w:num="2">
            <w:col w:w="2540" w:space="280"/>
            <w:col w:w="7399"/>
          </w:cols>
          <w:pgMar w:left="240" w:top="643"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Joseph F. Pinkerton, III....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$157,308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2620" w:space="280"/>
            <w:col w:w="720" w:space="280"/>
            <w:col w:w="640" w:space="720"/>
            <w:col w:w="820" w:space="720"/>
            <w:col w:w="341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President and Chief Execu-</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tive Officer</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James A. Balthazar..........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15,120</w:t>
      </w:r>
    </w:p>
    <w:p>
      <w:pPr>
        <w:spacing w:after="0" w:line="5" w:lineRule="exact"/>
        <w:rPr>
          <w:sz w:val="20"/>
          <w:szCs w:val="20"/>
          <w:color w:val="auto"/>
        </w:rPr>
      </w:pPr>
    </w:p>
    <w:p>
      <w:pPr>
        <w:sectPr>
          <w:pgSz w:w="11900" w:h="16838" w:orient="portrait"/>
          <w:cols w:equalWidth="0" w:num="5">
            <w:col w:w="2620" w:space="380"/>
            <w:col w:w="620" w:space="640"/>
            <w:col w:w="28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Marketing</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William E. Ott..............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123,600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28,080</w:t>
      </w:r>
    </w:p>
    <w:p>
      <w:pPr>
        <w:spacing w:after="0" w:line="5" w:lineRule="exact"/>
        <w:rPr>
          <w:sz w:val="20"/>
          <w:szCs w:val="20"/>
          <w:color w:val="auto"/>
        </w:rPr>
      </w:pPr>
    </w:p>
    <w:p>
      <w:pPr>
        <w:sectPr>
          <w:pgSz w:w="11900" w:h="16838" w:orient="portrait"/>
          <w:cols w:equalWidth="0" w:num="5">
            <w:col w:w="2620" w:space="380"/>
            <w:col w:w="620" w:space="380"/>
            <w:col w:w="54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Sales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concerning individual grants of stock options made during 1999 to each of our executive officers named in the summary compensation table. We have never granted any stock appreciation rights.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exercise prices represent our board's estimate of the fair market value of the common stock on the grant date. In establishing these prices, our board considered many factors, including the book value of our common stock, the price of the most recent sales of our preferred stock, the preferences given to our preferred stock and the lack of marketability of our common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initial public offering price per share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granted these options under our 1993 Stock Option Plan. Each option has a maximum term of 10 years, subject to earlier termination if the optionee's services are terminated. Except as otherwise noted, these options are immediately exercisable, but we have the right to repurchase, at the exercise price, any shares that have not vested at the time the optionee terminates employment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3" w:right="1440" w:bottom="1440" w:gutter="0" w:footer="0" w:header="0"/>
          <w:type w:val="continuous"/>
        </w:sectPr>
      </w:pPr>
    </w:p>
    <w:bookmarkStart w:id="47" w:name="page48"/>
    <w:bookmarkEnd w:id="47"/>
    <w:p>
      <w:pPr>
        <w:ind w:left="7" w:right="3039"/>
        <w:spacing w:after="0" w:line="246" w:lineRule="auto"/>
        <w:rPr>
          <w:sz w:val="20"/>
          <w:szCs w:val="20"/>
          <w:color w:val="auto"/>
        </w:rPr>
      </w:pPr>
      <w:r>
        <w:rPr>
          <w:rFonts w:ascii="Courier New" w:cs="Courier New" w:eastAsia="Courier New" w:hAnsi="Courier New"/>
          <w:sz w:val="15"/>
          <w:szCs w:val="15"/>
          <w:color w:val="auto"/>
        </w:rPr>
        <w:t>with us. The percentage of total options granted to our employees in the last fiscal year is based on options to purchase an aggregate of 1,276,560 shares of common stock granted in 1999. The following table sets forth information concerning the individual grants of stock options to each of our named executive officers in the year ended 1999.</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POTENTIAL REALIZABLE</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VALUE OF ASSUMED</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ANNUAL RATES OF</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STOCK PRICE</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APPRECIATION FOR</w:t>
            </w:r>
          </w:p>
        </w:tc>
      </w:tr>
      <w:tr>
        <w:trPr>
          <w:trHeight w:val="175"/>
        </w:trPr>
        <w:tc>
          <w:tcPr>
            <w:tcW w:w="2440" w:type="dxa"/>
            <w:vAlign w:val="bottom"/>
          </w:tcPr>
          <w:p>
            <w:pPr>
              <w:spacing w:after="0"/>
              <w:rPr>
                <w:sz w:val="15"/>
                <w:szCs w:val="15"/>
                <w:color w:val="auto"/>
              </w:rPr>
            </w:pPr>
          </w:p>
        </w:tc>
        <w:tc>
          <w:tcPr>
            <w:tcW w:w="28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INDIVIDUAL GRANTS</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OPTION TERM</w:t>
            </w:r>
          </w:p>
        </w:tc>
      </w:tr>
      <w:tr>
        <w:trPr>
          <w:trHeight w:val="175"/>
        </w:trPr>
        <w:tc>
          <w:tcPr>
            <w:tcW w:w="2440" w:type="dxa"/>
            <w:vAlign w:val="bottom"/>
          </w:tcPr>
          <w:p>
            <w:pPr>
              <w:spacing w:after="0"/>
              <w:rPr>
                <w:sz w:val="15"/>
                <w:szCs w:val="15"/>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PERCENT OF TOTAL</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SECURITIES</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OPTIONS GRANTED</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UNDERLYING</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TO EMPLOYEES IN</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THE YEAR ENDED</w:t>
            </w:r>
          </w:p>
        </w:tc>
        <w:tc>
          <w:tcPr>
            <w:tcW w:w="1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PRICE PER EXPIRATION</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GRANTED(#)(1)</w:t>
            </w: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DATE</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2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13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James A. Balthazar(2).....</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15,120</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$279,822</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$454,884</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William E. Ott(2).........</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28,080</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519,669</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884,784</w:t>
            </w:r>
          </w:p>
        </w:tc>
      </w:tr>
    </w:tbl>
    <w:p>
      <w:pPr>
        <w:spacing w:after="0" w:line="179"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OPTION GRANTS IN 1999</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039" w:hanging="363"/>
        <w:spacing w:after="0" w:line="246" w:lineRule="auto"/>
        <w:rPr>
          <w:sz w:val="20"/>
          <w:szCs w:val="20"/>
          <w:color w:val="auto"/>
        </w:rPr>
      </w:pPr>
      <w:r>
        <w:rPr>
          <w:rFonts w:ascii="Courier New" w:cs="Courier New" w:eastAsia="Courier New" w:hAnsi="Courier New"/>
          <w:sz w:val="15"/>
          <w:szCs w:val="15"/>
          <w:color w:val="auto"/>
        </w:rPr>
        <w:t>(1)These options are fully exercisable, but if the employee leaves us before he has vested in his option shares, we have the right to repurchase, at the exercise price, any shares that have been purchased but which are not vested.</w:t>
      </w:r>
    </w:p>
    <w:p>
      <w:pPr>
        <w:spacing w:after="0" w:line="2" w:lineRule="exact"/>
        <w:rPr>
          <w:sz w:val="20"/>
          <w:szCs w:val="20"/>
          <w:color w:val="auto"/>
        </w:rPr>
      </w:pPr>
    </w:p>
    <w:p>
      <w:pPr>
        <w:ind w:left="367" w:right="3039" w:hanging="363"/>
        <w:spacing w:after="0" w:line="247" w:lineRule="auto"/>
        <w:rPr>
          <w:sz w:val="20"/>
          <w:szCs w:val="20"/>
          <w:color w:val="auto"/>
        </w:rPr>
      </w:pPr>
      <w:r>
        <w:rPr>
          <w:rFonts w:ascii="Courier New" w:cs="Courier New" w:eastAsia="Courier New" w:hAnsi="Courier New"/>
          <w:sz w:val="15"/>
          <w:szCs w:val="15"/>
          <w:color w:val="auto"/>
        </w:rPr>
        <w:t>(2)These options vested as to 6.25% on March 9, 2000 and 6.25% on June 9, 2000 and vest as to the remaining 87.5% in equal quarterly installments over the following 14 quarters.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YEAR-END OPTION VALUES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about stock options held as of December 31, 1999 by each of our executive officers named in the Summary Compensation Table. Actual gains on exercise, if any, will depend on the value of our common stock on the date on which the shares are sold.</w:t>
      </w:r>
    </w:p>
    <w:p>
      <w:pPr>
        <w:spacing w:after="0" w:line="177"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YEAR END 1999 OPTION VALUES</w:t>
      </w:r>
    </w:p>
    <w:p>
      <w:pPr>
        <w:spacing w:after="0" w:line="200" w:lineRule="exact"/>
        <w:rPr>
          <w:sz w:val="20"/>
          <w:szCs w:val="20"/>
          <w:color w:val="auto"/>
        </w:rPr>
      </w:pPr>
    </w:p>
    <w:p>
      <w:pPr>
        <w:spacing w:after="0" w:line="32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ind w:left="2627"/>
        <w:spacing w:after="0"/>
        <w:tabs>
          <w:tab w:leader="none" w:pos="5066"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3187"/>
        <w:spacing w:after="0"/>
        <w:tabs>
          <w:tab w:leader="none" w:pos="4986" w:val="left"/>
        </w:tabs>
        <w:rPr>
          <w:sz w:val="20"/>
          <w:szCs w:val="20"/>
          <w:color w:val="auto"/>
        </w:rPr>
      </w:pPr>
      <w:r>
        <w:rPr>
          <w:rFonts w:ascii="Courier New" w:cs="Courier New" w:eastAsia="Courier New" w:hAnsi="Courier New"/>
          <w:sz w:val="15"/>
          <w:szCs w:val="15"/>
          <w:color w:val="auto"/>
        </w:rPr>
        <w:t>OPTIONS AT</w:t>
      </w:r>
      <w:r>
        <w:rPr>
          <w:sz w:val="20"/>
          <w:szCs w:val="20"/>
          <w:color w:val="auto"/>
        </w:rPr>
        <w:tab/>
      </w:r>
      <w:r>
        <w:rPr>
          <w:rFonts w:ascii="Courier New" w:cs="Courier New" w:eastAsia="Courier New" w:hAnsi="Courier New"/>
          <w:sz w:val="15"/>
          <w:szCs w:val="15"/>
          <w:color w:val="auto"/>
        </w:rPr>
        <w:t>IN-THE-MONEY OPTIONS AT</w:t>
      </w:r>
    </w:p>
    <w:p>
      <w:pPr>
        <w:spacing w:after="0" w:line="5" w:lineRule="exact"/>
        <w:rPr>
          <w:sz w:val="20"/>
          <w:szCs w:val="20"/>
          <w:color w:val="auto"/>
        </w:rPr>
      </w:pPr>
    </w:p>
    <w:p>
      <w:pPr>
        <w:ind w:left="2727"/>
        <w:spacing w:after="0"/>
        <w:tabs>
          <w:tab w:leader="none" w:pos="4986"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5"/>
          <w:szCs w:val="15"/>
          <w:color w:val="auto"/>
        </w:rPr>
        <w:t>DECEMBER 31, 1999($)(1)</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EXERCISABLE UNEXERCISABLE EXERCISABLE UNEXERCISABLE</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26"/>
          </w:cols>
          <w:pgMar w:left="233" w:top="817" w:right="1440" w:bottom="955"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James A. Balthazar (2).....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William E. Ott (3).........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371,520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240,840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$4,405,740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2,826,355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5">
            <w:col w:w="2447" w:space="280"/>
            <w:col w:w="640" w:space="720"/>
            <w:col w:w="180" w:space="640"/>
            <w:col w:w="900" w:space="640"/>
            <w:col w:w="3779"/>
          </w:cols>
          <w:pgMar w:left="233" w:top="817" w:right="1440" w:bottom="955"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3"/>
        <w:spacing w:after="0" w:line="246" w:lineRule="auto"/>
        <w:rPr>
          <w:sz w:val="20"/>
          <w:szCs w:val="20"/>
          <w:color w:val="auto"/>
        </w:rPr>
      </w:pPr>
      <w:r>
        <w:rPr>
          <w:rFonts w:ascii="Courier New" w:cs="Courier New" w:eastAsia="Courier New" w:hAnsi="Courier New"/>
          <w:sz w:val="15"/>
          <w:szCs w:val="15"/>
          <w:color w:val="auto"/>
        </w:rPr>
        <w:t>(1)There was no public trading market for our common stock as of December 31, 1999. Accordingly, we have based the value of unexercised in-the-money options at December 31, 1999 on an assumed initial public offering price of $12.00 per share, less the applicable exercise price per share, multiplied by the number of shares underlying the options. Actual gains on exercise, if any, will depend on the value of our common stock on the date on which the shares are sold.</w:t>
      </w:r>
    </w:p>
    <w:p>
      <w:pPr>
        <w:spacing w:after="0" w:line="179" w:lineRule="exact"/>
        <w:rPr>
          <w:sz w:val="20"/>
          <w:szCs w:val="20"/>
          <w:color w:val="auto"/>
        </w:rPr>
      </w:pPr>
    </w:p>
    <w:p>
      <w:pPr>
        <w:ind w:left="367" w:right="3039" w:hanging="367"/>
        <w:spacing w:after="0" w:line="246" w:lineRule="auto"/>
        <w:tabs>
          <w:tab w:leader="none" w:pos="3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Balthazar's options were exercisable as to all 371,520 shares, 250,424 of which were vested and 121,096 of which were unvested. If Mr. Balthazar leaves us before all of his option shares vest, we have the right to repurchase the unvested option shares at the exercise price paid per share.</w:t>
      </w:r>
    </w:p>
    <w:p>
      <w:pPr>
        <w:spacing w:after="0" w:line="177" w:lineRule="exact"/>
        <w:rPr>
          <w:rFonts w:ascii="Courier New" w:cs="Courier New" w:eastAsia="Courier New" w:hAnsi="Courier New"/>
          <w:sz w:val="15"/>
          <w:szCs w:val="15"/>
          <w:color w:val="auto"/>
        </w:rPr>
      </w:pPr>
    </w:p>
    <w:p>
      <w:pPr>
        <w:ind w:left="367" w:right="3419" w:hanging="367"/>
        <w:spacing w:after="0" w:line="246" w:lineRule="auto"/>
        <w:tabs>
          <w:tab w:leader="none" w:pos="3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Ott's options were exercisable as to all 240,840 shares, 81,877 of which were vested and 158,963 of which were unvested. If Mr. Ott leaves us before all of his option shares vest, we have the right to repurchase the unvested option shares at the exercise price paid per share.</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6"/>
          </w:cols>
          <w:pgMar w:left="233" w:top="817" w:right="1440" w:bottom="955" w:gutter="0" w:footer="0" w:header="0"/>
          <w:type w:val="continuous"/>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2000 STOCK INCENTIVE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The 2000 Stock Incentive Plan is the successor program to our 1993 Stock Option Plan. The 2000 plan became effective on July 13, 2000. At that time, all outstanding options under the 1993 plan were transferred to the 2000 plan, and no further option grants will be made under the 1993 plan. The transferred options will continue to be governed by their existing terms, unless our compensation committee decides to extend one or more features of the 2000 plan to those options. Except as otherwise noted below, the transferred options will have substantially the same terms as will be in effect for grants made under the discretionary option grant program of our 2000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SHARE RESERVE. We have reserved 6,116,934 shares of our common stock for issuance under the 2000 plan. This share reserve consists of the number of shares carried over from the 1993 plan plus an additional increase of 2,592,000 shares. The share reserve under our 2000 plan will automatically increase on the first trading day in January of each calendar year, beginning with calendar year 2001, by an amount equal to two percent (2%) of the total number of shares of our common stock outstanding on the last trading day of December in the prior calendar year, but in no event will this annual increase exceed 1,080,000 shares. In addition, no participant in the 2000 plan may be granted stock options, separately exercisable stock appreciation rights or direct stock issuances for more than 1,080,000 shares of common stock in total in any calendar year.</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PROGRAMS. Our 2000 plan has three separate programs:</w:t>
      </w:r>
    </w:p>
    <w:p>
      <w:pPr>
        <w:spacing w:after="0" w:line="180" w:lineRule="exact"/>
        <w:rPr>
          <w:sz w:val="20"/>
          <w:szCs w:val="20"/>
          <w:color w:val="auto"/>
        </w:rPr>
      </w:pPr>
    </w:p>
    <w:p>
      <w:pPr>
        <w:ind w:left="360" w:right="3319" w:hanging="185"/>
        <w:spacing w:after="0" w:line="246" w:lineRule="auto"/>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individuals may be granted options to purchase shares of our common stock at an exercise price less than, equal to or greater than the fair market value of those shares on the grant date;</w:t>
      </w:r>
    </w:p>
    <w:p>
      <w:pPr>
        <w:spacing w:after="0" w:line="177" w:lineRule="exact"/>
        <w:rPr>
          <w:sz w:val="20"/>
          <w:szCs w:val="20"/>
          <w:color w:val="auto"/>
        </w:rPr>
      </w:pPr>
    </w:p>
    <w:p>
      <w:pPr>
        <w:ind w:left="360" w:right="3419" w:hanging="185"/>
        <w:spacing w:after="0" w:line="246" w:lineRule="auto"/>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177" w:lineRule="exact"/>
        <w:rPr>
          <w:sz w:val="20"/>
          <w:szCs w:val="20"/>
          <w:color w:val="auto"/>
        </w:rPr>
      </w:pPr>
    </w:p>
    <w:p>
      <w:pPr>
        <w:ind w:left="360" w:right="3599" w:hanging="185"/>
        <w:spacing w:after="0" w:line="246" w:lineRule="auto"/>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option grants will automatically be made at periodic intervals to eligible non-employee board members to purchase shares of common stock at an exercise price equal to the fair market value of those shares on the grant date.</w:t>
      </w:r>
    </w:p>
    <w:p>
      <w:pPr>
        <w:spacing w:after="0" w:line="177"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ELIGIBILITY. The individuals eligible to participate in our 2000 plan include our officers and other employees, our non-employee board members and any consultants or other independent advisors we hire.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ADMINISTRATION. The discretionary option grant and stock issuance programs will be administered by our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PLAN FEATURES. Our 2000 plan includes the following features:</w:t>
      </w:r>
    </w:p>
    <w:p>
      <w:pPr>
        <w:spacing w:after="0" w:line="180" w:lineRule="exact"/>
        <w:rPr>
          <w:sz w:val="20"/>
          <w:szCs w:val="20"/>
          <w:color w:val="auto"/>
        </w:rPr>
      </w:pPr>
    </w:p>
    <w:p>
      <w:pPr>
        <w:ind w:left="360" w:right="3319" w:hanging="185"/>
        <w:spacing w:after="0" w:line="246" w:lineRule="auto"/>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any options granted under the plan may be paid in cash, in shares of our common stock valued at the fair market value on the exercise date or with a promissory note. The option may also be exercised through a same-day sale program through an independent brokerage firm without any cash outlay by the optionee.</w:t>
      </w:r>
    </w:p>
    <w:p>
      <w:pPr>
        <w:spacing w:after="0" w:line="178" w:lineRule="exact"/>
        <w:rPr>
          <w:sz w:val="20"/>
          <w:szCs w:val="20"/>
          <w:color w:val="auto"/>
        </w:rPr>
      </w:pPr>
    </w:p>
    <w:p>
      <w:pPr>
        <w:ind w:left="360" w:right="3419" w:hanging="185"/>
        <w:spacing w:after="0" w:line="246" w:lineRule="auto"/>
        <w:tabs>
          <w:tab w:leader="none" w:pos="3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has the authority to cancel outstanding options under the discretionary option grant program, including any transferred options from our 1993 plan, in return for the grant of new options for the same or different number of option shares with an exercise price per share based upon the fair market value of our common stock on the new grant date.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3" w:right="1440" w:bottom="1440" w:gutter="0" w:footer="0" w:header="0"/>
        </w:sectPr>
      </w:pPr>
    </w:p>
    <w:bookmarkStart w:id="49" w:name="page50"/>
    <w:bookmarkEnd w:id="49"/>
    <w:p>
      <w:pPr>
        <w:ind w:left="360" w:right="3419" w:hanging="185"/>
        <w:spacing w:after="0" w:line="246"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may be issued to selected optionees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these shares. We may make the payments in cash or in shares of our common stock. None of the options under the 1993 plan have any stock appreciation rights.</w:t>
      </w:r>
    </w:p>
    <w:p>
      <w:pPr>
        <w:spacing w:after="0" w:line="180"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Change in control. The 2000 plan includes the following change in control provisions which may result in the accelerated vesting of outstanding option grants and stock issuances:</w:t>
      </w:r>
    </w:p>
    <w:p>
      <w:pPr>
        <w:spacing w:after="0" w:line="174" w:lineRule="exact"/>
        <w:rPr>
          <w:sz w:val="20"/>
          <w:szCs w:val="20"/>
          <w:color w:val="auto"/>
        </w:rPr>
      </w:pPr>
    </w:p>
    <w:p>
      <w:pPr>
        <w:ind w:left="360" w:right="3319" w:hanging="185"/>
        <w:spacing w:after="0" w:line="246" w:lineRule="auto"/>
        <w:tabs>
          <w:tab w:leader="none" w:pos="3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180" w:lineRule="exact"/>
        <w:rPr>
          <w:sz w:val="20"/>
          <w:szCs w:val="20"/>
          <w:color w:val="auto"/>
        </w:rPr>
      </w:pPr>
    </w:p>
    <w:p>
      <w:pPr>
        <w:ind w:left="360" w:right="3319" w:hanging="185"/>
        <w:spacing w:after="0" w:line="246"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have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our 2000 plan may be accelerated upon similar terms and conditions.</w:t>
      </w:r>
    </w:p>
    <w:p>
      <w:pPr>
        <w:spacing w:after="0" w:line="178" w:lineRule="exact"/>
        <w:rPr>
          <w:sz w:val="20"/>
          <w:szCs w:val="20"/>
          <w:color w:val="auto"/>
        </w:rPr>
      </w:pPr>
    </w:p>
    <w:p>
      <w:pPr>
        <w:ind w:left="360" w:right="3419" w:hanging="185"/>
        <w:spacing w:after="0" w:line="246"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180" w:lineRule="exact"/>
        <w:rPr>
          <w:sz w:val="20"/>
          <w:szCs w:val="20"/>
          <w:color w:val="auto"/>
        </w:rPr>
      </w:pPr>
    </w:p>
    <w:p>
      <w:pPr>
        <w:ind w:left="360" w:right="3319" w:hanging="185"/>
        <w:spacing w:after="0" w:line="246" w:lineRule="auto"/>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currently outstanding under our 1993 plan will immediately vest in the event we are acquired by merger or asset sale, unless those options are assumed by the acquiring entity and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at the discretion of our board of directors at the time of the option grant or any time when the option is outstanding, the options will accelerate and vest in full upon an involuntary termination of the optionee's employment within a period no later than 18 months following the acquisition.</w:t>
      </w:r>
    </w:p>
    <w:p>
      <w:pPr>
        <w:spacing w:after="0" w:line="182"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Automatic option grant program. Each individual who first becomes a non-employee board member at any time after the effective date of this offering will receive an option grant to purchase 25,000 shares of common stock on the date such individual joins the board. In addition, on the date of each annual stockholders meeting held after the effective date of this offering, each non-employee board member who is to continue to serve as a non-employee board member, including each of our current non-employee board members, will automatically be granted an option to purchase 7,500 shares of common stock, provided such individual has served on the board for at least six months.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25,000-share automatic option grant will vest in a series of three successive annual installments upon the optionee's completion of each year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3" w:right="1440" w:bottom="1440" w:gutter="0" w:footer="0" w:header="0"/>
        </w:sectPr>
      </w:pPr>
    </w:p>
    <w:bookmarkStart w:id="50" w:name="page51"/>
    <w:bookmarkEnd w:id="50"/>
    <w:p>
      <w:pPr>
        <w:jc w:val="both"/>
        <w:ind w:right="3219"/>
        <w:spacing w:after="0" w:line="246" w:lineRule="auto"/>
        <w:rPr>
          <w:sz w:val="20"/>
          <w:szCs w:val="20"/>
          <w:color w:val="auto"/>
        </w:rPr>
      </w:pPr>
      <w:r>
        <w:rPr>
          <w:rFonts w:ascii="Courier New" w:cs="Courier New" w:eastAsia="Courier New" w:hAnsi="Courier New"/>
          <w:sz w:val="15"/>
          <w:szCs w:val="15"/>
          <w:color w:val="auto"/>
        </w:rPr>
        <w:t>of board service over the three-year period measured from the grant date. The shares subject to each annual 7,500 share automatic grant will vest upon the optionee's completion of one year of service measured from the grant date.</w:t>
      </w:r>
    </w:p>
    <w:p>
      <w:pPr>
        <w:spacing w:after="0" w:line="2"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However, the shares will immediately vest in full upon certain changes in control or ownership or upon the optionee's death or disability while then serving as a board member.</w:t>
      </w:r>
    </w:p>
    <w:p>
      <w:pPr>
        <w:spacing w:after="0" w:line="174"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board may amend or modify the 2000 plan at any time, subject to any required stockholder approval. The 2000 plan will terminate no later than July 12, 2010.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ARRANGEMENTS UNDER 1993 STOCK OPTION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we are acquired in a stockholder-approved transaction, whether by merger or asset sale, then all of the outstanding options granted under our 1993 plan, including those held by our executive officers, will accelerate in full, unless those options are assumed by the successor company and our repurchase rights with respect to unvested option shares are assigned to that company.</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addition, at the discretion of our board of directors, at the time of the option grant or at any time when the option remains outstanding, if an optionee who is deemed to be a key employee by our board of directors is terminated other than for cause within a period not to exceed 18 months after the acquisition, that key employee's options will accelerate and become fully vested, and such options may be exercised at any time prior to the earlier of the expiration date of the option or the earlier termination of the 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Our Employee Stock Purchase Plan was adopted by our board of directors on July 13, 2000. After approval by our stockholders, the plan will become effective immediately upon the signing of the underwriting agreement for this offering. The plan is designed to allow our eligible employees to purchase shares of common stock, at semi-annual intervals, with their accumulated payroll deductions.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SHARE RESERVE. 1,080,000 shares of our common stock initially have been reserved for issuance. The reserve will automatically increase on the first trading day of January in each calendar year, beginning in calendar year 2001, by an amount equal to one-half of one percent (0.5%) of the total number of outstanding shares of our common stock on the last trading day of December in the prior calendar year. In no event will any such annual increase exceed 325,000 shares.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OFFERING PERIODS. The plan has a series of successive offering periods, each with a maximum duration of 24 months. The initial offering period begins on the date of the signing of the underwriting agreement for this offering and ends on the last business day in July 2002. The next offering period will start on the first business day in August 2002, and subsequent offering periods will be set by our compensation committee.</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ELIGIBLE EMPLOYEES. Individuals scheduled to work more than 20 hours per week for more than five calendar months per year may join an offering period on its start date or any semi-annual entry date within that period. Semi-annual entry dates will occur on the first business day of February and August each year. Individuals who become eligible employees after the start date of an offering period may join the plan on any subsequent semi-annual entry date within that offering period.</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PAYROLL DEDUCTIONS. A participant may contribute up to 15% of his or her base salary through payroll deductions, and the accumulated deductions will be applied to the purchase of shares on each semi-annual purchase date. The purchase price per share will be equal to 85% of the fair market value per share on the participant's entry date into the offering period or, if lower, 85% of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817" w:right="1440" w:bottom="1440" w:gutter="0" w:footer="0" w:header="0"/>
        </w:sectPr>
      </w:pPr>
    </w:p>
    <w:bookmarkStart w:id="51" w:name="page52"/>
    <w:bookmarkEnd w:id="51"/>
    <w:p>
      <w:pPr>
        <w:ind w:right="3039"/>
        <w:spacing w:after="0" w:line="246" w:lineRule="auto"/>
        <w:rPr>
          <w:sz w:val="20"/>
          <w:szCs w:val="20"/>
          <w:color w:val="auto"/>
        </w:rPr>
      </w:pPr>
      <w:r>
        <w:rPr>
          <w:rFonts w:ascii="Courier New" w:cs="Courier New" w:eastAsia="Courier New" w:hAnsi="Courier New"/>
          <w:sz w:val="15"/>
          <w:szCs w:val="15"/>
          <w:color w:val="auto"/>
        </w:rPr>
        <w:t>fair market value per share on the semi-annual purchase date. Semi-annual purchase dates will occur on the last business day of January and July each year. However, a participant may not purchase more than 5,400 shares on any one semi-annual purchase date, and no more than 270,000 shares may be purchased in total by all participants on any one semi-annual purchase date. Our compensation committee will have the authority to change these limitations for any subsequent offering period.</w:t>
      </w:r>
    </w:p>
    <w:p>
      <w:pPr>
        <w:spacing w:after="0" w:line="179"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Reset feature. If the fair market value per share of our common stock on any purchase date is less than the fair market value per share on the start date of the two-year offering period, then that offering period will automatically terminate, and a new two-year offering period will begin on the next business day. All participants in the terminated offering will be transferred to the new offering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Change in control. Should we be acquired by merger or sale of substantially all of our assets or more than 50% of our voting securities, then all outstanding purchase rights will automatically be exercised immediately prior to the effective date of the acquisition. The purchase price will be equal to 85% of the market value per share on the participant's entry date into the offering period in which an acquisition occurs or, if lower, 85% of the fair market value per share immediately prior to the acquisition.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Termination and amendment of plan. The plan will terminate no later than the last business day of July 2010. The board may at any time amend, suspend or discontinue the plan. However, certain amendments may require stockholder approval.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817" w:right="1440" w:bottom="1440" w:gutter="0" w:footer="0" w:header="0"/>
        </w:sectPr>
      </w:pPr>
    </w:p>
    <w:bookmarkStart w:id="52" w:name="page53"/>
    <w:bookmarkEnd w:id="52"/>
    <w:p>
      <w:pPr>
        <w:ind w:left="2720"/>
        <w:spacing w:after="0"/>
        <w:rPr>
          <w:sz w:val="20"/>
          <w:szCs w:val="20"/>
          <w:color w:val="auto"/>
        </w:rPr>
      </w:pPr>
      <w:r>
        <w:rPr>
          <w:rFonts w:ascii="Courier New" w:cs="Courier New" w:eastAsia="Courier New" w:hAnsi="Courier New"/>
          <w:sz w:val="15"/>
          <w:szCs w:val="15"/>
          <w:color w:val="auto"/>
        </w:rPr>
        <w:t>RELATED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PLACEMENTS OF EQUITY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5% STOCKHOLDERS, DIRECTORS AND EXECUTIVE OFFICERS. Since our inception in August 1992, we have raised capital primarily through the sale of our preferred stock, including the following sales to holders of more than 5% of our outstanding common stock and to directors and executive officers.</w:t>
      </w:r>
    </w:p>
    <w:p>
      <w:pPr>
        <w:spacing w:after="0" w:line="177" w:lineRule="exact"/>
        <w:rPr>
          <w:sz w:val="20"/>
          <w:szCs w:val="20"/>
          <w:color w:val="auto"/>
        </w:rPr>
      </w:pPr>
    </w:p>
    <w:p>
      <w:pPr>
        <w:ind w:left="540" w:right="3319" w:hanging="365"/>
        <w:spacing w:after="0" w:line="246" w:lineRule="auto"/>
        <w:tabs>
          <w:tab w:leader="none" w:pos="5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1992, we sold 100,000 shares of our non-voting 1992 preferred stock at a price of $0.50 per share to Richard E. Anderson. Concurrently with this financing, Mr. Anderson became a director. The 1992 preferred stock is redeemable at such time as our board of directors determines that we have available funds in excess of our anticipated needs and is not convertible into common stock. Our board of directors may determine to redeem the 1992 preferred stock upon the consummation of this offering. As a result, Mr. Anderson would receive $50,000 in proceeds.</w:t>
      </w:r>
    </w:p>
    <w:p>
      <w:pPr>
        <w:spacing w:after="0" w:line="180" w:lineRule="exact"/>
        <w:rPr>
          <w:sz w:val="20"/>
          <w:szCs w:val="20"/>
          <w:color w:val="auto"/>
        </w:rPr>
      </w:pPr>
    </w:p>
    <w:p>
      <w:pPr>
        <w:ind w:left="540" w:right="3319" w:hanging="365"/>
        <w:spacing w:after="0" w:line="246"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we sold an aggregate of 569,406 shares of our Series A preferred stock at a price of $1.52 per share, of which 263,158 shares were sold to SSM Venture Partners. We also issued to SSM a warrant to purchase 432,000 shares of common stock at an exercise price of $0.07 per share, which they exercised in May 2000. Concurrently with the closing of the financing, SSM Venture Partners became a 5% stockholder and Eric L. Jones became the chairman of our board of directors. SSM exercised this warrant in May 2000. Although the number of shares of Series A preferred stock outstanding will not be affected by the 2.16-for-1 split of our common stock, as a result of this stock split, each share of Series A preferred stock will automatically adjust and become convertible into 2.16 shares of our common stock. Accordingly, the 569,406 shares of Series A preferred stock will automatically convert into approximately 1,229,917 shares of our common stock upon the consummation of this offering, and the effective purchase price per share of common stock to be received upon such conversion will be $0.70.</w:t>
      </w:r>
    </w:p>
    <w:p>
      <w:pPr>
        <w:spacing w:after="0" w:line="185" w:lineRule="exact"/>
        <w:rPr>
          <w:sz w:val="20"/>
          <w:szCs w:val="20"/>
          <w:color w:val="auto"/>
        </w:rPr>
      </w:pPr>
    </w:p>
    <w:p>
      <w:pPr>
        <w:ind w:left="540" w:right="3319" w:hanging="365"/>
        <w:spacing w:after="0" w:line="246" w:lineRule="auto"/>
        <w:tabs>
          <w:tab w:leader="none" w:pos="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we sold an aggregate of 1,847,292 shares of our Series B preferred stock at a price of $2.03 per share to funds affiliated with Advent International, funds affiliated with Austin Ventures and SSM Venture Partners. Concurrently with the closing of the financing, investment funds affiliated with Advent International Corp. and investment funds affiliated with Austin Ventures became 5% stockholders.</w:t>
      </w:r>
    </w:p>
    <w:p>
      <w:pPr>
        <w:spacing w:after="0" w:line="179" w:lineRule="exact"/>
        <w:rPr>
          <w:rFonts w:ascii="Courier New" w:cs="Courier New" w:eastAsia="Courier New" w:hAnsi="Courier New"/>
          <w:sz w:val="15"/>
          <w:szCs w:val="15"/>
          <w:color w:val="auto"/>
        </w:rPr>
      </w:pPr>
    </w:p>
    <w:p>
      <w:pPr>
        <w:ind w:left="540"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Series C preferred stock financing in July 1997, the terms of the Series B preferred stock were modified to provide that the Series B preferred stock would be convertible into common stock at a rate of approximately 1.19:1. In addition to this adjustment, although the number of shares of Series B preferred stock outstanding will not be affected by the 2.16-for-1 split of our common stock, as a result of this stock split, each share of Series B preferred stock will automatically adjust and become convertible into approximately 2.57 shares of our common stock. Accordingly, the 1,847,292 shares of Series B preferred stock will automatically convert into approximately 4,750,732 shares of our common stock upon the consummation of this offering, and the effective purchase price per share of common stock to be received upon such conversion will be $0.79.</w:t>
      </w:r>
    </w:p>
    <w:p>
      <w:pPr>
        <w:spacing w:after="0" w:line="183" w:lineRule="exact"/>
        <w:rPr>
          <w:sz w:val="20"/>
          <w:szCs w:val="20"/>
          <w:color w:val="auto"/>
        </w:rPr>
      </w:pPr>
    </w:p>
    <w:p>
      <w:pPr>
        <w:ind w:left="540" w:right="3319" w:hanging="365"/>
        <w:spacing w:after="0" w:line="246" w:lineRule="auto"/>
        <w:tabs>
          <w:tab w:leader="none" w:pos="5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sold an aggregate of 1,726,620 shares of our Series C preferred stock at a price of $3.475 per share to funds affiliated with Austin Ventures, CenterPoint Venture Fund, funds affiliated with Advent International Corp. and SSM Venture Partners. Concurrently with the closing of the financing, CenterPoint Venture Fund I, became a 5% stockholder and Terrence L. Rock became a director. Although the number of shares of Series C preferred stock outstanding will not be affected by the 2.16-for-1 split of our common stock, as a result of this stock split, each share of Series C preferred stock will automatically adjust and become convertible into 2.16 shares of our common stock. Accordingly, the 1,726,620 shares of Series C preferred stock will automatically convert</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43" w:right="1440" w:bottom="1440" w:gutter="0" w:footer="0" w:header="0"/>
        </w:sectPr>
      </w:pPr>
    </w:p>
    <w:bookmarkStart w:id="53" w:name="page54"/>
    <w:bookmarkEnd w:id="53"/>
    <w:p>
      <w:pPr>
        <w:ind w:left="540" w:right="3599"/>
        <w:spacing w:after="0" w:line="246" w:lineRule="auto"/>
        <w:rPr>
          <w:sz w:val="20"/>
          <w:szCs w:val="20"/>
          <w:color w:val="auto"/>
        </w:rPr>
      </w:pPr>
      <w:r>
        <w:rPr>
          <w:rFonts w:ascii="Courier New" w:cs="Courier New" w:eastAsia="Courier New" w:hAnsi="Courier New"/>
          <w:sz w:val="15"/>
          <w:szCs w:val="15"/>
          <w:color w:val="auto"/>
        </w:rPr>
        <w:t>into approximately 3,729,499 shares of our common stock upon the consummation of this offering, and the effective purchase price per share of common stock to be received upon such conversion will be $1.61.</w:t>
      </w:r>
    </w:p>
    <w:p>
      <w:pPr>
        <w:spacing w:after="0" w:line="177" w:lineRule="exact"/>
        <w:rPr>
          <w:sz w:val="20"/>
          <w:szCs w:val="20"/>
          <w:color w:val="auto"/>
        </w:rPr>
      </w:pPr>
    </w:p>
    <w:p>
      <w:pPr>
        <w:ind w:left="540" w:right="3219" w:hanging="365"/>
        <w:spacing w:after="0" w:line="246" w:lineRule="auto"/>
        <w:tabs>
          <w:tab w:leader="none" w:pos="5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sold an aggregate of 1,652,894 shares of our Series D preferred stock at a price of $6.05 per share, of which 1,454,552 shares were sold to our 5% stockholders, directors and executive officers, including: Rho Management Trust I, CenterPoint Venture Fund I, SSM Venture Partners, funds affiliated with Austin Ventures, funds affiliated with Advent International Corp. and our director Jan H. Lindelow. Concurrently with the closing of the financing, Rho Management Trust I became a 5% stockholder. Although the number of shares of Series D preferred stock outstanding will not be affected by the 2.16-for-1 split of our common stock, as a result of this stock split, each share of Series D preferred stock will automatically adjust and become convertible into 2.16 shares of our common stock. Accordingly, the 1,652,894 shares of Series D preferred stock will automatically convert into approximately 3,570,251 shares of our common stock upon the consummation of this offering, and the effective purchase price per share of common stock to be received upon such conversion will be $2.80.</w:t>
      </w:r>
    </w:p>
    <w:p>
      <w:pPr>
        <w:spacing w:after="0" w:line="185" w:lineRule="exact"/>
        <w:rPr>
          <w:sz w:val="20"/>
          <w:szCs w:val="20"/>
          <w:color w:val="auto"/>
        </w:rPr>
      </w:pPr>
    </w:p>
    <w:p>
      <w:pPr>
        <w:ind w:left="540" w:right="3219" w:hanging="365"/>
        <w:spacing w:after="0" w:line="246" w:lineRule="auto"/>
        <w:tabs>
          <w:tab w:leader="none" w:pos="5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sold an aggregate of 1,935,872 shares of our Series E preferred stock at a price of $11.34 per share, of which 948,466 shares were sold to our 5% stockholders, directors and executive officers, including: Rho Management Trust I, funds affiliated with SSM Venture Partners, funds affiliated with Austin Ventures, CenterPoint Venture Fund II, L.P., funds affiliated with Advent International Corp., our director Richard E. Anderson and his brother Charles A. Anderson, and our chairman of the board Eric L. Jones. Although the number of shares of Series E preferred stock outstanding will not be affected by the 2.16-for-1 split of our common stock, as a result of this stock split, each share of Series E preferred stock will automatically adjust and become convertible into 2.16 shares of our common stock. Accordingly, the 1,935,872 shares of Series E preferred stock will automatically convert into approximately 4,181,484 shares of our common stock upon the consummation of this offering, and the effective purchase price per share of common stock to be received upon such conversion will be $5.25.</w:t>
      </w:r>
    </w:p>
    <w:p>
      <w:pPr>
        <w:spacing w:after="0" w:line="18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the shares of our convertible preferred stock purchased by our 5% stockholders, directors and executive officers since our inception and the aggregate number of shares of common stock into which those shares of preferred stock will be converted upon the consummation of this offering: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AGGREGATE NUMBER OF</w:t>
            </w:r>
          </w:p>
        </w:tc>
      </w:tr>
      <w:tr>
        <w:trPr>
          <w:trHeight w:val="175"/>
        </w:trPr>
        <w:tc>
          <w:tcPr>
            <w:tcW w:w="2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SERIES A</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rPr>
              <w:t>SERIES B</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E</w:t>
            </w: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SHARES OF COMMON STOCK</w:t>
            </w:r>
          </w:p>
        </w:tc>
      </w:tr>
      <w:tr>
        <w:trPr>
          <w:trHeight w:val="175"/>
        </w:trPr>
        <w:tc>
          <w:tcPr>
            <w:tcW w:w="2260" w:type="dxa"/>
            <w:vAlign w:val="bottom"/>
          </w:tcPr>
          <w:p>
            <w:pPr>
              <w:spacing w:after="0"/>
              <w:rPr>
                <w:sz w:val="15"/>
                <w:szCs w:val="15"/>
                <w:color w:val="auto"/>
              </w:rPr>
            </w:pPr>
          </w:p>
        </w:tc>
        <w:tc>
          <w:tcPr>
            <w:tcW w:w="70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PREFERRED PREFERRED PREFERRED PREFERRED PREFERRED ISSUABLE UPON CONVERSION</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INVESTOR</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center"/>
              <w:ind w:left="4"/>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w:t>
            </w: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 PREFERRED STOCK</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SSM Venture Partners....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263,158</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117,356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246,916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3,560,410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Advent International....</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57,520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2,367,498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Austin Ventures.........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99,174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3,421,911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CenterPoint Venture</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Partners...............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330,578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2,338,165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Rho Management Trust I..</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809,924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264,550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2,320,864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49,312</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106,514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Eric L. Jones (2).......</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37,411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86,400</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(1)Includes shares purchased by Mr. Anderson's brother.</w:t>
      </w:r>
    </w:p>
    <w:p>
      <w:pPr>
        <w:spacing w:after="0" w:line="5" w:lineRule="exact"/>
        <w:rPr>
          <w:sz w:val="20"/>
          <w:szCs w:val="20"/>
          <w:color w:val="auto"/>
        </w:rPr>
      </w:pPr>
    </w:p>
    <w:p>
      <w:pPr>
        <w:ind w:left="360" w:right="3419" w:hanging="363"/>
        <w:spacing w:after="0" w:line="247" w:lineRule="auto"/>
        <w:rPr>
          <w:sz w:val="20"/>
          <w:szCs w:val="20"/>
          <w:color w:val="auto"/>
        </w:rPr>
      </w:pPr>
      <w:r>
        <w:rPr>
          <w:rFonts w:ascii="Courier New" w:cs="Courier New" w:eastAsia="Courier New" w:hAnsi="Courier New"/>
          <w:sz w:val="15"/>
          <w:szCs w:val="15"/>
          <w:color w:val="auto"/>
        </w:rPr>
        <w:t>(2)Excludes shares purchased by funds affiliated with SSM Venture Partners, with which Mr. Jones is affiliated.</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8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OTHER TRANSACTIONS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CONSULTING AGREEMENT WITH ERIC L. JONES. In May 1996, we entered into a consulting services agreement with Eric Jones, the chairman of our board of directors. In exchange for providing business and strategic advisory consulting services to us, Mr. Jones receives a fee of $6,250 per month. This agreement is terminable by either party with 30 days advance written notice.</w:t>
      </w:r>
    </w:p>
    <w:p>
      <w:pPr>
        <w:spacing w:after="0" w:line="178"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REGISTRATION RIGHTS. For more information on registration rights we have granted to our 5% stockholders, other stockholders and some of our directors, please see "Description of Capital Stock--Registration Rights".</w:t>
      </w:r>
    </w:p>
    <w:p>
      <w:pPr>
        <w:spacing w:after="0" w:line="174"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STOCK OPTIONS AND CHANGE IN CONTROL ARRANGEMENTS. For more information regarding the grant of stock options and the change in control arrangements which may be available to directors and executive officers, please see "Management--Director Compensation", "--Employment Agreements, and Severance Arrangements" and "--Executive Compensation".</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INDEMNIFICATION AND INSURANCE. Our bylaws require us to indemnify our directors and executive officers to the fullest extent permitted by Delaware law. We 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We believe that each of the foregoing transactions were entered into on terms which are no less favorable to us than could be obtained from unaffiliated third parties.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43" w:right="1440" w:bottom="1440" w:gutter="0" w:footer="0" w:header="0"/>
        </w:sectPr>
      </w:pPr>
    </w:p>
    <w:bookmarkStart w:id="55" w:name="page56"/>
    <w:bookmarkEnd w:id="55"/>
    <w:p>
      <w:pPr>
        <w:ind w:left="2087"/>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This table sets forth information regarding the beneficial ownership of our common stock as of June 30, 2000, as adjusted to reflect the sale of common stock in this offering for:</w:t>
      </w:r>
    </w:p>
    <w:p>
      <w:pPr>
        <w:spacing w:after="0" w:line="174" w:lineRule="exact"/>
        <w:rPr>
          <w:sz w:val="20"/>
          <w:szCs w:val="20"/>
          <w:color w:val="auto"/>
        </w:rPr>
      </w:pPr>
    </w:p>
    <w:p>
      <w:pPr>
        <w:ind w:left="367" w:right="3499" w:hanging="185"/>
        <w:spacing w:after="0" w:line="247" w:lineRule="auto"/>
        <w:tabs>
          <w:tab w:leader="none" w:pos="36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beneficially more than 5% of our common stock;</w:t>
      </w:r>
    </w:p>
    <w:p>
      <w:pPr>
        <w:spacing w:after="0" w:line="175" w:lineRule="exact"/>
        <w:rPr>
          <w:sz w:val="20"/>
          <w:szCs w:val="20"/>
          <w:color w:val="auto"/>
        </w:rPr>
      </w:pPr>
    </w:p>
    <w:p>
      <w:pPr>
        <w:ind w:left="367" w:right="3499" w:hanging="185"/>
        <w:spacing w:after="0" w:line="247" w:lineRule="auto"/>
        <w:tabs>
          <w:tab w:leader="none" w:pos="36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on page 43;</w:t>
      </w:r>
    </w:p>
    <w:p>
      <w:pPr>
        <w:spacing w:after="0" w:line="17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each of our directors; and</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all of our directors and executive officers as a group.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held by such persons that are exercisable within 60 days of this offering. The percentage of beneficial ownership before the offering is based on 29,662,399 shares, consisting of 12,200,516 shares of common stock outstanding as of June 30, 2000, and 17,461,883 shares issuable upon the conversion of the convertible preferred stock. Percentage of beneficial ownership after the offering is based on 37,662,399 shares, including the 8,000,000 shares to be sold in this offering.</w:t>
      </w:r>
    </w:p>
    <w:p>
      <w:pPr>
        <w:spacing w:after="0" w:line="18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and our founder and chief executive officer, Joseph F. Pinkerton, III, may sell shares in connection with the exercise of the underwriters' over-allotment option. Active Power may sell up to 900,000 shares and Mr. Pinkerton may sell up to 300,000 shares. To the extent the underwriters' over-allotment option is exercised for less than 1,200,000 shares, the shares to be sold will be allocated pro rata between Active Power and Mr. Pinkerton. The post-offering ownership percentages in the table do not take into account any exercise of the underwriters' over-allotment option.</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PERCENTAGE OF</w:t>
            </w:r>
          </w:p>
        </w:tc>
      </w:tr>
      <w:tr>
        <w:trPr>
          <w:trHeight w:val="175"/>
        </w:trPr>
        <w:tc>
          <w:tcPr>
            <w:tcW w:w="3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3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 OF</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OWNED (%)</w:t>
            </w:r>
          </w:p>
        </w:tc>
      </w:tr>
      <w:tr>
        <w:trPr>
          <w:trHeight w:val="175"/>
        </w:trPr>
        <w:tc>
          <w:tcPr>
            <w:tcW w:w="3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spacing w:after="0"/>
              <w:rPr>
                <w:sz w:val="15"/>
                <w:szCs w:val="15"/>
                <w:color w:val="auto"/>
              </w:rPr>
            </w:pP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BEFORE THE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AFTER THE</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OWNED (#)</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OFFERING</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EXECUTIVE OFFICERS AND DIRECTORS:</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Eric L.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4,235,453</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Joseph F. Pinkerton, III.........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6,380,601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James A. Balthazar...............</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371,520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William E. Ott, 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327,240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Richard E. Anderson..............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360,750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Rodney S. Bond...................</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83,700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Lindsay R.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2,367,496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Jan H. Lindelow..................</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129,600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Terrence L. Rock.................</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2,338,165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officers as a group (10</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persons)........................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16,834,519</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44.7</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Austin</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3,421,911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Advent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International Corp.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2,367,496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CenterPoint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 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2,338,165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SSM Venture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3,992,410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Rho Management Trust 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2,320,864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419" w:hanging="367"/>
        <w:spacing w:after="0" w:line="247" w:lineRule="auto"/>
        <w:tabs>
          <w:tab w:leader="none" w:pos="36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beneficial ownership of less than 1% of the total outstanding common stock.</w:t>
      </w:r>
    </w:p>
    <w:p>
      <w:pPr>
        <w:spacing w:after="0" w:line="175" w:lineRule="exact"/>
        <w:rPr>
          <w:sz w:val="20"/>
          <w:szCs w:val="20"/>
          <w:color w:val="auto"/>
        </w:rPr>
      </w:pPr>
    </w:p>
    <w:p>
      <w:pPr>
        <w:ind w:left="7" w:right="3139" w:firstLine="364"/>
        <w:spacing w:after="0" w:line="247" w:lineRule="auto"/>
        <w:rPr>
          <w:sz w:val="20"/>
          <w:szCs w:val="20"/>
          <w:color w:val="auto"/>
        </w:rPr>
      </w:pPr>
      <w:r>
        <w:rPr>
          <w:rFonts w:ascii="Courier New" w:cs="Courier New" w:eastAsia="Courier New" w:hAnsi="Courier New"/>
          <w:sz w:val="15"/>
          <w:szCs w:val="15"/>
          <w:color w:val="auto"/>
        </w:rPr>
        <w:t>Unless otherwise indicated in the notes below, the address for each person set forth in the table above is c/o Active Power, Inc., 11525 Stonehollow Drive, Suite 110, Austin, Texas 78758.</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643" w:right="1440" w:bottom="955" w:gutter="0" w:footer="0" w:header="0"/>
        </w:sectPr>
      </w:pPr>
    </w:p>
    <w:bookmarkStart w:id="56" w:name="page57"/>
    <w:bookmarkEnd w:id="56"/>
    <w:p>
      <w:pPr>
        <w:ind w:left="185" w:right="3319" w:hanging="185"/>
        <w:spacing w:after="0" w:line="246" w:lineRule="auto"/>
        <w:tabs>
          <w:tab w:leader="none" w:pos="18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ERIC L. JONES. 3,992,410 shares indicated as owned by Mr. Jones are included because of his association with funds affiliated with SSM Venture Partners. Mr. Jones is a shareholder of SSM Corporation, the general partner of SSM I, L.P., the general partner of (a) SSM Venture Partners, L.P., (b) SSM Partners II, L.P. and (c) SSM Venture Associates, L.P. Mr. Jones disclaims beneficial ownership of the shares held by SSM Venture Partners, L.P., SSM Venture Partners II, L.P. and SSM Venture Associates, L.P., except to the extent of his interest in SSM Corporation. Mr. Jones has a small limited partnership interest in CenterPoint Venture Fund II, L.P., but disclaims beneficial ownership of any Active Power shares held by CenterPoint Venture Partners except to the extent of his pecuniary interest in this fund, which is indeterminate at this time. Moreover, 77,760 of the shares indicated as owned by Mr. Jones are included because of his position as trustee of various trusts for the benefit of his family members. Mr. Jones disclaims beneficial ownership of these shares. Mr. Jones' address is c/o SSM Corporation, 110 Wild Basin Rd., Suite 280, Austin, Texas 78734.</w:t>
      </w:r>
    </w:p>
    <w:p>
      <w:pPr>
        <w:spacing w:after="0" w:line="185" w:lineRule="exact"/>
        <w:rPr>
          <w:sz w:val="20"/>
          <w:szCs w:val="20"/>
          <w:color w:val="auto"/>
        </w:rPr>
      </w:pPr>
    </w:p>
    <w:p>
      <w:pPr>
        <w:ind w:left="185" w:hanging="185"/>
        <w:spacing w:after="0"/>
        <w:tabs>
          <w:tab w:leader="none" w:pos="18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Includes 648,000 shares held by</w:t>
      </w:r>
    </w:p>
    <w:p>
      <w:pPr>
        <w:spacing w:after="0" w:line="4" w:lineRule="exact"/>
        <w:rPr>
          <w:rFonts w:ascii="Courier New" w:cs="Courier New" w:eastAsia="Courier New" w:hAnsi="Courier New"/>
          <w:sz w:val="15"/>
          <w:szCs w:val="15"/>
          <w:color w:val="auto"/>
        </w:rPr>
      </w:pPr>
    </w:p>
    <w:p>
      <w:pPr>
        <w:ind w:left="185"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Pinkerton's minor children. Mr. Pinkerton disclaims beneficial ownership of these shares.</w:t>
      </w:r>
    </w:p>
    <w:p>
      <w:pPr>
        <w:spacing w:after="0" w:line="175" w:lineRule="exact"/>
        <w:rPr>
          <w:sz w:val="20"/>
          <w:szCs w:val="20"/>
          <w:color w:val="auto"/>
        </w:rPr>
      </w:pPr>
    </w:p>
    <w:p>
      <w:pPr>
        <w:ind w:left="185" w:right="3499" w:hanging="185"/>
        <w:spacing w:after="0" w:line="246" w:lineRule="auto"/>
        <w:tabs>
          <w:tab w:leader="none" w:pos="18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A. BALTHAZAR. These shares include options to purchase 69,120 shares of common stock that are immediately exercisable. 37,800 shares of common stock are currently unvested and are subject to our right to repurchase them if Mr. Balthazar's services are terminated prior to vesting.</w:t>
      </w:r>
    </w:p>
    <w:p>
      <w:pPr>
        <w:spacing w:after="0" w:line="178" w:lineRule="exact"/>
        <w:rPr>
          <w:sz w:val="20"/>
          <w:szCs w:val="20"/>
          <w:color w:val="auto"/>
        </w:rPr>
      </w:pPr>
    </w:p>
    <w:p>
      <w:pPr>
        <w:ind w:left="185" w:right="3679" w:hanging="185"/>
        <w:spacing w:after="0" w:line="247" w:lineRule="auto"/>
        <w:tabs>
          <w:tab w:leader="none" w:pos="18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OTT, II. These shares include options to purchase 154,440 shares of common stock that are immediately exercisable.</w:t>
      </w:r>
    </w:p>
    <w:p>
      <w:pPr>
        <w:spacing w:after="0" w:line="175" w:lineRule="exact"/>
        <w:rPr>
          <w:sz w:val="20"/>
          <w:szCs w:val="20"/>
          <w:color w:val="auto"/>
        </w:rPr>
      </w:pPr>
    </w:p>
    <w:p>
      <w:pPr>
        <w:ind w:left="185" w:right="3599" w:hanging="185"/>
        <w:spacing w:after="0" w:line="246" w:lineRule="auto"/>
        <w:tabs>
          <w:tab w:leader="none" w:pos="18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ANDERSON. 86,400 shares indicated as owned by Mr. Anderson are included because of his association with Rita Investments. Mr. Anderson also holds 100,000 shares, or 23.8%, of our non-voting 1992 preferred stock, which is not convertible into shares of our common stock. These shares of 1992 preferred stock are not included in the foregoing table. Mr. Anderson's address is c/o Hill Partners, 2800 Industrial Terrace, Austin, Texas 78758.</w:t>
      </w:r>
    </w:p>
    <w:p>
      <w:pPr>
        <w:spacing w:after="0" w:line="179" w:lineRule="exact"/>
        <w:rPr>
          <w:sz w:val="20"/>
          <w:szCs w:val="20"/>
          <w:color w:val="auto"/>
        </w:rPr>
      </w:pPr>
    </w:p>
    <w:p>
      <w:pPr>
        <w:ind w:left="185" w:right="3419" w:hanging="185"/>
        <w:spacing w:after="0" w:line="247" w:lineRule="auto"/>
        <w:tabs>
          <w:tab w:leader="none" w:pos="18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RODNEY S. BOND. These shares include options to purchase 27,000 shares of common stock that are immediately exercisable. Mr. Bond's address is c/o VTEL Corporation, 108 Wild Basin Road, Austin, Texas 78746.</w:t>
      </w:r>
    </w:p>
    <w:p>
      <w:pPr>
        <w:spacing w:after="0" w:line="174" w:lineRule="exact"/>
        <w:rPr>
          <w:sz w:val="20"/>
          <w:szCs w:val="20"/>
          <w:color w:val="auto"/>
        </w:rPr>
      </w:pPr>
    </w:p>
    <w:p>
      <w:pPr>
        <w:ind w:left="185" w:right="3319" w:hanging="185"/>
        <w:spacing w:after="0" w:line="246" w:lineRule="auto"/>
        <w:tabs>
          <w:tab w:leader="none" w:pos="18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LINDSAY R. JONES. All shares indicated as owned by Ms. Jones are included because of her association with funds affiliated with Advent International Corp. Ms. Jones is a Vice President of Advent International Corporation, the general partner of (a) Advent International Investors II Limited Partnership, (b) Advent International Limited Partnership, the general partner of Envirotech Investment Fund I Limited Partnership, and (c) Advent International Partnership, the general partner of Adwest Limited Partnership. Ms. Jones disclaims beneficial ownership of the shares held by Advent International Investors II Limited Partnership, Envirotech Investment Fund I Limited Partnership and Adwest Limited Partnership. Ms. Jones' address is c/o Advent International Corporation, 75 State Street, 29th Floor, Boston Massachusetts 02109.</w:t>
      </w:r>
    </w:p>
    <w:p>
      <w:pPr>
        <w:spacing w:after="0" w:line="183" w:lineRule="exact"/>
        <w:rPr>
          <w:sz w:val="20"/>
          <w:szCs w:val="20"/>
          <w:color w:val="auto"/>
        </w:rPr>
      </w:pPr>
    </w:p>
    <w:p>
      <w:pPr>
        <w:ind w:left="185" w:right="3319" w:hanging="185"/>
        <w:spacing w:after="0" w:line="246" w:lineRule="auto"/>
        <w:tabs>
          <w:tab w:leader="none" w:pos="18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 H. LINDELOW. These shares include options to purchase 43,200 shares of common stock that are immediately exercisable. Mr. Lindelow's address is c/o Tivoli Systems, 9442 Capital of Texas Highway North, Austin, Texas 78759.</w:t>
      </w:r>
    </w:p>
    <w:p>
      <w:pPr>
        <w:spacing w:after="0" w:line="177" w:lineRule="exact"/>
        <w:rPr>
          <w:sz w:val="20"/>
          <w:szCs w:val="20"/>
          <w:color w:val="auto"/>
        </w:rPr>
      </w:pPr>
    </w:p>
    <w:p>
      <w:pPr>
        <w:ind w:left="185" w:right="3319" w:hanging="185"/>
        <w:spacing w:after="0" w:line="246" w:lineRule="auto"/>
        <w:tabs>
          <w:tab w:leader="none" w:pos="18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TERRENCE L. ROCK. All shares indicated as owned by Mr. Rock are included because of his association with funds affiliated with CenterPoint Venture Partners. Mr. Rock is (a) a limited partner of CenterPoint Venture Partners, L.P. and CenterPoint Venture Fund II, L.P., (b) a limited partner of Paluck Associates, L.P., the general partner of CenterPoint Venture Partners, L.P., and (c) a general partner of CenterPoint Associates II, L.P., the general partner of CenterPoint Venture Fund II, L.P. Mr. Rock disclaims beneficial ownership of the shares held by CenterPoint Venture Partners, L.P. and CenterPoint Venture Fund II, L.P., except to</w:t>
      </w:r>
    </w:p>
    <w:p>
      <w:pPr>
        <w:spacing w:after="0" w:line="181"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044"/>
          </w:cols>
          <w:pgMar w:left="415" w:top="817" w:right="1440" w:bottom="1440" w:gutter="0" w:footer="0" w:header="0"/>
        </w:sectPr>
      </w:pPr>
    </w:p>
    <w:bookmarkStart w:id="57" w:name="page58"/>
    <w:bookmarkEnd w:id="57"/>
    <w:p>
      <w:pPr>
        <w:ind w:left="85" w:right="3499"/>
        <w:spacing w:after="0" w:line="247" w:lineRule="auto"/>
        <w:rPr>
          <w:sz w:val="20"/>
          <w:szCs w:val="20"/>
          <w:color w:val="auto"/>
        </w:rPr>
      </w:pPr>
      <w:r>
        <w:rPr>
          <w:rFonts w:ascii="Courier New" w:cs="Courier New" w:eastAsia="Courier New" w:hAnsi="Courier New"/>
          <w:sz w:val="15"/>
          <w:szCs w:val="15"/>
          <w:color w:val="auto"/>
        </w:rPr>
        <w:t>the extent of his pecuniary interest in these funds. Mr. Rock's address is c/o CenterPoint Venture Partners, 13455 Noel Road, Suite 1670, Two Galleria Tower, Dallas, Texas 75240.</w:t>
      </w:r>
    </w:p>
    <w:p>
      <w:pPr>
        <w:spacing w:after="0" w:line="174" w:lineRule="exact"/>
        <w:rPr>
          <w:sz w:val="20"/>
          <w:szCs w:val="20"/>
          <w:color w:val="auto"/>
        </w:rPr>
      </w:pPr>
    </w:p>
    <w:p>
      <w:pPr>
        <w:jc w:val="both"/>
        <w:ind w:left="185" w:right="3319" w:hanging="185"/>
        <w:spacing w:after="0" w:line="246" w:lineRule="auto"/>
        <w:tabs>
          <w:tab w:leader="none" w:pos="18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 Includes 239,993 shares owned by David S. Gino, our chief financial officer, who is not named in the summary compensation table because he joined us in December 1999 and therefore did not have in excess of $100,000 in annual compensation.</w:t>
      </w:r>
    </w:p>
    <w:p>
      <w:pPr>
        <w:spacing w:after="0" w:line="2" w:lineRule="exact"/>
        <w:rPr>
          <w:rFonts w:ascii="Courier New" w:cs="Courier New" w:eastAsia="Courier New" w:hAnsi="Courier New"/>
          <w:sz w:val="15"/>
          <w:szCs w:val="15"/>
          <w:color w:val="auto"/>
        </w:rPr>
      </w:pPr>
    </w:p>
    <w:p>
      <w:pPr>
        <w:ind w:left="185"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185,993 shares of common stock are currently unvested and are subject to our right to repurchase them if Mr. Gino's services are terminated prior to vesting. Also please see the other notes with respect to our executive officers and directors above.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Austin Ventures. Includes:</w:t>
      </w:r>
    </w:p>
    <w:p>
      <w:pPr>
        <w:spacing w:after="0" w:line="180" w:lineRule="exact"/>
        <w:rPr>
          <w:sz w:val="20"/>
          <w:szCs w:val="20"/>
          <w:color w:val="auto"/>
        </w:rPr>
      </w:pPr>
    </w:p>
    <w:p>
      <w:pPr>
        <w:ind w:left="265" w:hanging="174"/>
        <w:spacing w:after="0"/>
        <w:tabs>
          <w:tab w:leader="none" w:pos="26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1,104,557 shares held by Austin Ventures IV-A,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2,317,354 shares held by Austin Ventures IV-B, L.P.</w:t>
      </w:r>
    </w:p>
    <w:p>
      <w:pPr>
        <w:spacing w:after="0" w:line="180" w:lineRule="exact"/>
        <w:rPr>
          <w:sz w:val="20"/>
          <w:szCs w:val="20"/>
          <w:color w:val="auto"/>
        </w:rPr>
      </w:pPr>
    </w:p>
    <w:p>
      <w:pPr>
        <w:ind w:left="265" w:right="3219" w:firstLine="9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 except to the extent of his pecuniary interest. The address of the investment funds affiliated with Austin Ventures is 114 West Seventh Street, Suite 1300, Austin, Texas 78701.</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Advent International Corp. Includes:</w:t>
      </w:r>
    </w:p>
    <w:p>
      <w:pPr>
        <w:spacing w:after="0" w:line="180" w:lineRule="exact"/>
        <w:rPr>
          <w:sz w:val="20"/>
          <w:szCs w:val="20"/>
          <w:color w:val="auto"/>
        </w:rPr>
      </w:pPr>
    </w:p>
    <w:p>
      <w:pPr>
        <w:ind w:left="265" w:right="4219" w:hanging="174"/>
        <w:spacing w:after="0" w:line="247" w:lineRule="auto"/>
        <w:tabs>
          <w:tab w:leader="none" w:pos="26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1,894,004 shares held by Envirotech Investment Fund I Limited Partnership;</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464,031 shares held by Adwest Limited Partnership; and</w:t>
      </w:r>
    </w:p>
    <w:p>
      <w:pPr>
        <w:spacing w:after="0" w:line="180" w:lineRule="exact"/>
        <w:rPr>
          <w:sz w:val="20"/>
          <w:szCs w:val="20"/>
          <w:color w:val="auto"/>
        </w:rPr>
      </w:pPr>
    </w:p>
    <w:p>
      <w:pPr>
        <w:ind w:left="265" w:right="4139" w:hanging="174"/>
        <w:spacing w:after="0" w:line="247" w:lineRule="auto"/>
        <w:tabs>
          <w:tab w:leader="none" w:pos="26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9,463 shares held by Advent International Investors II Limited Partnership.</w:t>
      </w:r>
    </w:p>
    <w:p>
      <w:pPr>
        <w:spacing w:after="0" w:line="175" w:lineRule="exact"/>
        <w:rPr>
          <w:sz w:val="20"/>
          <w:szCs w:val="20"/>
          <w:color w:val="auto"/>
        </w:rPr>
      </w:pPr>
    </w:p>
    <w:p>
      <w:pPr>
        <w:ind w:left="265" w:right="3319" w:firstLine="182"/>
        <w:spacing w:after="0" w:line="246" w:lineRule="auto"/>
        <w:rPr>
          <w:sz w:val="20"/>
          <w:szCs w:val="20"/>
          <w:color w:val="auto"/>
        </w:rPr>
      </w:pPr>
      <w:r>
        <w:rPr>
          <w:rFonts w:ascii="Courier New" w:cs="Courier New" w:eastAsia="Courier New" w:hAnsi="Courier New"/>
          <w:sz w:val="15"/>
          <w:szCs w:val="15"/>
          <w:color w:val="auto"/>
        </w:rPr>
        <w:t>Each of these partnerships is managed by Advent International Corporation. Advent International Corporation exercises sole voting and investment power with respect to all shares held by these funds. The address of the investment funds affiliated with Advent International Corporation is 75 State Street, Boston, Massachusetts 02109.</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CenterPoint Venture Partners. Includes:</w:t>
      </w:r>
    </w:p>
    <w:p>
      <w:pPr>
        <w:spacing w:after="0" w:line="180" w:lineRule="exact"/>
        <w:rPr>
          <w:sz w:val="20"/>
          <w:szCs w:val="20"/>
          <w:color w:val="auto"/>
        </w:rPr>
      </w:pPr>
    </w:p>
    <w:p>
      <w:pPr>
        <w:ind w:left="265" w:hanging="174"/>
        <w:spacing w:after="0"/>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1,957,214 shares held by CenterPoint Venture Partners,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380,951 shares held by CenterPoint Venture Fund II, L.P.</w:t>
      </w:r>
    </w:p>
    <w:p>
      <w:pPr>
        <w:spacing w:after="0" w:line="180" w:lineRule="exact"/>
        <w:rPr>
          <w:sz w:val="20"/>
          <w:szCs w:val="20"/>
          <w:color w:val="auto"/>
        </w:rPr>
      </w:pPr>
    </w:p>
    <w:p>
      <w:pPr>
        <w:ind w:left="265" w:right="3219" w:firstLine="182"/>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partnerships except to the extent of his pecuniary interest. The address of the investment funds affiliated with CenterPoint Venture Partners is 13455 Noel Road, Suite 1670, Two Galleria Tower, Dallas, Texas 75240.</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SSM Venture Partners. Includes:</w:t>
      </w:r>
    </w:p>
    <w:p>
      <w:pPr>
        <w:spacing w:after="0" w:line="180"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3,611,456 shares held by SSM Venture Partners, L.P.;</w:t>
      </w:r>
    </w:p>
    <w:p>
      <w:pPr>
        <w:spacing w:after="0" w:line="180" w:lineRule="exact"/>
        <w:rPr>
          <w:sz w:val="20"/>
          <w:szCs w:val="20"/>
          <w:color w:val="auto"/>
        </w:rPr>
      </w:pPr>
    </w:p>
    <w:p>
      <w:pPr>
        <w:ind w:left="265" w:hanging="174"/>
        <w:spacing w:after="0"/>
        <w:tabs>
          <w:tab w:leader="none" w:pos="2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318,703 shares held by SSM Venture Partners II,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62,251 shares held by SSM Venture Associates, L.P.</w:t>
      </w:r>
    </w:p>
    <w:p>
      <w:pPr>
        <w:spacing w:after="0" w:line="180" w:lineRule="exact"/>
        <w:rPr>
          <w:sz w:val="20"/>
          <w:szCs w:val="20"/>
          <w:color w:val="auto"/>
        </w:rPr>
      </w:pPr>
    </w:p>
    <w:p>
      <w:pPr>
        <w:ind w:left="265" w:right="3219" w:hanging="18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they are controlled by affiliated entities. Each partnership, however, disclaims beneficial ownership of the others' shares. The address of the investment funds affiliated with SSM Ventures Partners is 845 Crossover Lane, Suite 140, Memphis, Tennessee 38117.</w:t>
      </w:r>
    </w:p>
    <w:p>
      <w:pPr>
        <w:spacing w:after="0" w:line="178" w:lineRule="exact"/>
        <w:rPr>
          <w:sz w:val="20"/>
          <w:szCs w:val="20"/>
          <w:color w:val="auto"/>
        </w:rPr>
      </w:pPr>
    </w:p>
    <w:p>
      <w:pPr>
        <w:ind w:left="185" w:right="3419" w:hanging="185"/>
        <w:spacing w:after="0" w:line="247" w:lineRule="auto"/>
        <w:tabs>
          <w:tab w:leader="none" w:pos="18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Rho Management Trust's address is 888 7th Avenue, Suite 4500, New York, New York 10106.</w:t>
      </w:r>
    </w:p>
    <w:p>
      <w:pPr>
        <w:spacing w:after="0" w:line="175"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044"/>
          </w:cols>
          <w:pgMar w:left="415" w:top="643" w:right="1440" w:bottom="1440" w:gutter="0" w:footer="0" w:header="0"/>
        </w:sectPr>
      </w:pPr>
    </w:p>
    <w:bookmarkStart w:id="58" w:name="page59"/>
    <w:bookmarkEnd w:id="58"/>
    <w:p>
      <w:pPr>
        <w:ind w:left="2360"/>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authorized capital stock will consist of 400,000,000 shares of common stock, par value $0.001 per share, and 25,420,000 shares of preferred stock, par value $0.001 per share. The rights and preferences of the authorized preferred stock may be designated from time to time by our board of directors. The following summary is qualified by reference to our certificate of incorporation and our bylaws, forms of which have been filed as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June 30, 2000, there were 12,200,516 shares of common stock outstanding that were held of record by 145 stockholders. Holders of our common stock are entitled to one vote per share on all matters to be voted upon by the stockholders. The holders of common stock are not entitled to cumulate voting rights with respect to the election of directors, and as a result, minority stockholders will not be able to elect directors on the basis of their votes alone. Subject to limitations under Delaware law and preferences that may apply to any outstanding shares of preferred stock, holders of common stock are entitled to receive ratably such dividends or other distribution, if any, as may be declared by our board of directors out of funds legally available therefor. In the event of our liquidation, dissolution or winding up, holders of common stock are entitled to share ratably in all assets remaining after payment of liabilities, subject to the liquidation preference of any outstanding preferred stock. The common stock has no preemptive, conversion or other rights to subscribe for additional securities of Active Power. There are no redemption or sinking fund provisions applicable to the common stock. All outstanding shares of common stock are, and all shares of common stock to be outstanding upon completion of the offering will be,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June 30, 2000, there were 7,732,084 shares of convertible preferred stock and 420,000 shares of 1992 preferred stock outstanding. Upon the closing of a public offering in which we receive proceeds of at least $20.0 million and at an offering price of at least $7.88 per share, each share of our convertible preferred stock, other than our Series B preferred stock, will automatically convert into 2.16 shares of common stock. Each share of Series B preferred stock will convert into approximately 2.57 shares of common stock. The 420,000 shares of 1992 preferred stock outstanding are not convertible into our common stock. The 1992 preferred stock is redeemable at a price of $0.50 per share at such time as our board of directors determines that we have available funds in excess of anticipated needs. Our board of directors will determine whether to redeem the 1992 preferred stock following this offering.</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completion of this offering and the automatic conversion of our convertible preferred stock into common stock, our board of directors will have the authority, without further action by the stockholders, to issue up to 25,000,000 shares of preferred stock in one or more series, to fix the rights, preferences, privileges and restrictions of the authorized preferred stock and to issue shares of each such series. The issuance of preferred stock could have the effect of restricting dividends on the common stock, diluting the voting power for the common stock, impairing the liquidation rights of the common stock or delaying or preventing our change in control without further action by the stockholders. At present, we have no plans to issue any shares of preferred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According to the terms of an investors' rights agreement between us, the holders of our preferred stock (other than the 1992 preferred stock), and certain members of our management who may be designated by the board of directors from time to time, including our chief executive officer,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3" w:right="1440" w:bottom="1440" w:gutter="0" w:footer="0" w:header="0"/>
        </w:sectPr>
      </w:pPr>
    </w:p>
    <w:bookmarkStart w:id="59" w:name="page60"/>
    <w:bookmarkEnd w:id="59"/>
    <w:p>
      <w:pPr>
        <w:ind w:right="3039"/>
        <w:spacing w:after="0" w:line="246" w:lineRule="auto"/>
        <w:rPr>
          <w:sz w:val="20"/>
          <w:szCs w:val="20"/>
          <w:color w:val="auto"/>
        </w:rPr>
      </w:pPr>
      <w:r>
        <w:rPr>
          <w:rFonts w:ascii="Courier New" w:cs="Courier New" w:eastAsia="Courier New" w:hAnsi="Courier New"/>
          <w:sz w:val="15"/>
          <w:szCs w:val="15"/>
          <w:color w:val="auto"/>
        </w:rPr>
        <w:t>Joseph F. Pinkerton, III, beginning 180 days after the closing of this offering, some of our stockholders, who will hold in the aggregate 17,893,883 shares of common stock, may require us to file a registration statement under the Securities Act of 1933 with respect to the resale of their shares. To demand such registration, stockholders' holding an aggregate of at least a majority of these shares that are then outstanding for the first demand registration, and stockholders holding an aggregate of at least 25% of these shares that are then outstanding for the second demand registration, must request that the registration statement register the resale of at least 20% of these shares that are then outstanding. We are not required to effect more than two demand registrations.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Additionally, the holders of 29,999,289 shares of common stock, including the 17,893,883 shares of common stock discussed in the previous paragraph, and members of our management and our chief executive officer Joseph F. Pinkerton, III, will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any time after we become eligible to file a registration statement on Form S-3 under the Securities Act, holders of demand registration rights may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six-month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Delaware law, our certificate of incorporation, our bylaws and certain contracts to which we are a party could have the effect of delaying or preventing a third party from acquiring us, even if the acquisition would benefit our stockholders. The provisions of Delaware law and in our certificate of incorporation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Active Power. These provisions are designed to reduce our vulnerability to an unsolicited proposal for a takeover that does not contemplate the acquisition of all of our outstanding shares, or an unsolicited proposal for the restructuring or sale of all or part of Active Power.</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DELAWARE ANTI-TAKEOVER STATUTE. We are subject to the provisions of Section 203 of the Delaware General Corporation Law,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78" w:lineRule="exact"/>
        <w:rPr>
          <w:sz w:val="20"/>
          <w:szCs w:val="20"/>
          <w:color w:val="auto"/>
        </w:rPr>
      </w:pPr>
    </w:p>
    <w:p>
      <w:pPr>
        <w:ind w:left="360" w:right="3319" w:hanging="185"/>
        <w:spacing w:after="0" w:line="247" w:lineRule="auto"/>
        <w:tabs>
          <w:tab w:leader="none" w:pos="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board of directors of the corporation approved either the business combination or the transaction which resulted in the stockholder's becoming an interested stockholder;</w:t>
      </w:r>
    </w:p>
    <w:p>
      <w:pPr>
        <w:spacing w:after="0" w:line="174" w:lineRule="exact"/>
        <w:rPr>
          <w:sz w:val="20"/>
          <w:szCs w:val="20"/>
          <w:color w:val="auto"/>
        </w:rPr>
      </w:pPr>
    </w:p>
    <w:p>
      <w:pPr>
        <w:ind w:left="360" w:right="3319" w:hanging="185"/>
        <w:spacing w:after="0" w:line="247" w:lineRule="auto"/>
        <w:tabs>
          <w:tab w:leader="none" w:pos="3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stockholder's becoming an interested stockholder, the interested stockholder owned at least 85% of the voting stock of</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817" w:right="1440" w:bottom="1440" w:gutter="0" w:footer="0" w:header="0"/>
        </w:sectPr>
      </w:pPr>
    </w:p>
    <w:bookmarkStart w:id="60" w:name="page61"/>
    <w:bookmarkEnd w:id="60"/>
    <w:p>
      <w:pPr>
        <w:ind w:left="260" w:right="3319"/>
        <w:spacing w:after="0" w:line="246" w:lineRule="auto"/>
        <w:rPr>
          <w:sz w:val="20"/>
          <w:szCs w:val="20"/>
          <w:color w:val="auto"/>
        </w:rPr>
      </w:pPr>
      <w:r>
        <w:rPr>
          <w:rFonts w:ascii="Courier New" w:cs="Courier New" w:eastAsia="Courier New" w:hAnsi="Courier New"/>
          <w:sz w:val="15"/>
          <w:szCs w:val="15"/>
          <w:color w:val="auto"/>
        </w:rPr>
        <w:t>the corporation outstanding at the time the transaction commenced, excluding, for purposes of determining the number of shares outstanding, those shares owned (1) by persons who are directors and also officers and</w:t>
      </w:r>
    </w:p>
    <w:p>
      <w:pPr>
        <w:spacing w:after="0" w:line="2" w:lineRule="exact"/>
        <w:rPr>
          <w:sz w:val="20"/>
          <w:szCs w:val="20"/>
          <w:color w:val="auto"/>
        </w:rPr>
      </w:pPr>
    </w:p>
    <w:p>
      <w:pPr>
        <w:ind w:left="260" w:right="3419" w:firstLine="6"/>
        <w:spacing w:after="0" w:line="247" w:lineRule="auto"/>
        <w:tabs>
          <w:tab w:leader="none" w:pos="62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employee stock plans in which employee participants do not have the right to determine confidentially whether shares held subject to the plan will be tendered in a tender or exchange offer; or</w:t>
      </w:r>
    </w:p>
    <w:p>
      <w:pPr>
        <w:spacing w:after="0" w:line="174" w:lineRule="exact"/>
        <w:rPr>
          <w:sz w:val="20"/>
          <w:szCs w:val="20"/>
          <w:color w:val="auto"/>
        </w:rPr>
      </w:pPr>
    </w:p>
    <w:p>
      <w:pPr>
        <w:ind w:left="360" w:right="3319" w:hanging="185"/>
        <w:spacing w:after="0" w:line="246" w:lineRule="auto"/>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such date,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CHARTER AND BYLAWS. In addition, provisions of our certificate of incorporation and bylaws may also have an anti-takeover effect. These provisions may delay, defer or prevent a tender offer or takeover attempt of our company that a stockholder might consider in his or her best interest, including attempts that might result in a premium over the market price for the shares held by our stockholders. The following summarizes these provisions.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Classified Board of Directors. Our certificate of incorporation provides that, effective immediately upon the closing of this offering, our board of directors will be divided into three classes of directors, as nearly equal in size as is practicable, serving staggered three-year terms. As a result, approximately one-third of the board of directors will be elected each year. These provisions, when coupled with the provisions of our certificate of incorporation and bylaws authorizing our board of directors to fill vacant directorships or increase the size of our board, may deter a stockholder from removing incumbent directors and simultaneously gaining control of the board of directors.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Stockholder Action; Special Meetings of Stockholders. Our certificate of incorporation eliminates the ability of stockholders to act by written consent upon the closing of this offering. Our bylaws provide that special meetings of our stockholders may be called only by a majority of our board of directors.</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Advance Notice Requirements for Stockholder Proposals and Director Nominations. Our bylaws provide that stockholders seeking to bring business before an annual meeting of stockholders, or to nominate candidates for election as directors at an annual meeting of stockholders, must provide us with timely written notice of their proposal. To be timely, a stockholder's notice must be delivered to or mailed and received at our principal executive offices not less than 120 days before the first anniversary of the date we released the notice of annual meeting to stockholders in connection with the previous year's annual meeting. If, however, no meeting was held in the prior year or the date of the annual meeting has been changed by more than 30 days from the date contemplated in the notice of annual meeting, notice by the stockholder, in order to be timely, must be received a reasonable time before we release the notice of annual meeting to stockholders. Our bylaws also specify certain requirements as to the form and content of a stockholder's notice. These provisions may make it more difficult for stockholders to bring matters before an annual meeting of stockholders or to make nominations for directors at an annual meeting of stockholders.</w:t>
      </w:r>
    </w:p>
    <w:p>
      <w:pPr>
        <w:spacing w:after="0" w:line="185"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Authorized but Unissued Shares. Our authorized but unissued shares of common stock and preferred stock are available for our board to issue without stockholder approval. We may use these additional shares for a variety of corporate purposes, including future public offerings to raise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3" w:right="1440" w:bottom="1440" w:gutter="0" w:footer="0" w:header="0"/>
        </w:sectPr>
      </w:pPr>
    </w:p>
    <w:bookmarkStart w:id="61" w:name="page62"/>
    <w:bookmarkEnd w:id="61"/>
    <w:p>
      <w:pPr>
        <w:ind w:right="3039"/>
        <w:spacing w:after="0" w:line="246" w:lineRule="auto"/>
        <w:rPr>
          <w:sz w:val="20"/>
          <w:szCs w:val="20"/>
          <w:color w:val="auto"/>
        </w:rPr>
      </w:pPr>
      <w:r>
        <w:rPr>
          <w:rFonts w:ascii="Courier New" w:cs="Courier New" w:eastAsia="Courier New" w:hAnsi="Courier New"/>
          <w:sz w:val="15"/>
          <w:szCs w:val="15"/>
          <w:color w:val="auto"/>
        </w:rPr>
        <w:t>additional capital, corporate acquisitions and employee benefit plans. The existence of our authorized but unissued shares of common stock and preferred stock could render it more difficult or discourage an attempt to obtain control of our company by means of a proxy context, tender offer, merger or other transaction.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Supermajority Vote Provisions. 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of incorporation imposes supermajority vote requirements (two-thirds) in connection with the amendment of certain provisions of our certificate of incorporation, including the provisions relating to the classified board of directors and action by written consent of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Indemnification. Our certificate of incorporation and bylaws require us to indemnify our directors and officers to the fullest extent permitted by Delaware law. In addition, our charter limits the personal liability of our board members for breaches by the directors of their fiduciary duties to the fullest extent permitted under Delaware law. We also enter into indemnification agreements with our officers and directors.</w:t>
      </w:r>
    </w:p>
    <w:p>
      <w:pPr>
        <w:spacing w:after="0" w:line="178"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CATERPILLAR TERMINATION RIGHT. Caterpillar, our most significant customer, has a right to terminate its CleanSource UPS distribution agreement with us in the event we are acquired or undergo a change in control.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and its address is 150 Royall Street, Canton, MA 02021.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NATIONAL MARKET LISTING</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common stock has been approved for quotation on the Nasdaq National Market under the trading symbol "ACPW".</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3" w:right="1440" w:bottom="1440" w:gutter="0" w:footer="0" w:header="0"/>
        </w:sectPr>
      </w:pPr>
    </w:p>
    <w:bookmarkStart w:id="62" w:name="page63"/>
    <w:bookmarkEnd w:id="62"/>
    <w:p>
      <w:pPr>
        <w:jc w:val="center"/>
        <w:ind w:right="303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stockholders sell substantial amounts of our common stock in the public market following this offering, the prevailing market price of our common stock could decline. Furthermore, because we do not expect that any of these shares will be available for sale for at least 90 days following this offering as a result of the contractual and legal restrictions on resale described below, sales of substantial amounts of our common stock in the public market after these restrictions lapse could adversely affect the prevailing market price of the common stock and our ability to raise equity capital in the future.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closing of this offering, we will have outstanding an aggregate of 37,662,399 shares of our common stock, based upon the number of shares outstanding as of June 30, 2000 and assuming no exercise of the underwriters' over-allotment option and no exercise of outstanding options and warrants. Of these shares, all shares sold in this offering will be freely tradeable without restriction or further registration under the Securities Act unless they are purchased by our "affiliates", as that term is defined in Rule 144 under the Securities Act. Our outstanding shares will be eligible for sale in the public market as follows:</w:t>
      </w:r>
    </w:p>
    <w:p>
      <w:pPr>
        <w:spacing w:after="0" w:line="200" w:lineRule="exact"/>
        <w:rPr>
          <w:sz w:val="20"/>
          <w:szCs w:val="20"/>
          <w:color w:val="auto"/>
        </w:rPr>
      </w:pPr>
    </w:p>
    <w:p>
      <w:pPr>
        <w:spacing w:after="0" w:line="330"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8,000,000</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the date of this prospectus, freely</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tradeable shares sold in this offering.</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5,028,658</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90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20% of the shares subject to lock-up agreements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with the underwriters will be released if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conditions described below under "--Lock-up</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Agreements" are satisfied and will be eligible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for sale in the public market under Rule 144</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in some cases, to volume limitations),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5,034,617</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120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an additional 20% of the shares subject to lock-</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up agreements with the underwriters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released if the conditions described below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"--Lock-up Agreements" are satisfied and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eligible for sale in the public market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 (subject, in some cases, to volume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limitations), 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19,335,321</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the lock-up agreements are released and these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shares are eligible for sale in the public</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market under Rule 144 (subject, in some cases,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to volume limitations), Rule 144(k) or Rule 701.</w:t>
            </w:r>
          </w:p>
        </w:tc>
      </w:tr>
      <w:tr>
        <w:trPr>
          <w:trHeight w:val="350"/>
        </w:trPr>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rPr>
              <w:t>263,803</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to vesting requirements and the</w:t>
            </w:r>
          </w:p>
        </w:tc>
      </w:tr>
    </w:tbl>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requirements of Rule 144 (subject, in some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cases, to volume limitations), Rule 144(k) 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Rule 701.</w:t>
      </w:r>
    </w:p>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Lock-up Agreements. All of our directors and officers and all of our stockholders and option holders have signed or are otherwise subject to lock-up agreements under which they have agreed not to transfer or dispose of, directly or indirectly, any shares of our common stock or any securities convertible into or exercisable or exchangeable for shares of our common stock for 180 days after the date of this prospectus. However, if the last reported sale price of our common stock is greater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3" w:right="1440" w:bottom="1440" w:gutter="0" w:footer="0" w:header="0"/>
        </w:sectPr>
      </w:pPr>
    </w:p>
    <w:bookmarkStart w:id="63" w:name="page64"/>
    <w:bookmarkEnd w:id="63"/>
    <w:p>
      <w:pPr>
        <w:ind w:left="7" w:right="3039"/>
        <w:spacing w:after="0" w:line="246" w:lineRule="auto"/>
        <w:rPr>
          <w:sz w:val="20"/>
          <w:szCs w:val="20"/>
          <w:color w:val="auto"/>
        </w:rPr>
      </w:pPr>
      <w:r>
        <w:rPr>
          <w:rFonts w:ascii="Courier New" w:cs="Courier New" w:eastAsia="Courier New" w:hAnsi="Courier New"/>
          <w:sz w:val="15"/>
          <w:szCs w:val="15"/>
          <w:color w:val="auto"/>
        </w:rPr>
        <w:t>than two times the initial public offering price per share for a specified period of time ending on the 90th day after the date of this prospectus, then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In addition, if the last reported sale price of our common stock is greater than two times the initial public offering price per share for a specified period of time ending on the 120th day after the date of this prospectus, then an additional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Transfers or dispositions can be made sooner with the prior written consent of Goldman, Sachs &amp; Co. or, if the transferee agrees to sign an identical lock-up agreement and other conditions are met: (a) if the transfer is a bona fide gift; (b) if the transfer is to a trust for the benefit of the stockholder or option holder; or</w:t>
      </w:r>
    </w:p>
    <w:p>
      <w:pPr>
        <w:spacing w:after="0" w:line="10" w:lineRule="exact"/>
        <w:rPr>
          <w:sz w:val="20"/>
          <w:szCs w:val="20"/>
          <w:color w:val="auto"/>
        </w:rPr>
      </w:pPr>
    </w:p>
    <w:p>
      <w:pPr>
        <w:ind w:left="7" w:right="3039" w:hanging="7"/>
        <w:spacing w:after="0" w:line="246" w:lineRule="auto"/>
        <w:tabs>
          <w:tab w:leader="none" w:pos="37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is to certain other affiliates of the stockholder or option holder. Goldman, Sachs &amp; Co. may, in its sole discretion, at any time and without prior notice, release all or any portion of the shares subject to the lock-up agreements.</w:t>
      </w:r>
    </w:p>
    <w:p>
      <w:pPr>
        <w:spacing w:after="0" w:line="177"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of this prospectus, a person who has beneficially owned shares of our common stock for at least one year, including the holding period of certain prior owners other than affiliates, is entitled to sell within any three-month period a number of shares that does not exceed the greater of (a)</w:t>
      </w:r>
    </w:p>
    <w:p>
      <w:pPr>
        <w:spacing w:after="0" w:line="3"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1% of the number of shares of our common stock then outstanding, which will equal approximately 376,624 shares immediately after the offering, or (b) the average weekly trading volume of our common stock on the Nasdaq National Market during the four calendar weeks preceding the filing of a notice on Form 144 with respect to that sale. Sales under Rule 144 are also subject to certain manner-of-sale provisions, notice requirements and the availability of current public information about us.</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three months preceding a sale and who has beneficially owned shares for at least two years, including the holding period of certain prior owners other than affiliates, is entitled to sell those shares without complying with the manner of sale, public information, volume limitation or notice provisions of Rule 144. Therefore, unless otherwise restricted, Rule 144(k) shares may be sold immediately upon the closing of this offering.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each of our directors, officers, employees, consultants or advisors who purchased shares from us before the date of this prospectus in connection with a compensatory stock plan or other written compensatory agreement is eligible to resell such shares 90 days after the effective date of this offering in reliance on Rule 144, but without compliance with certain restrictions, including the holding period, contained in Rule 144.</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REGISTRATION RIGHTS. After this offering, the holders of 29,999,289 shares of our common stock will be entitled to certain rights with respect to the registration of their shares under the Securities Act. See "Description of Capital Stock-Registration Rights". After any sale of shares pursuant to a registration statement, such shares will be freely tradable without restriction under the Securities Act. These sales could cause the market price of our common stock to decline.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STOCK PLANS. As of June 30, 2000, options to purchase 3,423,194 shares of common stock were outstanding under our 1993 plan. After this offering, we intend to file a registration statement on Form S-8 under the Securities Act of 1933 covering shares of common stock reserved for issuance under our 2000 stock incentive plan and our employee stock purchase plan. Based on the number of options outstanding and shares reserved for issuance under our 2000 plan and our employee stock purchase plan, the Form S-8 registration statement would cover 7,196,934 shares. The Form S-8</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6"/>
          </w:cols>
          <w:pgMar w:left="233" w:top="817" w:right="1440" w:bottom="1440" w:gutter="0" w:footer="0" w:header="0"/>
        </w:sectPr>
      </w:pPr>
    </w:p>
    <w:bookmarkStart w:id="64" w:name="page65"/>
    <w:bookmarkEnd w:id="64"/>
    <w:p>
      <w:pPr>
        <w:ind w:right="3139"/>
        <w:spacing w:after="0" w:line="246" w:lineRule="auto"/>
        <w:rPr>
          <w:sz w:val="20"/>
          <w:szCs w:val="20"/>
          <w:color w:val="auto"/>
        </w:rPr>
      </w:pPr>
      <w:r>
        <w:rPr>
          <w:rFonts w:ascii="Courier New" w:cs="Courier New" w:eastAsia="Courier New" w:hAnsi="Courier New"/>
          <w:sz w:val="15"/>
          <w:szCs w:val="15"/>
          <w:color w:val="auto"/>
        </w:rPr>
        <w:t>registration statement will become effective immediately upon filing, whereupon, subject to the satisfaction of applicable exercisability periods, Rule 144 limitations applicable to affiliates and the lock-up agreements with the underwriters referred to above, shares of common stock to be issued upon exercise of outstanding options granted pursuant to our 2000 stock incentive plan and shares of common stock issued pursuant to our employee stock purchase plan (to the extent that such shares were not held by affiliates) will be available for immediate resale in the public market.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3" w:right="1440" w:bottom="1440" w:gutter="0" w:footer="0" w:header="0"/>
        </w:sectPr>
      </w:pPr>
    </w:p>
    <w:bookmarkStart w:id="65" w:name="page66"/>
    <w:bookmarkEnd w:id="65"/>
    <w:p>
      <w:pPr>
        <w:jc w:val="center"/>
        <w:ind w:right="2952"/>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the selling stockholder and the underwriters named below have entered into an underwriting agreement with respect to the shares being offered. Subject to certain conditions, each underwriter has severally agreed to purchase the number of shares indicated in the following table. Goldman, Sachs &amp; Co., Merrill Lynch, Pierce, Fenner &amp; Smith Incorporated, Morgan Stanley</w:t>
      </w:r>
    </w:p>
    <w:p>
      <w:pPr>
        <w:spacing w:after="0" w:line="3" w:lineRule="exact"/>
        <w:rPr>
          <w:sz w:val="20"/>
          <w:szCs w:val="20"/>
          <w:color w:val="auto"/>
        </w:rPr>
      </w:pPr>
    </w:p>
    <w:p>
      <w:pPr>
        <w:ind w:left="7" w:right="3039" w:hanging="7"/>
        <w:spacing w:after="0" w:line="247" w:lineRule="auto"/>
        <w:tabs>
          <w:tab w:leader="none" w:pos="18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CIBC World Markets Corp. are the representatives of the underwriters.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Underwriters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5087" w:space="720"/>
            <w:col w:w="44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Goldman, Sachs &amp; Co. .......................................</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CIBC World Markets Corp.....................................</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type w:val="continuous"/>
        </w:sectPr>
      </w:pPr>
    </w:p>
    <w:p>
      <w:pPr>
        <w:spacing w:after="0" w:line="354" w:lineRule="exact"/>
        <w:rPr>
          <w:sz w:val="20"/>
          <w:szCs w:val="20"/>
          <w:color w:val="auto"/>
        </w:rPr>
      </w:pPr>
    </w:p>
    <w:p>
      <w:pPr>
        <w:ind w:left="7" w:right="3679" w:firstLine="364"/>
        <w:spacing w:after="0" w:line="247" w:lineRule="auto"/>
        <w:rPr>
          <w:sz w:val="20"/>
          <w:szCs w:val="20"/>
          <w:color w:val="auto"/>
        </w:rPr>
      </w:pPr>
      <w:r>
        <w:rPr>
          <w:rFonts w:ascii="Courier New" w:cs="Courier New" w:eastAsia="Courier New" w:hAnsi="Courier New"/>
          <w:sz w:val="15"/>
          <w:szCs w:val="15"/>
          <w:color w:val="auto"/>
        </w:rPr>
        <w:t>Under the terms and conditions of the underwriting agreement, the underwriters are committed to take and pay for all of the shares offered hereby, if any are taken.</w:t>
      </w:r>
    </w:p>
    <w:p>
      <w:pPr>
        <w:spacing w:after="0" w:line="17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900,000 shares from Active Power and up to an additional 300,000 shares from the selling stockholder to cover such sales. They may exercise that option for 30 days. If any shares are purchased pursuant to this option, the underwriters will severally purchase shares in approximately the same proportion as set forth in the table above.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Active Power and by the selling stockholder. Such amounts are shown assuming both no exercise and full exercise of the underwriters' option to purchase 900,000 additional shares from Active Power and 300,000 additional shares from the selling stockholder.</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Paid by Active Power</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4907" w:space="540"/>
            <w:col w:w="460" w:space="720"/>
            <w:col w:w="359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07" w:space="360"/>
            <w:col w:w="460" w:space="720"/>
            <w:col w:w="3779"/>
          </w:cols>
          <w:pgMar w:left="233" w:top="643" w:right="1440" w:bottom="1440" w:gutter="0" w:footer="0" w:header="0"/>
          <w:type w:val="continuous"/>
        </w:sectPr>
      </w:pPr>
    </w:p>
    <w:p>
      <w:pPr>
        <w:spacing w:after="0" w:line="154" w:lineRule="exact"/>
        <w:rPr>
          <w:sz w:val="20"/>
          <w:szCs w:val="20"/>
          <w:color w:val="auto"/>
        </w:rPr>
      </w:pPr>
    </w:p>
    <w:p>
      <w:pPr>
        <w:jc w:val="both"/>
        <w:ind w:left="1187" w:right="280"/>
        <w:spacing w:after="0" w:line="247" w:lineRule="auto"/>
        <w:rPr>
          <w:sz w:val="20"/>
          <w:szCs w:val="20"/>
          <w:color w:val="auto"/>
        </w:rPr>
      </w:pPr>
      <w:r>
        <w:rPr>
          <w:rFonts w:ascii="Courier New" w:cs="Courier New" w:eastAsia="Courier New" w:hAnsi="Courier New"/>
          <w:sz w:val="15"/>
          <w:szCs w:val="15"/>
          <w:color w:val="auto"/>
        </w:rPr>
        <w:t>Paid by the Selling Stockholder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4907" w:space="460"/>
            <w:col w:w="540" w:space="720"/>
            <w:col w:w="359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07" w:space="460"/>
            <w:col w:w="360" w:space="720"/>
            <w:col w:w="3779"/>
          </w:cols>
          <w:pgMar w:left="233" w:top="643" w:right="1440" w:bottom="1440" w:gutter="0" w:footer="0" w:header="0"/>
          <w:type w:val="continuous"/>
        </w:sectPr>
      </w:pPr>
    </w:p>
    <w:p>
      <w:pPr>
        <w:spacing w:after="0" w:line="154"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Any such securities dealers may resell any shares purchased from the underwriters to certain other brokers or dealers at a discount of up to $ per share from the initial public offering price. If all the shares are not sold at the initial public offering price, the representatives may change the offering price and the other selling terms.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its officers, directors, stockholders and option holders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on behalf of the representatives; provided, however, that this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6"/>
          </w:cols>
          <w:pgMar w:left="233" w:top="643" w:right="1440" w:bottom="1440" w:gutter="0" w:footer="0" w:header="0"/>
          <w:type w:val="continuous"/>
        </w:sectPr>
      </w:pPr>
    </w:p>
    <w:bookmarkStart w:id="66" w:name="page67"/>
    <w:bookmarkEnd w:id="66"/>
    <w:p>
      <w:pPr>
        <w:ind w:right="3139"/>
        <w:spacing w:after="0" w:line="246" w:lineRule="auto"/>
        <w:rPr>
          <w:sz w:val="20"/>
          <w:szCs w:val="20"/>
          <w:color w:val="auto"/>
        </w:rPr>
      </w:pPr>
      <w:r>
        <w:rPr>
          <w:rFonts w:ascii="Courier New" w:cs="Courier New" w:eastAsia="Courier New" w:hAnsi="Courier New"/>
          <w:sz w:val="15"/>
          <w:szCs w:val="15"/>
          <w:color w:val="auto"/>
        </w:rPr>
        <w:t>restriction shall terminate as to 20% of the shares held by officers, directors, stockholders and option holders after 90 days and an additional 20% of the shares held by officers, directors, stockholders and option holders after 120 days after the prospectus, subject to delays as a result of the timing of Active Power's earnings releases and compliance with insider trading policies, in the event that, as of such dates, the reported last sale price of common stock on the Nasdaq National Market is greater than twice the initial public offering price specified in this prospectus for a certain period of time ending on such dates. Further, the restrictions do not apply to shares of common stock purchased on the open market by stockholders or optionholders who are not subject to the reporting requirements of Section 16 of the Securities Exchange Act of 1934. This agreement does not apply to any existing employee benefit plans. See "Shares Eligible for Future Sale" for a discussion of certain transfer restrictions.</w:t>
      </w:r>
    </w:p>
    <w:p>
      <w:pPr>
        <w:spacing w:after="0" w:line="183"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shares. The initial public offering price will be negotiated among Active Power and the representatives. Among the factors to be considered in determining the initial public offering price of the shares, in addition to prevailing market conditions, will be Active Power's historical performance, estimates of the business potential and earnings prospects of Active Power, an assessment of Active Power's management and the consideration of the above factors in relation to market valuation of companies in related businesses.</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common stock will be quoted on the Nasdaq National Market under the symbol "ACPW".</w:t>
      </w:r>
    </w:p>
    <w:p>
      <w:pPr>
        <w:spacing w:after="0" w:line="175"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Active Power and the selling stockholder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right="3859" w:firstLine="364"/>
        <w:spacing w:after="0" w:line="246"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Purchases to cover a short position and stabilizing transactions may have the effect of preventing or retarding a decline in the market price of Active Power's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Nasdaq National Market, in the over-the-counter market or otherwise.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43" w:right="1440" w:bottom="1440" w:gutter="0" w:footer="0" w:header="0"/>
        </w:sectPr>
      </w:pPr>
    </w:p>
    <w:bookmarkStart w:id="67" w:name="page68"/>
    <w:bookmarkEnd w:id="67"/>
    <w:p>
      <w:pPr>
        <w:ind w:right="3039" w:firstLine="364"/>
        <w:spacing w:after="0" w:line="246" w:lineRule="auto"/>
        <w:rPr>
          <w:sz w:val="20"/>
          <w:szCs w:val="20"/>
          <w:color w:val="auto"/>
        </w:rPr>
      </w:pPr>
      <w:r>
        <w:rPr>
          <w:rFonts w:ascii="Courier New" w:cs="Courier New" w:eastAsia="Courier New" w:hAnsi="Courier New"/>
          <w:sz w:val="15"/>
          <w:szCs w:val="15"/>
          <w:color w:val="auto"/>
        </w:rPr>
        <w:t>A prospectus in electronic format may be made available on the Internet websites maintained by one or more underwriters or securities dealers. The representatives of the underwriters may agree to allocate a number of shares to underwriters for sale to their online brokerage account holders. Merrill Lynch, Pierce, Fenner &amp; Smith Incorporated and Morgan Stanley &amp; Co. Incorporated, through one of its affiliates, intend to allocate a limited number of shares for sale to their respective eligible online brokerage account holders. Any Internet distribution will be allocated by the representatives to underwriters that may make Internet distributions on the same basis as other allocations. In addition, shares may be sold by the underwriters to securities dealers who resell shares to online brokerage account holders.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At the request of Active Power, the underwriters are reserving up to 400,000 shares of common stock for sale at the initial public offering price through a directed share program to certain employees, vendors, customers, and other people and entities with whom we maintain business relationships. The number of shares of common stock available for sale to the general public in the public offering will be reduced to the extent these persons purchase these reserved shares. Any shares not so purchased will be offered by the underwriters to the general public on the same basis as the other shares offered hereby.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underwriters do not expect sales to discretionary accounts to exceed five percent of the total number of shares offered.</w:t>
      </w:r>
    </w:p>
    <w:p>
      <w:pPr>
        <w:spacing w:after="0" w:line="175" w:lineRule="exact"/>
        <w:rPr>
          <w:sz w:val="20"/>
          <w:szCs w:val="20"/>
          <w:color w:val="auto"/>
        </w:rPr>
      </w:pPr>
    </w:p>
    <w:p>
      <w:pPr>
        <w:ind w:right="3859" w:firstLine="364"/>
        <w:spacing w:after="0" w:line="247" w:lineRule="auto"/>
        <w:rPr>
          <w:sz w:val="20"/>
          <w:szCs w:val="20"/>
          <w:color w:val="auto"/>
        </w:rPr>
      </w:pPr>
      <w:r>
        <w:rPr>
          <w:rFonts w:ascii="Courier New" w:cs="Courier New" w:eastAsia="Courier New" w:hAnsi="Courier New"/>
          <w:sz w:val="15"/>
          <w:szCs w:val="15"/>
          <w:color w:val="auto"/>
        </w:rPr>
        <w:t>Active Power estimates that its share of the total expenses of the offering, excluding underwriting discounts and commissions, will be approximately $1,161,534.</w:t>
      </w:r>
    </w:p>
    <w:p>
      <w:pPr>
        <w:spacing w:after="0" w:line="174"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and the selling stockholder have agreed to indemnify the several underwriters against certain liabilities, including liabilities under the Securities Act of 1933.</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817" w:right="1440" w:bottom="1440" w:gutter="0" w:footer="0" w:header="0"/>
        </w:sectPr>
      </w:pPr>
    </w:p>
    <w:bookmarkStart w:id="68" w:name="page69"/>
    <w:bookmarkEnd w:id="68"/>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validity of the common stock offered hereby will be passed upon for us by Brobeck, Phleger &amp; Harrison LLP, Austin, Texas. Certain legal matters in connection with this offering will be passed upon for the underwriters by Vinson &amp; Elkins L.L.P., Austin, Texas.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Ernst &amp; Young LLP, independent auditors, have audited our financial statements at December 31, 1998 and 1999 and for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WHERE YOU CAN FIND ADDITIONAL INFORMATION ABOUT ACTIVE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on Form S-1, including exhibits, schedules and amendments, under the Securities Act of 1933 with respect to the shares of common stock to be sold in this offering. This prospectus does not contain all the information included in the registration statement. For further information about us and the shares of our common stock to be sold in this offering, please refer to this registration statement. Complete exhibits have been filed with our registration statement on Form S-1.</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contract, agreement or other document referred to in this prospectus and any portion of our registration statement or any other information from our filings at the Securities and Exchange Commission's public reference room at 450 Fifth Street, N.W., Washington, D.C. 20549. You can request copies of these documents, upon payment of a duplicating fee, by writing to the Securities and Exchange Commission. Please call the Securities and Exchange Commission at 1-800-SEC-0330 for further information about the public reference rooms. Our filings with the Securities and Exchange Commission, including our registration statement, are also available to you on the Securities and Exchange Commission's website, http://www.sec.gov.</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result of this offering, we will become subject to the information and reporting requirements of the Securities Exchange Act of 1934 and will file and furnish to our stockholders annual reports containing financial statements audited by our independent auditors, make available to our stockholders quarterly reports containing unaudited financial data for the first three quarters of each fiscal year, proxy statements and other information filed with the Securities and Exchange Commission.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reports, statements or other information on file at the public reference rooms or at the Securities and Exchange Commission's Website referenced above. You can also request copies of these documents, for a copying fee, by writing to the Commission.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43" w:right="1440" w:bottom="1440" w:gutter="0" w:footer="0" w:header="0"/>
        </w:sectPr>
      </w:pPr>
    </w:p>
    <w:bookmarkStart w:id="69" w:name="page70"/>
    <w:bookmarkEnd w:id="6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Years ended December 31, 1998 and 1999</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six months ended June 30, 1999 and 2000 (unaudited and pro forma)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Contents</w:t>
            </w:r>
          </w:p>
        </w:tc>
      </w:tr>
      <w:tr>
        <w:trPr>
          <w:trHeight w:val="699"/>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Report of Independent Auditors..............................................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400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Balance Sheets..............................................................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Operations....................................................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F-4</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Stockholders' Deficit.........................................</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Cash Flows....................................................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F-6</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Notes to Financial Statements...............................................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F-7</w:t>
            </w:r>
          </w:p>
        </w:tc>
      </w:tr>
      <w:tr>
        <w:trPr>
          <w:trHeight w:val="524"/>
        </w:trPr>
        <w:tc>
          <w:tcPr>
            <w:tcW w:w="326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F-1</w:t>
            </w:r>
          </w:p>
        </w:tc>
      </w:tr>
    </w:tbl>
    <w:p>
      <w:pPr>
        <w:sectPr>
          <w:pgSz w:w="11900" w:h="16838" w:orient="portrait"/>
          <w:cols w:equalWidth="0" w:num="1">
            <w:col w:w="10219"/>
          </w:cols>
          <w:pgMar w:left="240" w:top="643" w:right="1440" w:bottom="1440" w:gutter="0" w:footer="0" w:header="0"/>
        </w:sectPr>
      </w:pPr>
    </w:p>
    <w:bookmarkStart w:id="70" w:name="page71"/>
    <w:bookmarkEnd w:id="70"/>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Active Power, Inc. (the Company) as of December 31, 1998 and 1999, and the related statements of operations, stockholders'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Active Power, Inc. at December 31, 1998 and 1999, and the results of its operations and its cash flows for each of the three years in the period ended December 31, 1999, in conformity with accounting principles generally accepted in the United States.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26, 2000, except for the first paragraph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as to which the date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 and the second paragraph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Note 12 as to which the date is July 13, 2000</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817" w:right="1440" w:bottom="1440" w:gutter="0" w:footer="0" w:header="0"/>
        </w:sectPr>
      </w:pPr>
    </w:p>
    <w:bookmarkStart w:id="71" w:name="page72"/>
    <w:bookmarkEnd w:id="71"/>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3"/>
          </w:tcPr>
          <w:p>
            <w:pPr>
              <w:jc w:val="right"/>
              <w:ind w:right="724"/>
              <w:spacing w:after="0"/>
              <w:rPr>
                <w:sz w:val="20"/>
                <w:szCs w:val="20"/>
                <w:color w:val="auto"/>
              </w:rPr>
            </w:pPr>
            <w:r>
              <w:rPr>
                <w:rFonts w:ascii="Courier New" w:cs="Courier New" w:eastAsia="Courier New" w:hAnsi="Courier New"/>
                <w:sz w:val="15"/>
                <w:szCs w:val="15"/>
                <w:color w:val="auto"/>
              </w:rPr>
              <w:t>DECEMBER 31</w:t>
            </w:r>
          </w:p>
        </w:tc>
        <w:tc>
          <w:tcPr>
            <w:tcW w:w="24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6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ind w:left="82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and cash</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equivalents..........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2,800,145</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$ 24,856,497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1,467,129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1,467,129</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Short-term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4,735,815</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1,408,822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16,281,758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16,281,758</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net of allowance for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doubtful accounts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$5,040 and $25,976...</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219,186</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37,758</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195,742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195,742</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807,273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933,692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1,883,713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1,883,713</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5,331</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464,626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464,626</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sets...............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8,578,603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27,242,100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20,292,968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20,292,968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1,155,829</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1,123,723</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2,974,432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2,974,432</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9,734,432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$ 28,365,823</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$ 23,267,400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$ 23,267,400</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LIABILITIES AND STOCKHOLDERS'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(DEFICIT) EQUITY</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252,888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195,680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982,874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982,874</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203,091</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597,002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723,845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723,845</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notes payable........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114,203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55,324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liabilities........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570,182</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848,006</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1,706,719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1,706,719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Note payable, net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55,324</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non-current lia-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57,593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6,843</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Warrants with redemption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rights.................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3,614,000</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683,099</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4,468,849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1,706,719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1,706,719</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6,216,212 shares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outstanding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1998, 7,732,084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issued and outstanding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 1999 and 2000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(25,420,000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authorized, no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outstanding on an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24,574,843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54,234,509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69,644,570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1992 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$.001 par value, $.50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redemption value: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420,000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designated,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and outstanding;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$210,000 liquidation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Common Stock--$.001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par value; 30,000,000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10,047,391,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10,787,126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12,235,115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issued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outstanding in 1998,</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1999 and 2000,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(60,000,000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authorized,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29,696,998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outstanding on a pro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forma basis,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10,047</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10,787</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12,235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29,697</w:t>
            </w:r>
          </w:p>
        </w:tc>
      </w:tr>
    </w:tbl>
    <w:p>
      <w:pPr>
        <w:sectPr>
          <w:pgSz w:w="11900" w:h="16838" w:orient="portrait"/>
          <w:cols w:equalWidth="0" w:num="1">
            <w:col w:w="10219"/>
          </w:cols>
          <w:pgMar w:left="240" w:top="642" w:right="1440"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Treasury stock, at</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34,599 shares..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Additional paid-in</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803,778</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69,627,108</w:t>
            </w: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Accumulated deficit...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(15,531,574)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(25,719,918)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(37,022,345)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(37,022,345)</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Total stockholders'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 equity...</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(15,523,510)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(30,337,535)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$(48,083,889)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$ 21,560,681</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and stockholders'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 equity...</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9,734,432</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$ 28,365,823</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$ 23,267,400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$ 23,267,400</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039"/>
          </w:cols>
          <w:pgMar w:left="420" w:top="142" w:right="1440" w:bottom="1440" w:gutter="0" w:footer="0" w:header="0"/>
        </w:sectPr>
      </w:pPr>
    </w:p>
    <w:bookmarkStart w:id="73" w:name="page74"/>
    <w:bookmarkEnd w:id="73"/>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86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22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6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1"/>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137,590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915,318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1,046,811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473,421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861,190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$195,591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$3,449 and $313,241</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for the six months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1999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157,363</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1,238,456</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3,006,174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1,359,788</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1,697,043</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(19,773)</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(323,138)</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(1,959,363)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(886,367)</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(835,853)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5,000,000</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3,000,000</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$909,605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$21,514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$740,905 for the six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months ended June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 and 2000).........</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2,597,520</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4,045,103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4,440,983</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2,073,707</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3,657,655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$525,872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$39,556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$2,085,661 for the six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months ended June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 and 2000).........</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1,264,277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1,925,288</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3,971,503</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1,048,523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2,560,446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64,519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3,861,797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5,970,391</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10,043,554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3,186,749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9,357,908</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(3,881,570)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(6,293,529)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(7,002,917)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(1,073,116)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(10,193,761)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174,969</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338,753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438,964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174,102</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696,484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(31,817)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(33,892)</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(17,947)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(12,564)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(5,997)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(3,614,000)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(1,532,000)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9,890</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7,556</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4,892</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$(2,438,686)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Dividends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stock--all in arrears..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(1,283,213)</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(824,621)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(1,698,066)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Accretion of redeemable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redemption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amounts................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(1,505,400)</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(1,211,168)</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(13,711,995)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Beneficial conversion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feature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issuance.........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(21,952,765)</w:t>
            </w:r>
          </w:p>
        </w:tc>
        <w:tc>
          <w:tcPr>
            <w:tcW w:w="14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$(4,564,201)</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$(8,767,391)</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$(39,848,010)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$(4,474,475)</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$(26,475,335)</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9,589,463</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10,009,554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9,761,606</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10,983,192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conversion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ectPr>
          <w:pgSz w:w="11900" w:h="16838" w:orient="portrait"/>
          <w:cols w:equalWidth="0" w:num="1">
            <w:col w:w="10219"/>
          </w:cols>
          <w:pgMar w:left="240" w:top="643" w:right="1440"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share, basic and</w:t>
            </w:r>
          </w:p>
        </w:tc>
        <w:tc>
          <w:tcPr>
            <w:tcW w:w="3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diluted, assuming</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conversion of</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convertible preferred</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stock to common stock</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0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23,706,740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28,445,075</w:t>
            </w:r>
          </w:p>
        </w:tc>
      </w:tr>
    </w:tbl>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139"/>
          </w:cols>
          <w:pgMar w:left="320" w:top="142" w:right="1440" w:bottom="1440" w:gutter="0" w:footer="0" w:header="0"/>
        </w:sectPr>
      </w:pPr>
    </w:p>
    <w:bookmarkStart w:id="75" w:name="page76"/>
    <w:bookmarkEnd w:id="75"/>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1992</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w:t>
            </w:r>
          </w:p>
        </w:tc>
        <w:tc>
          <w:tcPr>
            <w:tcW w:w="17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COMMON STOCK</w:t>
            </w:r>
          </w:p>
        </w:tc>
        <w:tc>
          <w:tcPr>
            <w:tcW w:w="1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 STOCK</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4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 ------------------ -----------------</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5"/>
                <w:szCs w:val="15"/>
                <w:color w:val="auto"/>
              </w:rPr>
            </w:pPr>
          </w:p>
        </w:tc>
        <w:tc>
          <w:tcPr>
            <w:tcW w:w="14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OF</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PAR</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PAR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ACCUMULATED</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STOCKHOLDERS'</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AT COST</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(DEFICIT) EQUITY</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9,715,939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$ 9,716</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717,299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(2,892,273)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(2,167,241)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216,540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216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18,834</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19,050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(453,427)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(119,649)</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(3,738,418)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(3,738,418)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9,932,479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9,932</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(6,750,340)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(6,742,391)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114,912</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115</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11,157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11,272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(11,157)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(13,843)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(5,978,778)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(5,978,778)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10,047,391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10,047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(15,531,574)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(15,523,510)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739,735</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740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135,592</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136,332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Warrants issued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for services....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1,380,000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(66,180)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(7,061,267)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7,061,267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1,631,068</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(10,188,344)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(10,188,344)</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10,787,126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10,787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803,778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(25,719,918)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(30,337,535)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1,015,989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382,158</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383,174</w:t>
            </w:r>
          </w:p>
        </w:tc>
      </w:tr>
    </w:tbl>
    <w:p>
      <w:pPr>
        <w:sectPr>
          <w:pgSz w:w="11900" w:h="16838" w:orient="portrait"/>
          <w:cols w:equalWidth="0" w:num="1">
            <w:col w:w="11520"/>
          </w:cols>
          <w:pgMar w:left="240" w:top="643" w:right="1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(8,781,404)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8,781,404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3,139,807</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(13,711,995)</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(13,711,995)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(1,460,913)</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(237,153)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(1,698,066)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warrants with</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rights..........</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432,000</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432</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5,205,568</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5,206,000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(11,065,274)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1540" w:type="dxa"/>
            <w:vAlign w:val="bottom"/>
          </w:tcPr>
          <w:p>
            <w:pPr>
              <w:spacing w:after="0"/>
              <w:rPr>
                <w:sz w:val="15"/>
                <w:szCs w:val="15"/>
                <w:color w:val="auto"/>
              </w:rPr>
            </w:pPr>
          </w:p>
        </w:tc>
        <w:tc>
          <w:tcPr>
            <w:tcW w:w="386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 -------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 JUNE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30, 2000........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12,235,115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$12,235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34,599</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$(37,022,345)</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$ 48,083,889</w:t>
            </w:r>
          </w:p>
        </w:tc>
      </w:tr>
      <w:tr>
        <w:trPr>
          <w:trHeight w:val="175"/>
        </w:trPr>
        <w:tc>
          <w:tcPr>
            <w:tcW w:w="15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Pro forma at</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29,696,998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$29,697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34,599</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$69,627,108</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$(37,022,345)</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$ 21,560,681</w:t>
            </w:r>
          </w:p>
        </w:tc>
      </w:tr>
      <w:tr>
        <w:trPr>
          <w:trHeight w:val="175"/>
        </w:trPr>
        <w:tc>
          <w:tcPr>
            <w:tcW w:w="15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440"/>
          </w:cols>
          <w:pgMar w:left="240" w:top="141" w:right="219" w:bottom="1440" w:gutter="0" w:footer="0" w:header="0"/>
        </w:sectPr>
      </w:pPr>
    </w:p>
    <w:bookmarkStart w:id="77" w:name="page78"/>
    <w:bookmarkEnd w:id="77"/>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222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6"/>
                <w:szCs w:val="6"/>
                <w:color w:val="auto"/>
                <w:w w:val="81"/>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$(2,438,686)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Adjustment to reconcile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loss to cash used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Depreciation expense..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111,877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342,476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629,288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300,314</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361,652</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903</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Warrants issued for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deferred stock</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64,519</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fair value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of warrants with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redemption rights....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3,614,000</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1,532,000</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(26,600)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(192,586)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181,428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(46,222)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(157,984)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(658,283)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18,204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(126,419)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(112,270)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(950,021)</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(2,727)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10,853</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13,684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(459,295)</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353,878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(252,665)</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(57,208)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97,979</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787,194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46,172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156,919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393,911</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77,885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126,843</w:t>
            </w:r>
          </w:p>
        </w:tc>
      </w:tr>
      <w:tr>
        <w:trPr>
          <w:trHeight w:val="175"/>
        </w:trPr>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rPr>
              <w:t>Other non-current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(50,750)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(25,375)</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used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(3,914,101)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(5,899,281)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(2,581,270)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(536,172)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(6,661,921)</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maturity (purchase)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short-term</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(2,341,468)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(965,471)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3,326,993</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3,810,887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(14,872,936)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Purchases of property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(436,580)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(792,580)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(598,085)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(252,217)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(2,212,361)</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investing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(2,778,048)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(1,758,051)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2,728,908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3,558,670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(17,085,297)</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notes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Payments on notes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payable................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(82,215)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(98,258)</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(114,203)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(64,524)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(55,324)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Common Stock........</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19,050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11,272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136,332</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5,237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383,174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Convertible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net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issuance costs.........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5,970,004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9,975,008</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21,886,585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(8,930)</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exercise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warrants............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financing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6,256,839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9,888,022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21,908,714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(68,217)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357,850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(435,310)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2,230,690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22,056,352</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2,954,281</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(23,389,368)</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beginning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1,004,765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24,856,497</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end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$ 2,800,145</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$ 24,856,497</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$ 5,754,426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1,467,129</w:t>
            </w:r>
          </w:p>
        </w:tc>
      </w:tr>
      <w:tr>
        <w:trPr>
          <w:trHeight w:val="175"/>
        </w:trPr>
        <w:tc>
          <w:tcPr>
            <w:tcW w:w="2220" w:type="dxa"/>
            <w:vAlign w:val="bottom"/>
          </w:tcPr>
          <w:p>
            <w:pPr>
              <w:spacing w:after="0"/>
              <w:rPr>
                <w:sz w:val="15"/>
                <w:szCs w:val="15"/>
                <w:color w:val="auto"/>
              </w:rPr>
            </w:pPr>
          </w:p>
        </w:tc>
        <w:tc>
          <w:tcPr>
            <w:tcW w:w="6040" w:type="dxa"/>
            <w:vAlign w:val="bottom"/>
            <w:gridSpan w:val="10"/>
          </w:tcPr>
          <w:p>
            <w:pPr>
              <w:jc w:val="right"/>
              <w:ind w:right="4"/>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Supplemental disclosure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cash flow</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1,701</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43" w:right="1440" w:bottom="81" w:gutter="0" w:footer="0" w:header="0"/>
        </w:sectPr>
      </w:pPr>
    </w:p>
    <w:bookmarkStart w:id="78" w:name="page79"/>
    <w:bookmarkEnd w:id="78"/>
    <w:p>
      <w:pPr>
        <w:ind w:left="13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9019"/>
          </w:cols>
          <w:pgMar w:left="1440" w:top="141" w:right="1440" w:bottom="1440" w:gutter="0" w:footer="0" w:header="0"/>
        </w:sectPr>
      </w:pP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9019"/>
          </w:cols>
          <w:pgMar w:left="1440" w:top="141" w:right="1440" w:bottom="1440" w:gutter="0" w:footer="0" w:header="0"/>
          <w:type w:val="continuous"/>
        </w:sectPr>
      </w:pPr>
    </w:p>
    <w:bookmarkStart w:id="79" w:name="page80"/>
    <w:bookmarkEnd w:id="79"/>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DECEMBER 31,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Inc. was founded in 1992 for the purpose of developing and commercializing advances in the field of electromechanics. Since inception, Active Power has devoted its efforts principally to research and development and marketing of flywheel-based power-quality and storage products that provide consistent, reliable electric power required by today's digital economy. These efforts have included pursuing patent protection for intellectual property, successful production of initial prototypes and limited production volumes, development of manufacturing processes, raising capital and pursuing markets for Active Power's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INFORMATION AND PRO FORMA INFORMATION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financial information as of June 30, 2000 and for the six month periods ended June 30, 1999 and 2000 is unaudited, but reflects all adjustments, consisting of normal recurring accruals which are, in the opinion of management, necessary to fairly present such information in accordance with generally accepted accounting principles. Other assets at June 30, 2000 includes approximately $400,000 in deferred costs related to preparation for an anticipated initial public offer of common stock.</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Power's historical capital structure is not indicative of its prospective structure due to the automatic conversion of all shares of redeemable convertible preferred stock into common stock concurrent with the closing of the anticipated initial public offering of its common stock. Accordingly, Active Power has presented a pro forma balance sheet as if all outstanding shares of redeemable convertible preferred stock had converted into common stock as of June 30, 2000. Additionally, Active Power has presented pro forma basic and diluted loss per share assuming the conversion of all outstanding shares of redeemable convertible preferred stock into common stock from their respective dates of issuance.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 generally recognizes revenue at the date a unit is shipped. Active Power recognizes revenue related to units shipped for evaluation by the customer at the point of customer acceptance of the unit.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considers liquid investments with a maturity of three months or less when purchased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Short-term investments consist of debt securities with readily determinable fair values. Active Power accounts for highly liquid investments with maturities greater than three months but less than one year at date of acquisition as short-term investments. Active Power classifies short-term investments as held-to-maturity (due primarily to the limited time to maturity) and accordingly reports them at adjusted cost basis, which approximates fair value, using the specific identification method for securities sold.</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42" w:right="1440" w:bottom="1440" w:gutter="0" w:footer="0" w:header="0"/>
        </w:sectPr>
      </w:pPr>
    </w:p>
    <w:bookmarkStart w:id="80" w:name="page81"/>
    <w:bookmarkEnd w:id="80"/>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states inventories at the lower of cost or replacement cost, with cost being determined on a standard cost basis which does not differ materially from actual cost.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Inventories, before reserves,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0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4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662,436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$1,287,031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$1,502,772</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197,607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135,324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998,264</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295,315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194,426</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Evaluation units..............................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183,323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27,771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$1,069,747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$1,745,441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$2,695,462</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summarizes the changes in inventory reserves: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105,000</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(41,001)</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262,474</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549,275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$811,749</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Active Power carries property and equipment at cost, less accumulated depreciation. Active Power depreciates property and equipment using the straight-line method over the estimated useful lives of the assets (generally three to seven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 COSTS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has not capitalized patent appreciation fees and related costs because of uncertainties regarding net realizable value of the technology represented by the existing patent applications and ultimate recoverability. All patent costs have been expensed through December 31,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allowed by the Financial Accounting Standards Board's ("FASB") Statement of Financial Accounting Standards No. 123, Accounting for Stock-Based Compensation, Active Power accounts for its stock compensation arrangements with employees under the provisions of the Accounting Principles Board's Opinion No. 25, Accounting for Stock Issued to Employees. Deferred stock-based compensation is amortized utilizing the accelerated method prescribed in FASB Interpretation No. 28 over the vesting period which is generally four years.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42" w:right="1440" w:bottom="1440" w:gutter="0" w:footer="0" w:header="0"/>
        </w:sectPr>
      </w:pPr>
    </w:p>
    <w:bookmarkStart w:id="81" w:name="page82"/>
    <w:bookmarkEnd w:id="81"/>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Power's chief operating decision maker allocates resources and assesses the performance of its power management product development and sales activities as one segment.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Financial instruments which potentially subject Active Power to concentrations of credit risk consist of short-term investments and trade receivables. Active Power's short-term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table summarizes the changes in the allowance for doubtful accounts receivable: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4,577</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20,936</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$25,976</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customers accounted for a significant percentage of Active Power's total revenue as follows (customer H is a stockholder):</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A............................................................</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B............................................................</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C............................................................</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D............................................................</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E............................................................</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F............................................................</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G............................................................</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H............................................................</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2920" w:type="dxa"/>
            <w:vAlign w:val="bottom"/>
          </w:tcPr>
          <w:p>
            <w:pPr>
              <w:jc w:val="right"/>
              <w:ind w:right="2564"/>
              <w:spacing w:after="0"/>
              <w:rPr>
                <w:sz w:val="20"/>
                <w:szCs w:val="20"/>
                <w:color w:val="auto"/>
              </w:rPr>
            </w:pPr>
            <w:r>
              <w:rPr>
                <w:rFonts w:ascii="Courier New" w:cs="Courier New" w:eastAsia="Courier New" w:hAnsi="Courier New"/>
                <w:sz w:val="15"/>
                <w:szCs w:val="15"/>
                <w:color w:val="auto"/>
                <w:w w:val="96"/>
              </w:rPr>
              <w:t>F-9</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2" w:name="page83"/>
    <w:bookmarkEnd w:id="82"/>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Active Power expenses advertising costs as incurred. These expenses were not material in 1997, 1998 or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computes loss per share in accordance with the FASB's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Except for the three months ended March 31, 2000, Active Power's calculation of diluted loss per share excludes shares of common stock issuable upon exercise of warrants and employee stock options because inclusion would be antidilutive.</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Under SAB 98, all options, warrants or other potentially dilutive instruments issued for nominal consideration prior to the anticipated effective date of an initial public offering are required to be included in the calculation of basic and diluted loss per share as if they were outstanding for all periods presented. Active Power has not issued any such securities for nominal consideration.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following table sets forth the computation of basic and diluted net loss per share: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SIX MONTHS</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5"/>
        </w:trPr>
        <w:tc>
          <w:tcPr>
            <w:tcW w:w="22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Net loss to common</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$(4,564,201)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$(8,767,391)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$(39,848,010)</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(26,475,335)</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outstanding....</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9,798,036</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9,978,796</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10,150,138</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11,374,608</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stock subject to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(208,574)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(189,389)</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(140,584)</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(391,416)</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computing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9,589,462</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10,009,554</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10,983,192</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and diluted net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per share.........</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Pro forma (unaudited):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above...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10,009,554</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10,983,192</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adjustment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to reflect assumed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conversion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convertible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13,697,186</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17,461,883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computing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23,706,740</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28,445,075</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42" w:right="1440" w:bottom="1130" w:gutter="0" w:footer="0" w:header="0"/>
        </w:sectPr>
      </w:pPr>
    </w:p>
    <w:bookmarkStart w:id="83" w:name="page84"/>
    <w:bookmarkEnd w:id="83"/>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 consist of the following at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$1,036,883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$ 1,391,233</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Demonstration units.................................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107,321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107,321</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Computers and purchased software....................</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319,131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424,525</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63,037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63,037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179,825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316,541</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1,706,197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2,302,657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(550,368)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(1,178,934)</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$1,155,829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$ 1,123,723</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AND REDEEMABLE PREFERRED STOCKS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Active Power has authorized 10,420,000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par value preferred stock as follows (shares designated are the same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issued except for Series E for which 2,730,954 are designated):</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CONVERTIBLE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TO NUMBER</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CUMULATIVE</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CARRYING</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LIQUIDATION</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OF COMMON</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DIVIDENDS</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ISSUED</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IN ARREARS</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1992 Preferred Stock....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569,406</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2,099,396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1,194,955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1,229,917</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329,457</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1,847,292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7,582,452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4,246,072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4,750,732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1,096,438</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1,726,620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9,201,127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7,163,841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3,729,499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1,163,836</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1,652,894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12,129,507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11,233,982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3,570,251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1,233,974</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1,935,872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23,222,027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22,123,945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4,181,484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171,180</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8,152,084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54,236,609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46,172,795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17,461,883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$3,994,885</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Holders of the 1992 Preferred Stock are not entitled to dividends. The 1992 Preferred Stock shall be redeemed by Active Power at such time as the Board of Directors determines, in its sole discretion, that Active Power has available funds in excess of anticipated needs. No dividends may be declared or paid on Common Stock so long as any shares of 1992 Preferred Stock are issued and outstanding. The redemption price of the 1992 Preferred Stock is $0.50 per share. Subject to the rights of the Series A, Series B, Series C, Series D and Series E Convertible Preferred Stock, in the event of involuntary liquidation, holders of the 1992 Preferred Stock shall be entitled to receive $0.50 per share, before any distribution of assets is made to holders of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CONVERTIBLE PREFERRED STOCK</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Series A, Series B, Series C, Series D, and Series E Redeemable Convertible Preferred Stock is convertible into Common Stock at the option of the holder at any time based upon the conversion price defined in the related Preferred Stock agreements. Each share of Convertible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42" w:right="1440" w:bottom="1440" w:gutter="0" w:footer="0" w:header="0"/>
        </w:sectPr>
      </w:pPr>
    </w:p>
    <w:bookmarkStart w:id="84" w:name="page85"/>
    <w:bookmarkEnd w:id="8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Preferred Stock shall automatically be converted into shares of Common Stock in the event of a public offering whose offering price and whose gross proceeds equals or exceeds $7.88 per share and $20.0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RIGHTS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Beginning in August 2002, the holders of the Series A, Series B, Series C, Series D and Series E Convertible Preferred Stock, upon proper election by the holders and notification to Active Power, may require Active Power to redeem such preferred stock in the following amounts:</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REDEMPTION PERIOD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180" w:space="720"/>
            <w:col w:w="5319"/>
          </w:cols>
          <w:pgMar w:left="240" w:top="64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60 days after the date of the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One-third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Notice (the "First Mandatory Redemption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First anniversary of the First Mandatory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One-half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Redemption Date</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Second anniversary of the First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remaining shares outstanding</w:t>
      </w:r>
    </w:p>
    <w:p>
      <w:pPr>
        <w:spacing w:after="0" w:line="5"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Mandatory Redemption Date</w:t>
      </w:r>
    </w:p>
    <w:p>
      <w:pPr>
        <w:sectPr>
          <w:pgSz w:w="11900" w:h="16838" w:orient="portrait"/>
          <w:cols w:equalWidth="0" w:num="1">
            <w:col w:w="10219"/>
          </w:cols>
          <w:pgMar w:left="240" w:top="642" w:right="1440" w:bottom="1440" w:gutter="0" w:footer="0" w:header="0"/>
          <w:type w:val="continuous"/>
        </w:sectPr>
      </w:pPr>
    </w:p>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Upon redemption, the holders of the Series A, Series B, Series C, Series D and Series E Convertible Preferred Stock shall be entitled to receive the greater of (i) the fair market value of the shares or (ii) $0.70, 0.94, 1.61,</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2.80, and 5.25, respectively, plus any accrued or declared but unpaid dividends as of the redemption date. The redemption price shall be adjusted for all redemptions of shares made subsequent to the initial Redemption Date to include accrued interest at the prime rate published in The Wall Street Journal. The carrying value of redeemable convertible preferred stock is accreted to the estimated fair value using the interest method to the redemption date. The accretion is reflected as a charge to loss to common stockholders.</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the event of voluntary or involuntary liquidation of Active Power, the holders of the Series A, Series B, Series C, Series D and Series E Convertible Preferred Stock shall be entitled to receive, prior and in preference to any distributions of any of the assets of Active Power to the holders of the 1992 Preferred Stock and Common Stock, an amount for each share of $0.70, 0.94, 1.61, 2.80, and 5.25, respectively, plus accrued or declared but unpaid dividends.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CONVERSION FEATURE</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Series E Convertible Preferred Stock issuance price (after giving effect to the 2.16-for-1 Common Stock split ratio discussed in Note 12) was lower than the value determined subsequently by the board of directors. Active Power recorded this difference as a beneficial conversion feature, increasing net loss to common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AND DIVIDENDS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holders of Series A, Series B, Series C, Series D and Series E Convertible Preferred Stock are entitled to voting rights equal to Common Stock and shall accrue annual cumulative cash dividends of $0.056, $0.075, $0.129, $0.224 and $0.42 per share, respectively, payable prior and in preference to any dividends on Common Stock out of funds legally available. Cumulative dividends with respect to the Series A, Series B, Series C, Series D and Series E Preferred Stock shall cease to be payable if the Series A, Series B, Series C, Series D and Series E Convertible Preferred Stock are converted to Common Stock prior to August 2002 in connection with Active Power's sale of shares of Common Stock in a firm commitment underwritten initial public offering or upon approval of a sufficient number of Series A, Series B, Series C, Series D and Series E Convertible Preferred stockholders as determined in Active Power's Certificate of Incorporation.</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42" w:right="1440" w:bottom="1440" w:gutter="0" w:footer="0" w:header="0"/>
          <w:type w:val="continuous"/>
        </w:sectPr>
      </w:pPr>
    </w:p>
    <w:bookmarkStart w:id="85" w:name="page86"/>
    <w:bookmarkEnd w:id="85"/>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Changes in redeemable stocks are as follows: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99"/>
        </w:trPr>
        <w:tc>
          <w:tcPr>
            <w:tcW w:w="49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Carrying</w:t>
            </w:r>
          </w:p>
        </w:tc>
      </w:tr>
      <w:tr>
        <w:trPr>
          <w:trHeight w:val="175"/>
        </w:trPr>
        <w:tc>
          <w:tcPr>
            <w:tcW w:w="49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1996.........................</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2,416,698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$ 4,960,436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1,726,620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6,000,004</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1997.........................</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4,143,318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11,786,222</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1,652,894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10,000,008</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1998.........................</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5,796,212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24,574,843</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1,935,870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21,952,765</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1999.........................</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7,732,082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$54,234,509</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March 1995, Active Power issued a warrant to purchase 432,000 shares of Common Stock with an exercise price of $0.07 per share. The warrant is exercisable from the date of issuance until the earlier of the consummation of a public offering of Common Stock or March 2002. In the event the holders of the Series A Convertible Preferred Stock have elected to require Active Power to redeem the outstanding Series A Convertible Preferred Stock, then the holders of Common Stock purchased under this warrant may require Active Power to repurchase such Common Stock at the greater of the exercise price plus any declared and unpaid dividends or the fair market value of the Common Stock at the Redemption Date. Because of this redemption provision, Active Power has classified these warrants as a liability at their estimated fair value and recorded the changes in fair value of $3.6 million against income in 1999. Active Power estimated the fair value of the warrants using the Black-Scholes pricing model with the following assumptions: expected volatility of 50%; expected life of 1 year, expected dividend yield of 0%, and risk-free rate of 6%.</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November 1999, Active Power issued warrants to purchase 432,000 shares of Common Stock to two purchasers of the Series E Preferred Stock in conjunction with the placement of preferred stock and strategic alliance agreements with those stockholders. The warrants have exercise prices of $5.25 per share. The warrants were fully vested, non-forfeitable and exercisable upon issuance and expire in November 2006. Active Power estimated the fair value of the warrants using the Black-Scholes pricing model with the following assumptions: expected volatility of 50%, expected life of 1 year, expected dividend yield of 0%, and risk-free rate of 6%. Active Power expensed the estimated fair value of these warrants of approximately $1.3 million in 1999.</w:t>
      </w:r>
    </w:p>
    <w:p>
      <w:pPr>
        <w:spacing w:after="0" w:line="181"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At December 31, 1998 and 1999, 432,000 and 864,000 warrants to purchase shares of common stock were outstanding and exercisable, respectively.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43" w:right="1440" w:bottom="1440" w:gutter="0" w:footer="0" w:header="0"/>
        </w:sectPr>
      </w:pPr>
    </w:p>
    <w:bookmarkStart w:id="86" w:name="page87"/>
    <w:bookmarkEnd w:id="86"/>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exercise prices of the warrants is to be adjusted only for capital restructures and stock splits, and not for subsequent sales of Common Stock. The weighted average exercise price of warrants outstanding at December 31, 1999 was $2.67 per share. The weighted average fair value of warrants granted during the year ended December 31, 1999 was $3.19.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AGREEMENTS</w:t>
      </w:r>
    </w:p>
    <w:p>
      <w:pPr>
        <w:spacing w:after="0" w:line="180" w:lineRule="exact"/>
        <w:rPr>
          <w:sz w:val="20"/>
          <w:szCs w:val="20"/>
          <w:color w:val="auto"/>
        </w:rPr>
      </w:pPr>
    </w:p>
    <w:p>
      <w:pPr>
        <w:ind w:right="3499" w:firstLine="364"/>
        <w:spacing w:after="0" w:line="246" w:lineRule="auto"/>
        <w:rPr>
          <w:sz w:val="20"/>
          <w:szCs w:val="20"/>
          <w:color w:val="auto"/>
        </w:rPr>
      </w:pPr>
      <w:r>
        <w:rPr>
          <w:rFonts w:ascii="Courier New" w:cs="Courier New" w:eastAsia="Courier New" w:hAnsi="Courier New"/>
          <w:sz w:val="15"/>
          <w:szCs w:val="15"/>
          <w:color w:val="auto"/>
        </w:rPr>
        <w:t>Active Power has reserved approximately 5,443,200 shares of its Common Stock for issuance under its 1993 Stock Option Plan. The options are immediately exercisable upon grant and vest over periods ranging from immediate to four years. Active Power has repurchase rights for unvested shares purchased by optionees. At December 31, 1998 and 1999, 149,066 and 217,957 shares, respectively, that were purchased by optionees remained unvested and subject to repurchase.</w:t>
      </w:r>
    </w:p>
    <w:p>
      <w:pPr>
        <w:spacing w:after="0" w:line="179"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 summary of Common Stock option activity during the years ended December 31, 1997, 1998 and 1999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29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EXERCISE PRICES EXERCISE PRICES</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1,136,160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1,452,060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(216,540)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2,371,680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699,840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(114,912)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(56,160)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2,900,448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1,276,560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(739,735)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(89,346)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3,347,927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.35</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748,038 shares were available for future grants.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is a summary of options outstanding and exercisable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WEIGHTED</w:t>
            </w:r>
          </w:p>
        </w:tc>
        <w:tc>
          <w:tcPr>
            <w:tcW w:w="780" w:type="dxa"/>
            <w:vAlign w:val="bottom"/>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780" w:type="dxa"/>
            <w:vAlign w:val="bottom"/>
          </w:tcPr>
          <w:p>
            <w:pPr>
              <w:spacing w:after="0"/>
              <w:rPr>
                <w:sz w:val="15"/>
                <w:szCs w:val="15"/>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RANGE OF</w:t>
            </w: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EXERCISE</w:t>
            </w:r>
          </w:p>
        </w:tc>
        <w:tc>
          <w:tcPr>
            <w:tcW w:w="3860" w:type="dxa"/>
            <w:vAlign w:val="bottom"/>
          </w:tcPr>
          <w:p>
            <w:pPr>
              <w:spacing w:after="0"/>
              <w:rPr>
                <w:sz w:val="15"/>
                <w:szCs w:val="15"/>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LIFE (IN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9"/>
              </w:rPr>
              <w:t>PRICES</w:t>
            </w:r>
          </w:p>
        </w:tc>
        <w:tc>
          <w:tcPr>
            <w:tcW w:w="38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YEARS)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$1.97</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9"/>
              </w:rPr>
              <w:t>................................30,240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.09</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853,200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.42</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1,680,407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$1.04</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784,080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3,347,927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.35</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jc w:val="right"/>
              <w:ind w:right="1511"/>
              <w:spacing w:after="0"/>
              <w:rPr>
                <w:sz w:val="20"/>
                <w:szCs w:val="20"/>
                <w:color w:val="auto"/>
              </w:rPr>
            </w:pPr>
            <w:r>
              <w:rPr>
                <w:rFonts w:ascii="Courier New" w:cs="Courier New" w:eastAsia="Courier New" w:hAnsi="Courier New"/>
                <w:sz w:val="15"/>
                <w:szCs w:val="15"/>
                <w:color w:val="auto"/>
              </w:rPr>
              <w:t>F-14</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87" w:name="page88"/>
    <w:bookmarkEnd w:id="87"/>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Stock options vested as of December 31, 1998 and 1999 were 1,535,579 and 2,574,431,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 the stock options granted to employees during the year ended December 31, 1999, 1,275,480 had exercise prices below the fair value determined subsequently by the board of directors of the underlying shares of Common Stock on the date of grant. As a result, Active Power recorded unearned stock compensation of $7,061,267 of which $1,631,068 was amortized to non-cash compensation during the year ended December 31, 1999. The remaining unearned compensation will be recognized as non-cash compensation over the remaining vesting period of the options of approximately 3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with the following assumptions.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460" w:type="dxa"/>
            <w:vAlign w:val="bottom"/>
          </w:tcPr>
          <w:p>
            <w:pPr>
              <w:spacing w:after="0"/>
              <w:rPr>
                <w:sz w:val="15"/>
                <w:szCs w:val="15"/>
                <w:color w:val="auto"/>
              </w:rPr>
            </w:pPr>
          </w:p>
        </w:tc>
        <w:tc>
          <w:tcPr>
            <w:tcW w:w="246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r>
      <w:tr>
        <w:trPr>
          <w:trHeight w:val="175"/>
        </w:trPr>
        <w:tc>
          <w:tcPr>
            <w:tcW w:w="44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Risk-free interest rate.........................</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Weighted-average expected life of the options...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Dividend rate...................................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Assumed volatility..............................</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Weighted average fair value of options granted: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 equal to fair value of stock 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Exercise price less than fair value of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on 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w:t>
            </w:r>
          </w:p>
        </w:tc>
      </w:tr>
    </w:tbl>
    <w:p>
      <w:pPr>
        <w:spacing w:after="0" w:line="354" w:lineRule="exact"/>
        <w:rPr>
          <w:sz w:val="20"/>
          <w:szCs w:val="20"/>
          <w:color w:val="auto"/>
        </w:rPr>
      </w:pPr>
    </w:p>
    <w:p>
      <w:pPr>
        <w:jc w:val="both"/>
        <w:ind w:right="3599" w:firstLine="364"/>
        <w:spacing w:after="0" w:line="247" w:lineRule="auto"/>
        <w:rPr>
          <w:sz w:val="20"/>
          <w:szCs w:val="20"/>
          <w:color w:val="auto"/>
        </w:rPr>
      </w:pPr>
      <w:r>
        <w:rPr>
          <w:rFonts w:ascii="Courier New" w:cs="Courier New" w:eastAsia="Courier New" w:hAnsi="Courier New"/>
          <w:sz w:val="15"/>
          <w:szCs w:val="15"/>
          <w:color w:val="auto"/>
        </w:rPr>
        <w:t>For purposes of pro forma disclosure, the estimated fair value of the options is amortized to expense over the options' vesting period. Active Power's pro forma information under Statement No. 123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82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3180" w:type="dxa"/>
            <w:vAlign w:val="bottom"/>
          </w:tcPr>
          <w:p>
            <w:pPr>
              <w:spacing w:after="0"/>
              <w:rPr>
                <w:sz w:val="15"/>
                <w:szCs w:val="15"/>
                <w:color w:val="auto"/>
              </w:rPr>
            </w:pPr>
          </w:p>
        </w:tc>
        <w:tc>
          <w:tcPr>
            <w:tcW w:w="364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stock-based compensation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15,977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1,712,263</w:t>
            </w: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(3,754,395)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(6,014,504)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(10,269,539)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(4,580,178)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(8,803,117)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(39,929,205)</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basic and diluted loss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 Because the determination of fair value of all employee stock options granted after such time as Active Power becomes a public entity will include an expected volatility factor and because, for pro forma disclosure purposes, the estimated fair value of Active Power's employee stock options is treated as if amortized to expense over the options' vesting period, the effects of applying Statement No. 123 for pro forma disclosures are not necessarily indicative of future amounts.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43" w:right="1440" w:bottom="1440" w:gutter="0" w:footer="0" w:header="0"/>
        </w:sectPr>
      </w:pPr>
    </w:p>
    <w:bookmarkStart w:id="88" w:name="page89"/>
    <w:bookmarkEnd w:id="8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 reserved at December 31, 1999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For conversion of Convertible Preferred Stock.....................</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18,423,266</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exercise of Common Stock Warrants.............................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864,000</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issuance under the 1993 Stock Option Plan.....................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5,443,200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December 31, 1999, Active Power has net operating loss carryforwards of approximately $14,432,000 for federal tax reporting purposes and research and development credit carryforwards of approximately $391,000. The net operating loss and research and development credit carryforwards begin to expire in 2007. Utilization of the net operating losses and credits may be subject to a substantial annual limitation due to the "change in ownership" provisions of the Internal Revenue Code of 1986. The annual limitation may result in the expiration of net operating losses and credits before utilization.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Significant components of Active Power's deferred tax liabilities and assets as of December 31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compensation..........................</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Reserves and allowances........................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Put warrants...................................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1,337,000</w:t>
            </w:r>
          </w:p>
        </w:tc>
      </w:tr>
      <w:tr>
        <w:trPr>
          <w:trHeight w:val="175"/>
        </w:trPr>
        <w:tc>
          <w:tcPr>
            <w:tcW w:w="45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Net operating loss and tax credit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carryforwards.................................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5,730,000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deferred tax assets........................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8,124,000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 for net deferred tax assets..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(4,902,000)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(8,124,000)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deferred taxes...............................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Active Power has established a valuation allowance equal to the net deferred tax assets because of uncertainties regarding its ability to generate sufficient taxable income during the carryforward period to utilize the net operating loss carryforwards.</w:t>
      </w:r>
    </w:p>
    <w:p>
      <w:pPr>
        <w:spacing w:after="0" w:line="177"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Power's benefit for income taxes differs from the expected benefit amount computed by applying the statutory federal income tax rate of 34% to loss before taxes due to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r>
      <w:tr>
        <w:trPr>
          <w:trHeight w:val="175"/>
        </w:trPr>
        <w:tc>
          <w:tcPr>
            <w:tcW w:w="228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w:t>
            </w:r>
          </w:p>
        </w:tc>
        <w:tc>
          <w:tcPr>
            <w:tcW w:w="680" w:type="dxa"/>
            <w:vAlign w:val="bottom"/>
          </w:tcPr>
          <w:p>
            <w:pPr>
              <w:spacing w:after="0"/>
              <w:rPr>
                <w:sz w:val="15"/>
                <w:szCs w:val="15"/>
                <w:color w:val="auto"/>
              </w:rPr>
            </w:pPr>
          </w:p>
        </w:tc>
      </w:tr>
      <w:tr>
        <w:trPr>
          <w:trHeight w:val="175"/>
        </w:trPr>
        <w:tc>
          <w:tcPr>
            <w:tcW w:w="2280" w:type="dxa"/>
            <w:vAlign w:val="bottom"/>
          </w:tcPr>
          <w:p>
            <w:pPr>
              <w:spacing w:after="0"/>
              <w:rPr>
                <w:sz w:val="15"/>
                <w:szCs w:val="15"/>
                <w:color w:val="auto"/>
              </w:rPr>
            </w:pPr>
          </w:p>
        </w:tc>
        <w:tc>
          <w:tcPr>
            <w:tcW w:w="2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2280" w:type="dxa"/>
            <w:vAlign w:val="bottom"/>
          </w:tcPr>
          <w:p>
            <w:pPr>
              <w:spacing w:after="0"/>
              <w:rPr>
                <w:sz w:val="20"/>
                <w:szCs w:val="20"/>
                <w:color w:val="auto"/>
              </w:rPr>
            </w:pPr>
            <w:r>
              <w:rPr>
                <w:rFonts w:ascii="Courier New" w:cs="Courier New" w:eastAsia="Courier New" w:hAnsi="Courier New"/>
                <w:sz w:val="15"/>
                <w:szCs w:val="15"/>
                <w:color w:val="auto"/>
              </w:rPr>
              <w:t>Federal statutory rate..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 (34.0)%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expense................</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State taxes, net of</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federal benefit........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Permanent items and</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valuation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allowance..............</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34.0</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F-16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42" w:right="1440" w:bottom="1130" w:gutter="0" w:footer="0" w:header="0"/>
        </w:sectPr>
      </w:pPr>
    </w:p>
    <w:bookmarkStart w:id="89" w:name="page90"/>
    <w:bookmarkEnd w:id="8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Payable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On March 21, 1997, Active Power entered into a $350,000 note payable agreement with a financial institution. This note bears interest at 15.132%, is secured by furniture and equipment and is payable in monthly installments of principal and interest of $11,013 maturing March 1, 2000 with a final payment of $35,000.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leases its office facility under an operating lease agreement. The office space and manufacturing facilities lease is noncancelable and obligates Active Power to pay taxes and maintenance costs. In addition Active Power leases certain equipment under a noncancelable lease.</w:t>
      </w:r>
    </w:p>
    <w:p>
      <w:pPr>
        <w:spacing w:after="0" w:line="177"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Future minimum payments under these leases at December 31, 1999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341,393</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380,817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392,777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98,194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Total future minimum lease payments..............................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$1,213,181</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Rent expense for the years ended December 31, 1997, 1998, and 1999 was $147,324, $276,637, and $353,502,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entered into a consulting services agreement with the Chairman of the board of directors. In accordance with the consulting agreement, the Chairman receives $6,250 in consulting fees monthly. During 1997, 1998 and 1999, Active Power paid $75,000 in fees per year under this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 Plan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1997, 1998, and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Line of Credit</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August 3, 1999, Active Power entered into a line of credit agreement with a financial institution in the amount of $1,000,000. There are no amounts outstanding under this line of credit at December 31, 1999. The line of credit bears interest at the lender's prime rate and matures on August 2, 2000. The line of credit is secured by Active Power's tangible property.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Development Funding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January 1999, Active Power entered into a contract development agreement with a third party. In accordance with the agreement, the third party provided funding to allow Active Power to accelerate development of its products in a certain market application in exchange for the third party obtaining exclusive marketing rights for the product in that application. The exclusive marketing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43" w:right="1440" w:bottom="1440" w:gutter="0" w:footer="0" w:header="0"/>
        </w:sectPr>
      </w:pPr>
    </w:p>
    <w:bookmarkStart w:id="90" w:name="page91"/>
    <w:bookmarkEnd w:id="90"/>
    <w:p>
      <w:pPr>
        <w:jc w:val="center"/>
        <w:ind w:right="2952"/>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rights are subject to the third party meeting specified minimum orders of the product. The two companies share ownership of the resulting intellectual property. Active Power completed the contract in 1999 and collected the full $5,000,000 development funding specified in the contract, which it recognized as it achieved the product performance milestones specified in the agreement. Active Power does not separately account for efforts spent by its engineers on research and development by the various project. Because this project involved development of Active Power's product already contemplated by management and for which Active Power co-owns the resulting intellectual property, all of the costs associated with this contract are classified in research and development expense.</w:t>
      </w:r>
    </w:p>
    <w:p>
      <w:pPr>
        <w:spacing w:after="0" w:line="181" w:lineRule="exact"/>
        <w:rPr>
          <w:sz w:val="20"/>
          <w:szCs w:val="20"/>
          <w:color w:val="auto"/>
        </w:rPr>
      </w:pPr>
    </w:p>
    <w:p>
      <w:pPr>
        <w:ind w:left="367" w:hanging="367"/>
        <w:spacing w:after="0"/>
        <w:tabs>
          <w:tab w:leader="none" w:pos="36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INFORMATION</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for the year ended December 31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$867,775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$6,014,411</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Foreign countries...............................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32,400</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$915,318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$6,046,811</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left="7" w:right="3219" w:firstLine="364"/>
        <w:spacing w:after="0" w:line="247" w:lineRule="auto"/>
        <w:rPr>
          <w:sz w:val="20"/>
          <w:szCs w:val="20"/>
          <w:color w:val="auto"/>
        </w:rPr>
      </w:pPr>
      <w:r>
        <w:rPr>
          <w:rFonts w:ascii="Courier New" w:cs="Courier New" w:eastAsia="Courier New" w:hAnsi="Courier New"/>
          <w:sz w:val="15"/>
          <w:szCs w:val="15"/>
          <w:color w:val="auto"/>
        </w:rPr>
        <w:t>Revenues from foreign countries above represent shipments to customers located primarily in Europe. Active Power has no property, plant or equipment located outside the United States.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12. SUBSEQUENT EVENTS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During the six months ended June 30, 2000, Active Power granted 1,101,924 stock options to employees with exercise prices below the fair value determined subsequently by the board of directors of the underlying shares and, accordingly, recorded $8,781,404 additional unearned stock compensation which will be recognized as non-cash compensation over the options' vesting period of four years.</w:t>
      </w:r>
    </w:p>
    <w:p>
      <w:pPr>
        <w:spacing w:after="0" w:line="178"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On July 13, 2000, Active Power's Board of Directors approved a 2.16-for-1 common stock split in the form of a dividend of 1.16 shares of common stock for each share of common stock outstanding on July 20, 2000. All share and per share amounts in the financial statements and accompanying notes have been restated to reflect the reincorporation and stock split as if they had taken place at the inception of Active Power.</w:t>
      </w:r>
    </w:p>
    <w:p>
      <w:pPr>
        <w:spacing w:after="0" w:line="35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6"/>
          </w:cols>
          <w:pgMar w:left="233" w:top="643" w:right="1440" w:bottom="1440" w:gutter="0" w:footer="0" w:header="0"/>
        </w:sectPr>
      </w:pPr>
    </w:p>
    <w:bookmarkStart w:id="91" w:name="page92"/>
    <w:bookmarkEnd w:id="91"/>
    <w:p>
      <w:pPr>
        <w:ind w:left="2720"/>
        <w:spacing w:after="0"/>
        <w:rPr>
          <w:sz w:val="20"/>
          <w:szCs w:val="20"/>
          <w:color w:val="auto"/>
        </w:rPr>
      </w:pPr>
      <w:r>
        <w:rPr>
          <w:rFonts w:ascii="Courier New" w:cs="Courier New" w:eastAsia="Courier New" w:hAnsi="Courier New"/>
          <w:sz w:val="15"/>
          <w:szCs w:val="15"/>
          <w:color w:val="auto"/>
        </w:rPr>
        <w:t>[INSIDE BACK COVER]</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[Description of graphics: This graphic depicts "The CleanSource Flywheel Technology" and is an expanded view with a cross-section showing the components of the Active Power flywheel assembly.]</w:t>
      </w:r>
    </w:p>
    <w:p>
      <w:pPr>
        <w:sectPr>
          <w:pgSz w:w="11900" w:h="16838" w:orient="portrait"/>
          <w:cols w:equalWidth="0" w:num="1">
            <w:col w:w="10219"/>
          </w:cols>
          <w:pgMar w:left="240" w:top="642" w:right="1440" w:bottom="1440" w:gutter="0" w:footer="0" w:header="0"/>
        </w:sectPr>
      </w:pPr>
    </w:p>
    <w:bookmarkStart w:id="92" w:name="page93"/>
    <w:bookmarkEnd w:id="92"/>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50"/>
        </w:trPr>
        <w:tc>
          <w:tcPr>
            <w:tcW w:w="2620" w:type="dxa"/>
            <w:vAlign w:val="bottom"/>
          </w:tcPr>
          <w:p>
            <w:pPr>
              <w:spacing w:after="0"/>
              <w:rPr>
                <w:sz w:val="24"/>
                <w:szCs w:val="24"/>
                <w:color w:val="auto"/>
              </w:rPr>
            </w:pPr>
          </w:p>
        </w:tc>
        <w:tc>
          <w:tcPr>
            <w:tcW w:w="406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699"/>
        </w:trPr>
        <w:tc>
          <w:tcPr>
            <w:tcW w:w="2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2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Prospectus Summary.......................................................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Risk Factors.............................................................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Cautionary Note Regarding Forward-Looking</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Dividend Policy..........................................................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Dilution.................................................................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Selected Financial Data..................................................</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Operations...........................................................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Related Transactions.....................................................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Principal and Selling Stockholders.......................................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Underwriting.............................................................</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Additional Information About Active Power.............</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w w:val="99"/>
              </w:rPr>
              <w:t>Index to Financial Statements</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r>
        <w:trPr>
          <w:trHeight w:val="524"/>
        </w:trPr>
        <w:tc>
          <w:tcPr>
            <w:tcW w:w="2620" w:type="dxa"/>
            <w:vAlign w:val="bottom"/>
          </w:tcPr>
          <w:p>
            <w:pPr>
              <w:spacing w:after="0"/>
              <w:rPr>
                <w:sz w:val="24"/>
                <w:szCs w:val="2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r>
      <w:tr>
        <w:trPr>
          <w:trHeight w:val="350"/>
        </w:trPr>
        <w:tc>
          <w:tcPr>
            <w:tcW w:w="2620" w:type="dxa"/>
            <w:vAlign w:val="bottom"/>
          </w:tcPr>
          <w:p>
            <w:pPr>
              <w:ind w:left="260"/>
              <w:spacing w:after="0"/>
              <w:rPr>
                <w:sz w:val="20"/>
                <w:szCs w:val="20"/>
                <w:color w:val="auto"/>
              </w:rPr>
            </w:pPr>
            <w:r>
              <w:rPr>
                <w:rFonts w:ascii="Courier New" w:cs="Courier New" w:eastAsia="Courier New" w:hAnsi="Courier New"/>
                <w:sz w:val="15"/>
                <w:szCs w:val="15"/>
                <w:color w:val="auto"/>
              </w:rPr>
              <w:t>Through and including</w:t>
            </w:r>
          </w:p>
        </w:tc>
        <w:tc>
          <w:tcPr>
            <w:tcW w:w="4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2000 (the 25th day after the date of this</w:t>
            </w:r>
          </w:p>
        </w:tc>
        <w:tc>
          <w:tcPr>
            <w:tcW w:w="400" w:type="dxa"/>
            <w:vAlign w:val="bottom"/>
          </w:tcPr>
          <w:p>
            <w:pPr>
              <w:spacing w:after="0"/>
              <w:rPr>
                <w:sz w:val="24"/>
                <w:szCs w:val="24"/>
                <w:color w:val="auto"/>
              </w:rPr>
            </w:pPr>
          </w:p>
        </w:tc>
      </w:tr>
    </w:tbl>
    <w:p>
      <w:pPr>
        <w:spacing w:after="0" w:line="5"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8,000,000 Shares</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[ACTIVE POWER LOGO]</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CIBC World Markets</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80" w:lineRule="exact"/>
        <w:rPr>
          <w:sz w:val="20"/>
          <w:szCs w:val="20"/>
          <w:color w:val="auto"/>
        </w:rPr>
      </w:pPr>
    </w:p>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sectPr>
      </w:pPr>
    </w:p>
    <w:bookmarkStart w:id="93" w:name="page94"/>
    <w:bookmarkEnd w:id="93"/>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costs and expenses, other than the underwriting discount, payable by us in connection with the sale of common stock being registered. All amounts are estimates except the SEC registration fee and the NASD filing fee. No portion of the costs and expenses is being borne by the selling stockholder.</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SEC registration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31,574</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NASD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12,460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Nasdaq National Market listing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Printing and engraving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Legal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Accounting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Blue sky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Transfer agent fees..............................................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Miscellaneous....................................................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$1,161,534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Section 145 of the Delaware General Corporation Law (the "DGCL") provides, in effect, that any person made a party to any action by reason of the fact that he is or was our director, officer, employee or agent may and, in certain cases, must be indemnified by us against, in the case of a non-derivative action, judgments, fines, amounts paid in settlement and reasonable expenses (including attorneys' fees) incurred by him as a result of such action, and in the case of a derivative action, against reasonable expenses (including attorneys' fees), if in either type of action he acted in good faith and in a manner he reasonably believed to be in or not opposed to our best interests. This indemnification does not apply, in a derivative action, to matters as to which it is adjudged that the director, officer, employee or agent is liable to us,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reasonable cause to believe his conduct was unlawful.</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Article V of our Amended and Restated Certificate of Incorporation provides that no director shall be liable to us or our stockholders for monetary damages for breach of fiduciary duty as a director to the fullest extent permitted by the DGCL.</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Reference is made to Section 8 of the underwriting agreement, the form of which is filed as Exhibit 1.1 hereto, pursuant to which the underwriters have agreed to indemnify our officers and directors against certain liabilities under the Securities Act.</w:t>
      </w:r>
    </w:p>
    <w:p>
      <w:pPr>
        <w:spacing w:after="0" w:line="177"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entered into Indemnification Agreements with each director, a form of which is filed as Exhibit 10.1 to this Registration Statement. Pursuant to such agreements, we will be obligated, to the extent permitted by applicable law, to indemnify such directors against all expenses, judgments, fines and penalties incurred in connection with the defense or settlement of any actions brought against them by reason of the fact that they were our directors or assumed certain responsibilities at the direction of us. We also intend to purchase additional directors and officers liability insurance in order to limit our exposure to liability for indemnification of directors and officers.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43" w:right="1440" w:bottom="1440" w:gutter="0" w:footer="0" w:header="0"/>
        </w:sectPr>
      </w:pPr>
    </w:p>
    <w:bookmarkStart w:id="94" w:name="page95"/>
    <w:bookmarkEnd w:id="94"/>
    <w:p>
      <w:pPr>
        <w:ind w:left="7"/>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Since April 1, 1997, we have issued unregistered securities to a number of people as described below. None of these transactions involved any underwriters, underwriting discounts or commissions, or any public offering, and we believe that each transaction was exempt from the registration requirements of the Securities Act in reliance on Section 4(2) thereof, Regulation D promulgated thereunder or Rule 701 in accordance with compensatory benefit plans and contracts relating to compensation as provided under Rule</w:t>
      </w:r>
    </w:p>
    <w:p>
      <w:pPr>
        <w:spacing w:after="0" w:line="4" w:lineRule="exact"/>
        <w:rPr>
          <w:sz w:val="20"/>
          <w:szCs w:val="20"/>
          <w:color w:val="auto"/>
        </w:rPr>
      </w:pPr>
    </w:p>
    <w:p>
      <w:pPr>
        <w:ind w:left="7" w:right="3039" w:hanging="7"/>
        <w:spacing w:after="0" w:line="246" w:lineRule="auto"/>
        <w:tabs>
          <w:tab w:leader="none" w:pos="46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recipients of securities in each transaction represented their intention to acquire the securities for investment purposes only and not with a view to or for sale in connection with any distribution thereof, and appropriate legends were affixed to the share certificates and instruments issued in the transactions. All recipients had adequate access, through their relationship with us, to information about us. The following common stock share amounts, the weighted average exercise price and the exercise price per share of the shares of common stock issued under our 1993 Stock Option Plan, as amended, are adjusted to reflect the exchange of each share of common stock and preferred stock issued by our predecessor Texas corporation for two shares of a similar series of common stock or preferred stock in the successor Delaware corporation. In addition, although the number of shares of preferred stock will not be affected by our 2.16-for-1 common stock split to be effected prior to the date of this offering, as a result of this stock split each share of our Series C, Series D and Series E preferred stock will automatically adjust and become convertible into 2.16 shares of our common stock upon the consummation of this offering.</w:t>
      </w:r>
    </w:p>
    <w:p>
      <w:pPr>
        <w:spacing w:after="0" w:line="185" w:lineRule="exact"/>
        <w:rPr>
          <w:sz w:val="20"/>
          <w:szCs w:val="20"/>
          <w:color w:val="auto"/>
        </w:rPr>
      </w:pPr>
    </w:p>
    <w:p>
      <w:pPr>
        <w:ind w:left="547" w:right="33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issued 1,726,620 shares of Series C Convertible Preferred Stock for $3.475 per share, for an aggregate purchase price of $6,000,004.50. The following stockholders purchased our Series C Convertible Preferred Stock: CenterPoint Venture Partners, L.P.; funds affiliated with Advent International Corporation; SSM Venture Partners, L.P.; and funds affiliated with Austin Ventures.</w:t>
      </w:r>
    </w:p>
    <w:p>
      <w:pPr>
        <w:spacing w:after="0" w:line="178" w:lineRule="exact"/>
        <w:rPr>
          <w:rFonts w:ascii="Courier New" w:cs="Courier New" w:eastAsia="Courier New" w:hAnsi="Courier New"/>
          <w:sz w:val="15"/>
          <w:szCs w:val="15"/>
          <w:color w:val="auto"/>
        </w:rPr>
      </w:pPr>
    </w:p>
    <w:p>
      <w:pPr>
        <w:ind w:left="547" w:right="34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issued 1,652,894 shares of Series D Convertible Preferred Stock for $6.05 per share, for an aggregate purchase price of $10,000,008.70. The following stockholders purchased our Series D Convertible Preferred Stock: Rho Management Trust I; CenterPoint Venture Partners, L.P.; funds affiliated with Advent International Corporation; SSM Venture Partners, L.P.; funds affiliated with Austin Ventures; Sevin Rosen Management Company; and several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1,935,872 shares of Series E Convertible Preferred Stock for $11.34 per share, for an aggregate purchase price of $21,952,765. The following stockholders purchased our Series E Convertible Preferred Stock: Stephens-Active Power, LLC; ECT Merchant Investments Corp.; Rho Management Trust I; CenterPoint Venture Fund II, L.P.; funds affiliated with SSM Venture Partners; funds affiliated with Austin Ventures; funds affiliated with Advent International Corporation; and a number of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in connection with the sale of Series E preferred stock, we issued warrants to purchase an aggregate of 432,000 shares of Common Stock at an exercise price of $5.25 per share to Enron North America Corp. and Stephens Group, Inc.</w:t>
      </w:r>
    </w:p>
    <w:p>
      <w:pPr>
        <w:spacing w:after="0" w:line="177"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June 30, 2000, we have issued and sold 2,350,266 shares of our Common Stock to directors, employees and consultants upon the exercise of options granted under our 1993 Stock Option Plan at a weighted average exercise price of $0.23.</w:t>
      </w:r>
    </w:p>
    <w:p>
      <w:pPr>
        <w:spacing w:after="0" w:line="177" w:lineRule="exact"/>
        <w:rPr>
          <w:rFonts w:ascii="Courier New" w:cs="Courier New" w:eastAsia="Courier New" w:hAnsi="Courier New"/>
          <w:sz w:val="15"/>
          <w:szCs w:val="15"/>
          <w:color w:val="auto"/>
        </w:rPr>
      </w:pPr>
    </w:p>
    <w:p>
      <w:pPr>
        <w:ind w:left="547" w:right="3679" w:hanging="365"/>
        <w:spacing w:after="0" w:line="247"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2000, we issued 432,000 shares of our common stock at an exercise price of $0.07 per share to SSM Venture Partners upon the exercise of a warrant issued to SSM Venture Partners in 1995.</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6"/>
          </w:cols>
          <w:pgMar w:left="233" w:top="642" w:right="1440" w:bottom="1440" w:gutter="0" w:footer="0" w:header="0"/>
        </w:sectPr>
      </w:pPr>
    </w:p>
    <w:bookmarkStart w:id="95" w:name="page96"/>
    <w:bookmarkEnd w:id="95"/>
    <w:p>
      <w:pPr>
        <w:ind w:left="540" w:right="3319" w:hanging="365"/>
        <w:spacing w:after="0" w:line="247" w:lineRule="auto"/>
        <w:tabs>
          <w:tab w:leader="none" w:pos="5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during the past three years, we have granted options to purchase common stock to employees, directors and consultants. The following table sets forth information regarding these grants.</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OF EXERCISE PRICE</w:t>
            </w:r>
          </w:p>
        </w:tc>
      </w:tr>
      <w:tr>
        <w:trPr>
          <w:trHeight w:val="175"/>
        </w:trPr>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PER SHARE</w:t>
            </w:r>
          </w:p>
        </w:tc>
      </w:tr>
      <w:tr>
        <w:trPr>
          <w:trHeight w:val="175"/>
        </w:trPr>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September 17,</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1997 to April 30, 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1,466,640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.16</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rPr>
              <w:t>June 11, 1998</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December 10, 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393,120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rPr>
              <w:t>March 1, 1999</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June 17,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468,720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September 9,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192,240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November 11,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518,400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December 9, 1999 to February 29,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737,424</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1.04</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March 9,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129,600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1.39</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April 13, 2000</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235,440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4.17</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May 11, 2000 to June 30,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174,420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6.94</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29"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Form of Underwriting Agreement</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Form of Amended and Restated Certificate of Incorporation</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Form of Amended and Restated Bylaws</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certificate for shares of Common Stock</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Warrant to Purchase Common Stock issued to Enron North America Corp.</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Warrant to Purchase Common Stock issued to Stephens Group, Inc.</w:t>
      </w:r>
    </w:p>
    <w:p>
      <w:pPr>
        <w:spacing w:after="0" w:line="180"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Brobeck, Phleger &amp; Harrison LLP</w:t>
      </w:r>
    </w:p>
    <w:p>
      <w:pPr>
        <w:spacing w:after="0" w:line="180"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Form of Indemnity Agreement</w:t>
      </w:r>
    </w:p>
    <w:p>
      <w:pPr>
        <w:spacing w:after="0" w:line="180"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10.2**</w:t>
        <w:tab/>
        <w:t>Active Power, Inc. 2000 Stock Incentive Plan</w:t>
      </w:r>
    </w:p>
    <w:p>
      <w:pPr>
        <w:spacing w:after="0" w:line="180"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10.3**</w:t>
        <w:tab/>
        <w:t>Active Power, Inc. 2000 Employee Stock Purchase Plan</w:t>
      </w:r>
    </w:p>
    <w:p>
      <w:pPr>
        <w:spacing w:after="0" w:line="180" w:lineRule="exact"/>
        <w:rPr>
          <w:sz w:val="20"/>
          <w:szCs w:val="20"/>
          <w:color w:val="auto"/>
        </w:rPr>
      </w:pPr>
    </w:p>
    <w:p>
      <w:pPr>
        <w:ind w:left="820" w:right="3039" w:hanging="726"/>
        <w:spacing w:after="0" w:line="247" w:lineRule="auto"/>
        <w:tabs>
          <w:tab w:leader="none" w:pos="8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Second Amended and Restated Investors' Rights Agreement by and between Active Power, Inc. and certain of its stockholders</w:t>
      </w:r>
    </w:p>
    <w:p>
      <w:pPr>
        <w:spacing w:after="0" w:line="17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Consulting Services Agreement by and between Active Power and Eric L.</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820" w:right="3679" w:hanging="726"/>
        <w:spacing w:after="0" w:line="247" w:lineRule="auto"/>
        <w:rPr>
          <w:sz w:val="20"/>
          <w:szCs w:val="20"/>
          <w:color w:val="auto"/>
        </w:rPr>
      </w:pPr>
      <w:r>
        <w:rPr>
          <w:rFonts w:ascii="Courier New" w:cs="Courier New" w:eastAsia="Courier New" w:hAnsi="Courier New"/>
          <w:sz w:val="15"/>
          <w:szCs w:val="15"/>
          <w:color w:val="auto"/>
        </w:rPr>
        <w:t>10.6+** Phase II Development and Phase III Feasibility Agreement by and between Active Power, Inc. and Caterpillar Inc.</w:t>
      </w:r>
    </w:p>
    <w:p>
      <w:pPr>
        <w:spacing w:after="0" w:line="175" w:lineRule="exact"/>
        <w:rPr>
          <w:sz w:val="20"/>
          <w:szCs w:val="20"/>
          <w:color w:val="auto"/>
        </w:rPr>
      </w:pPr>
    </w:p>
    <w:p>
      <w:pPr>
        <w:ind w:left="820" w:right="3499" w:hanging="726"/>
        <w:spacing w:after="0" w:line="247" w:lineRule="auto"/>
        <w:tabs>
          <w:tab w:leader="none" w:pos="8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Credit Terms and Conditions by and between Active Power, Inc. and Imperial Bank</w:t>
      </w:r>
    </w:p>
    <w:p>
      <w:pPr>
        <w:spacing w:after="0" w:line="175" w:lineRule="exact"/>
        <w:rPr>
          <w:sz w:val="20"/>
          <w:szCs w:val="20"/>
          <w:color w:val="auto"/>
        </w:rPr>
      </w:pPr>
    </w:p>
    <w:p>
      <w:pPr>
        <w:ind w:left="820" w:right="3499" w:hanging="726"/>
        <w:spacing w:after="0" w:line="247" w:lineRule="auto"/>
        <w:tabs>
          <w:tab w:leader="none" w:pos="8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Security and Loan Agreement by and between Active Power, Inc. and Imperial Bank</w:t>
      </w:r>
    </w:p>
    <w:p>
      <w:pPr>
        <w:spacing w:after="0" w:line="175" w:lineRule="exact"/>
        <w:rPr>
          <w:sz w:val="20"/>
          <w:szCs w:val="20"/>
          <w:color w:val="auto"/>
        </w:rPr>
      </w:pPr>
    </w:p>
    <w:p>
      <w:pPr>
        <w:ind w:left="820" w:right="3419" w:hanging="726"/>
        <w:spacing w:after="0" w:line="247" w:lineRule="auto"/>
        <w:tabs>
          <w:tab w:leader="none" w:pos="8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Agreement by and between Active Power, Inc. and Braker Phase III, Ltd.</w:t>
      </w:r>
    </w:p>
    <w:p>
      <w:pPr>
        <w:spacing w:after="0" w:line="175"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10.10*</w:t>
        <w:tab/>
        <w:t>First Amendment to Lease Agreement by and between Active Power, Inc.</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10.11*</w:t>
        <w:tab/>
        <w:t>Second Amendment to Lease Agreement by and between Active Power, Inc.</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5"/>
          <w:szCs w:val="15"/>
          <w:color w:val="auto"/>
        </w:rPr>
        <w:t>10.12*</w:t>
        <w:tab/>
        <w:t>Third Amendment to Lease Agreement by and between Active Power, Inc.</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and Braker Phase III, Ltd.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43" w:right="1440" w:bottom="1440" w:gutter="0" w:footer="0" w:header="0"/>
        </w:sectPr>
      </w:pPr>
    </w:p>
    <w:bookmarkStart w:id="96" w:name="page97"/>
    <w:bookmarkEnd w:id="96"/>
    <w:p>
      <w:pPr>
        <w:ind w:left="87"/>
        <w:spacing w:after="0"/>
        <w:rPr>
          <w:sz w:val="20"/>
          <w:szCs w:val="20"/>
          <w:color w:val="auto"/>
        </w:rPr>
      </w:pPr>
      <w:r>
        <w:rPr>
          <w:rFonts w:ascii="Courier New" w:cs="Courier New" w:eastAsia="Courier New" w:hAnsi="Courier New"/>
          <w:sz w:val="15"/>
          <w:szCs w:val="15"/>
          <w:color w:val="auto"/>
        </w:rPr>
        <w:t>10.13* Fourth Amendment to Lease Agreement by and between Active Power, Inc.</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10.14* Fifth Amendment to Lease Agreement by and between Active Power, Inc.</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727" w:right="3859" w:hanging="635"/>
        <w:spacing w:after="0" w:line="246" w:lineRule="auto"/>
        <w:rPr>
          <w:sz w:val="20"/>
          <w:szCs w:val="20"/>
          <w:color w:val="auto"/>
        </w:rPr>
      </w:pPr>
      <w:r>
        <w:rPr>
          <w:rFonts w:ascii="Courier New" w:cs="Courier New" w:eastAsia="Courier New" w:hAnsi="Courier New"/>
          <w:sz w:val="15"/>
          <w:szCs w:val="15"/>
          <w:color w:val="auto"/>
        </w:rPr>
        <w:t>10.15* Sublease Agreement by and between Active Power, Inc. and Video Associates Laboratories, Inc.</w:t>
      </w:r>
    </w:p>
    <w:p>
      <w:pPr>
        <w:spacing w:after="0" w:line="1" w:lineRule="exact"/>
        <w:rPr>
          <w:sz w:val="20"/>
          <w:szCs w:val="20"/>
          <w:color w:val="auto"/>
        </w:rPr>
      </w:pPr>
    </w:p>
    <w:p>
      <w:pPr>
        <w:ind w:left="727" w:right="3319" w:hanging="635"/>
        <w:spacing w:after="0" w:line="247" w:lineRule="auto"/>
        <w:rPr>
          <w:sz w:val="20"/>
          <w:szCs w:val="20"/>
          <w:color w:val="auto"/>
        </w:rPr>
      </w:pPr>
      <w:r>
        <w:rPr>
          <w:rFonts w:ascii="Courier New" w:cs="Courier New" w:eastAsia="Courier New" w:hAnsi="Courier New"/>
          <w:sz w:val="15"/>
          <w:szCs w:val="15"/>
          <w:color w:val="auto"/>
        </w:rPr>
        <w:t>10.16* Employee offer letter (including severance arrangements) from Active Power, Inc. to David S. Gino</w:t>
      </w:r>
    </w:p>
    <w:p>
      <w:pPr>
        <w:spacing w:after="0" w:line="17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23.1** Consent of Ernst &amp; Young LLP</w:t>
      </w:r>
    </w:p>
    <w:p>
      <w:pPr>
        <w:spacing w:after="0" w:line="180" w:lineRule="exact"/>
        <w:rPr>
          <w:sz w:val="20"/>
          <w:szCs w:val="20"/>
          <w:color w:val="auto"/>
        </w:rPr>
      </w:pPr>
    </w:p>
    <w:p>
      <w:pPr>
        <w:ind w:left="727" w:right="3679" w:hanging="635"/>
        <w:spacing w:after="0" w:line="247" w:lineRule="auto"/>
        <w:tabs>
          <w:tab w:leader="none" w:pos="706" w:val="left"/>
        </w:tabs>
        <w:rPr>
          <w:sz w:val="20"/>
          <w:szCs w:val="20"/>
          <w:color w:val="auto"/>
        </w:rPr>
      </w:pPr>
      <w:r>
        <w:rPr>
          <w:rFonts w:ascii="Courier New" w:cs="Courier New" w:eastAsia="Courier New" w:hAnsi="Courier New"/>
          <w:sz w:val="15"/>
          <w:szCs w:val="15"/>
          <w:color w:val="auto"/>
        </w:rPr>
        <w:t>23.2*</w:t>
        <w:tab/>
        <w:t>Consent of Brobeck, Phleger &amp; Harrison LLP (Reference is made to Exhibit 5.1)</w:t>
      </w:r>
    </w:p>
    <w:p>
      <w:pPr>
        <w:spacing w:after="0" w:line="175"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24.1*</w:t>
        <w:tab/>
        <w:t>Power of Attorney (see page II-5)</w:t>
      </w:r>
    </w:p>
    <w:p>
      <w:pPr>
        <w:spacing w:after="0" w:line="180"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27.1*</w:t>
        <w:tab/>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8499" w:hanging="7"/>
        <w:spacing w:after="0" w:line="493" w:lineRule="auto"/>
        <w:tabs>
          <w:tab w:leader="none" w:pos="18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 Filed herewith.</w:t>
      </w:r>
    </w:p>
    <w:p>
      <w:pPr>
        <w:spacing w:after="0" w:line="1" w:lineRule="exact"/>
        <w:rPr>
          <w:sz w:val="20"/>
          <w:szCs w:val="20"/>
          <w:color w:val="auto"/>
        </w:rPr>
      </w:pPr>
    </w:p>
    <w:p>
      <w:pPr>
        <w:ind w:left="187" w:right="3039" w:hanging="187"/>
        <w:spacing w:after="0" w:line="247" w:lineRule="auto"/>
        <w:tabs>
          <w:tab w:leader="none" w:pos="1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has been made to the Commission to seek confidential treatment of certain provisions of this exhibit. Omitted material for which confidential treatment has been requested has been filed separately with the Commission.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17. UNDERTAKINGS.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7"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as amended (the "Securities Act") may be permitted to our directors, officers and controlling persons pursuant to the DGCL, our Certificate of Incorporation or our Bylaws, the underwriting agreement or otherwise, we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hereunder, we will, unless in the opinion of our counsel the matter has been settled by controlling precedent, submit to a court of appropriate jurisdiction the question of whether such indemnification by us is against public policy as expressed in the Securities Act and will be governed by the final adjudication of such issue.</w:t>
      </w:r>
    </w:p>
    <w:p>
      <w:pPr>
        <w:spacing w:after="0" w:line="184"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We hereby undertake that:</w:t>
      </w:r>
    </w:p>
    <w:p>
      <w:pPr>
        <w:spacing w:after="0" w:line="180" w:lineRule="exact"/>
        <w:rPr>
          <w:sz w:val="20"/>
          <w:szCs w:val="20"/>
          <w:color w:val="auto"/>
        </w:rPr>
      </w:pPr>
    </w:p>
    <w:p>
      <w:pPr>
        <w:ind w:left="547" w:right="3419" w:hanging="365"/>
        <w:spacing w:after="0" w:line="246" w:lineRule="auto"/>
        <w:tabs>
          <w:tab w:leader="none" w:pos="54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178"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6"/>
          </w:cols>
          <w:pgMar w:left="233" w:top="992" w:right="1440" w:bottom="1440" w:gutter="0" w:footer="0" w:header="0"/>
        </w:sectPr>
      </w:pPr>
    </w:p>
    <w:bookmarkStart w:id="97" w:name="page98"/>
    <w:bookmarkEnd w:id="97"/>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as amended, we have duly caused this registration statement to be signed on our behalf by the undersigned, thereunto duly authorized, in the city of Austin, state of Texas, on July 14, 2000.</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By: /s/ Joseph F. Pinkerton, III</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President and Chief Executive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Officer</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Name</w:t>
            </w:r>
          </w:p>
        </w:tc>
        <w:tc>
          <w:tcPr>
            <w:tcW w:w="2640" w:type="dxa"/>
            <w:vAlign w:val="bottom"/>
          </w:tcPr>
          <w:p>
            <w:pPr>
              <w:ind w:left="1000"/>
              <w:spacing w:after="0"/>
              <w:rPr>
                <w:sz w:val="20"/>
                <w:szCs w:val="20"/>
                <w:color w:val="auto"/>
              </w:rPr>
            </w:pPr>
            <w:r>
              <w:rPr>
                <w:rFonts w:ascii="Courier New" w:cs="Courier New" w:eastAsia="Courier New" w:hAnsi="Courier New"/>
                <w:sz w:val="15"/>
                <w:szCs w:val="15"/>
                <w:color w:val="auto"/>
              </w:rPr>
              <w:t>Title</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64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699"/>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/s/ Joseph F. Pinkerton, III</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President, Chief Executive</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14,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Officer and Director</w:t>
            </w:r>
          </w:p>
        </w:tc>
        <w:tc>
          <w:tcPr>
            <w:tcW w:w="136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Joseph F. Pinkerton, III</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(Principal Executive</w:t>
            </w:r>
          </w:p>
        </w:tc>
        <w:tc>
          <w:tcPr>
            <w:tcW w:w="136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360" w:type="dxa"/>
            <w:vAlign w:val="bottom"/>
          </w:tcPr>
          <w:p>
            <w:pPr>
              <w:spacing w:after="0"/>
              <w:rPr>
                <w:sz w:val="15"/>
                <w:szCs w:val="15"/>
                <w:color w:val="auto"/>
              </w:rPr>
            </w:pPr>
          </w:p>
        </w:tc>
      </w:tr>
      <w:tr>
        <w:trPr>
          <w:trHeight w:val="524"/>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/s/ David S. Gino</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Chief Financial Officer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14,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(Principal Financial and</w:t>
            </w:r>
          </w:p>
        </w:tc>
        <w:tc>
          <w:tcPr>
            <w:tcW w:w="136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David S. Gino</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c>
          <w:tcPr>
            <w:tcW w:w="136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Board</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14,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Eric L. Jones</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14,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Richard E. Anderson</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14,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Rodney S. Bond</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14,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Lindsay R. Jones</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14,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Jan H. Lindelow</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14,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Terrence L. Rock</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874"/>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/s/ David S. Gino</w:t>
            </w: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*By: _________________________________</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David S. Gino</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0"/>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Attorney-in-Fact</w:t>
            </w: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0"/>
        </w:trPr>
        <w:tc>
          <w:tcPr>
            <w:tcW w:w="34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II-5</w:t>
            </w:r>
          </w:p>
        </w:tc>
        <w:tc>
          <w:tcPr>
            <w:tcW w:w="136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98" w:name="page99"/>
    <w:bookmarkEnd w:id="98"/>
    <w:p>
      <w:pPr>
        <w:ind w:left="2827"/>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6"/>
          </w:cols>
          <w:pgMar w:left="233" w:top="643"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827" w:space="720"/>
            <w:col w:w="6679"/>
          </w:cols>
          <w:pgMar w:left="233" w:top="643" w:right="1440" w:bottom="426" w:gutter="0" w:footer="0" w:header="0"/>
          <w:type w:val="continuous"/>
        </w:sectPr>
      </w:pPr>
    </w:p>
    <w:p>
      <w:pPr>
        <w:spacing w:after="0" w:line="154"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Form of Underwriting Agreement</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Form of Amended and Restated Certificate of Incorporation</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Form of Amended and Restated Bylaws</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certificate for shares of Common Stock</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Warrant to Purchase Common Stock issued to Enron North America Corp.</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Warrant to Purchase Common Stock issued to Stephens Group, Inc.</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Brobeck, Phleger &amp; Harrison LLP</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Form of Indemnity Agreement</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10.2**</w:t>
        <w:tab/>
        <w:t>Active Power, Inc. 2000 Stock Incentive Plan</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10.3**</w:t>
        <w:tab/>
        <w:t>Active Power, Inc. 2000 Employee Stock Purchase Plan</w:t>
      </w:r>
    </w:p>
    <w:p>
      <w:pPr>
        <w:spacing w:after="0" w:line="180" w:lineRule="exact"/>
        <w:rPr>
          <w:sz w:val="20"/>
          <w:szCs w:val="20"/>
          <w:color w:val="auto"/>
        </w:rPr>
      </w:pPr>
    </w:p>
    <w:p>
      <w:pPr>
        <w:ind w:left="827" w:right="303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Second Amended and Restated Investors' Rights Agreement by and between Active Power, Inc. and certain of its stockholders</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Consulting Services Agreement by and between Active Power and Eric L.</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827" w:right="3679" w:hanging="726"/>
        <w:spacing w:after="0" w:line="247" w:lineRule="auto"/>
        <w:rPr>
          <w:sz w:val="20"/>
          <w:szCs w:val="20"/>
          <w:color w:val="auto"/>
        </w:rPr>
      </w:pPr>
      <w:r>
        <w:rPr>
          <w:rFonts w:ascii="Courier New" w:cs="Courier New" w:eastAsia="Courier New" w:hAnsi="Courier New"/>
          <w:sz w:val="15"/>
          <w:szCs w:val="15"/>
          <w:color w:val="auto"/>
        </w:rPr>
        <w:t>10.6+** Phase II Development and Phase III Feasibility Agreement by and between Active Power, Inc. and Caterpillar Inc.</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Credit Terms and Conditions by and between Active Power, Inc. and Imperial Bank</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Security and Loan Agreement by and between Active Power, Inc. and Imperial Bank</w:t>
      </w:r>
    </w:p>
    <w:p>
      <w:pPr>
        <w:spacing w:after="0" w:line="175" w:lineRule="exact"/>
        <w:rPr>
          <w:sz w:val="20"/>
          <w:szCs w:val="20"/>
          <w:color w:val="auto"/>
        </w:rPr>
      </w:pPr>
    </w:p>
    <w:p>
      <w:pPr>
        <w:ind w:left="827" w:right="34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Agreement by and between Active Power, Inc. and Braker Phase III, Ltd.</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10.10*</w:t>
        <w:tab/>
        <w:t>First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10.11*</w:t>
        <w:tab/>
        <w:t>Second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10.12*</w:t>
        <w:tab/>
        <w:t>Third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10.13*</w:t>
        <w:tab/>
        <w:t>Fourth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10.14*</w:t>
        <w:tab/>
        <w:t>Fifth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27" w:right="37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10.15*</w:t>
        <w:tab/>
        <w:t>Sublease Agreement by and between Active Power, Inc. and Video Associates Laboratories, Inc.</w:t>
      </w:r>
    </w:p>
    <w:p>
      <w:pPr>
        <w:spacing w:after="0" w:line="175" w:lineRule="exact"/>
        <w:rPr>
          <w:sz w:val="20"/>
          <w:szCs w:val="20"/>
          <w:color w:val="auto"/>
        </w:rPr>
      </w:pPr>
    </w:p>
    <w:p>
      <w:pPr>
        <w:ind w:left="827" w:right="32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10.16*</w:t>
        <w:tab/>
        <w:t>Employee offer letter (including severance arrangements) from Active Power, Inc. to David S. Gino</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23.1**</w:t>
        <w:tab/>
        <w:t>Consent of Ernst &amp; Young LLP</w:t>
      </w:r>
    </w:p>
    <w:p>
      <w:pPr>
        <w:spacing w:after="0" w:line="180" w:lineRule="exact"/>
        <w:rPr>
          <w:sz w:val="20"/>
          <w:szCs w:val="20"/>
          <w:color w:val="auto"/>
        </w:rPr>
      </w:pPr>
    </w:p>
    <w:p>
      <w:pPr>
        <w:ind w:left="827" w:right="35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Brobeck, Phleger &amp; Harrison LLP (Reference is made to Exhibit 5.1)</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 (see page II-5)</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8499" w:hanging="7"/>
        <w:spacing w:after="0" w:line="493" w:lineRule="auto"/>
        <w:tabs>
          <w:tab w:leader="none" w:pos="18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 Filed herewith.</w:t>
      </w:r>
    </w:p>
    <w:p>
      <w:pPr>
        <w:spacing w:after="0" w:line="1" w:lineRule="exact"/>
        <w:rPr>
          <w:sz w:val="20"/>
          <w:szCs w:val="20"/>
          <w:color w:val="auto"/>
        </w:rPr>
      </w:pPr>
    </w:p>
    <w:p>
      <w:pPr>
        <w:ind w:left="187" w:right="3039" w:hanging="187"/>
        <w:spacing w:after="0" w:line="247" w:lineRule="auto"/>
        <w:tabs>
          <w:tab w:leader="none" w:pos="18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has been made to the Commission to seek confidential treatment of certain provisions of this exhibit. Omitted material for which confidential treatment has been requested has been filed separately with the Commission.</w:t>
      </w:r>
    </w:p>
    <w:p>
      <w:pPr>
        <w:sectPr>
          <w:pgSz w:w="11900" w:h="16838" w:orient="portrait"/>
          <w:cols w:equalWidth="0" w:num="1">
            <w:col w:w="10226"/>
          </w:cols>
          <w:pgMar w:left="233" w:top="643" w:right="1440" w:bottom="426" w:gutter="0" w:footer="0" w:header="0"/>
          <w:type w:val="continuous"/>
        </w:sectPr>
      </w:pPr>
    </w:p>
    <w:bookmarkStart w:id="99" w:name="page100"/>
    <w:bookmarkEnd w:id="99"/>
    <w:p>
      <w:pPr>
        <w:jc w:val="right"/>
        <w:ind w:right="2959"/>
        <w:spacing w:after="0"/>
        <w:rPr>
          <w:sz w:val="20"/>
          <w:szCs w:val="20"/>
          <w:color w:val="auto"/>
        </w:rPr>
      </w:pPr>
      <w:r>
        <w:rPr>
          <w:rFonts w:ascii="Courier New" w:cs="Courier New" w:eastAsia="Courier New" w:hAnsi="Courier New"/>
          <w:sz w:val="15"/>
          <w:szCs w:val="15"/>
          <w:color w:val="auto"/>
        </w:rPr>
        <w:t>EXHIBIT 10.2</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2000 STOCK INCENTIVE PLAN</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ONE</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552"/>
        <w:spacing w:after="0"/>
        <w:tabs>
          <w:tab w:leader="none" w:pos="10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180" w:lineRule="exact"/>
        <w:rPr>
          <w:sz w:val="20"/>
          <w:szCs w:val="20"/>
          <w:color w:val="auto"/>
        </w:rPr>
      </w:pPr>
    </w:p>
    <w:p>
      <w:pPr>
        <w:ind w:right="3139" w:firstLine="1000"/>
        <w:spacing w:after="0" w:line="246" w:lineRule="auto"/>
        <w:rPr>
          <w:sz w:val="20"/>
          <w:szCs w:val="20"/>
          <w:color w:val="auto"/>
        </w:rPr>
      </w:pPr>
      <w:r>
        <w:rPr>
          <w:rFonts w:ascii="Courier New" w:cs="Courier New" w:eastAsia="Courier New" w:hAnsi="Courier New"/>
          <w:sz w:val="15"/>
          <w:szCs w:val="15"/>
          <w:color w:val="auto"/>
        </w:rPr>
        <w:t>This 2000 Stock Incentive Plan is intended to promote the interests of Active Power, Inc., a Delaware corporation, by providing eligible persons with the opportunity to acquire a proprietary interest, or otherwise increase their proprietary interest, in the Corporation as an incentive for them to remain in the service of the Corporation.</w:t>
      </w:r>
    </w:p>
    <w:p>
      <w:pPr>
        <w:spacing w:after="0" w:line="178" w:lineRule="exact"/>
        <w:rPr>
          <w:sz w:val="20"/>
          <w:szCs w:val="20"/>
          <w:color w:val="auto"/>
        </w:rPr>
      </w:pPr>
    </w:p>
    <w:p>
      <w:pPr>
        <w:ind w:right="3139" w:firstLine="1000"/>
        <w:spacing w:after="0" w:line="247" w:lineRule="auto"/>
        <w:rPr>
          <w:sz w:val="20"/>
          <w:szCs w:val="20"/>
          <w:color w:val="auto"/>
        </w:rPr>
      </w:pPr>
      <w:r>
        <w:rPr>
          <w:rFonts w:ascii="Courier New" w:cs="Courier New" w:eastAsia="Courier New" w:hAnsi="Courier New"/>
          <w:sz w:val="15"/>
          <w:szCs w:val="15"/>
          <w:color w:val="auto"/>
        </w:rPr>
        <w:t>Capitalized terms shall have the meanings assigned to such terms in the attached Appendix.</w:t>
      </w:r>
    </w:p>
    <w:p>
      <w:pPr>
        <w:spacing w:after="0" w:line="175" w:lineRule="exact"/>
        <w:rPr>
          <w:sz w:val="20"/>
          <w:szCs w:val="20"/>
          <w:color w:val="auto"/>
        </w:rPr>
      </w:pPr>
    </w:p>
    <w:p>
      <w:pPr>
        <w:ind w:left="1000" w:hanging="552"/>
        <w:spacing w:after="0"/>
        <w:tabs>
          <w:tab w:leader="none" w:pos="10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THE PLAN</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divided into three separate equity incentive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programs:</w:t>
      </w:r>
    </w:p>
    <w:p>
      <w:pPr>
        <w:spacing w:after="0" w:line="179" w:lineRule="exact"/>
        <w:rPr>
          <w:rFonts w:ascii="Courier New" w:cs="Courier New" w:eastAsia="Courier New" w:hAnsi="Courier New"/>
          <w:sz w:val="15"/>
          <w:szCs w:val="15"/>
          <w:color w:val="auto"/>
        </w:rPr>
      </w:pPr>
    </w:p>
    <w:p>
      <w:pPr>
        <w:ind w:left="440" w:right="3499" w:firstLine="1007"/>
        <w:spacing w:after="0" w:line="247" w:lineRule="auto"/>
        <w:tabs>
          <w:tab w:leader="none" w:pos="1985"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persons may, at the discretion of the Plan Administrator, be granted options to purchase shares of Common Stock,</w:t>
      </w:r>
    </w:p>
    <w:p>
      <w:pPr>
        <w:spacing w:after="0" w:line="174"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persons may, at the discretion of the Plan Administrator, be issued shares of Common Stock directly, either through the immediate purchase of such shares or as a bonus for services rendered the Corporation (or any Parent or Subsidiary), and</w:t>
      </w:r>
    </w:p>
    <w:p>
      <w:pPr>
        <w:spacing w:after="0" w:line="177" w:lineRule="exact"/>
        <w:rPr>
          <w:rFonts w:ascii="Courier New" w:cs="Courier New" w:eastAsia="Courier New" w:hAnsi="Courier New"/>
          <w:sz w:val="15"/>
          <w:szCs w:val="15"/>
          <w:color w:val="auto"/>
        </w:rPr>
      </w:pPr>
    </w:p>
    <w:p>
      <w:pPr>
        <w:ind w:left="440" w:right="3039" w:firstLine="1007"/>
        <w:spacing w:after="0" w:line="247" w:lineRule="auto"/>
        <w:tabs>
          <w:tab w:leader="none" w:pos="1985"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eligible non-employee Board members shall automatically receive options at periodic intervals to purchase shares of Common Stock.</w:t>
      </w:r>
    </w:p>
    <w:p>
      <w:pPr>
        <w:spacing w:after="0" w:line="174" w:lineRule="exact"/>
        <w:rPr>
          <w:rFonts w:ascii="Courier New" w:cs="Courier New" w:eastAsia="Courier New" w:hAnsi="Courier New"/>
          <w:sz w:val="15"/>
          <w:szCs w:val="15"/>
          <w:color w:val="auto"/>
        </w:rPr>
      </w:pPr>
    </w:p>
    <w:p>
      <w:pPr>
        <w:ind w:right="3319" w:firstLine="993"/>
        <w:spacing w:after="0" w:line="247" w:lineRule="auto"/>
        <w:tabs>
          <w:tab w:leader="none" w:pos="145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Articles One and Five shall apply to all equity programs under the Plan and shall govern the interests of all persons under the Plan.</w:t>
      </w:r>
    </w:p>
    <w:p>
      <w:pPr>
        <w:spacing w:after="0" w:line="174" w:lineRule="exact"/>
        <w:rPr>
          <w:sz w:val="20"/>
          <w:szCs w:val="20"/>
          <w:color w:val="auto"/>
        </w:rPr>
      </w:pPr>
    </w:p>
    <w:p>
      <w:pPr>
        <w:ind w:left="1000" w:hanging="552"/>
        <w:spacing w:after="0"/>
        <w:tabs>
          <w:tab w:leader="none" w:pos="10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9" w:lineRule="exact"/>
        <w:rPr>
          <w:rFonts w:ascii="Courier New" w:cs="Courier New" w:eastAsia="Courier New" w:hAnsi="Courier New"/>
          <w:sz w:val="15"/>
          <w:szCs w:val="15"/>
          <w:color w:val="auto"/>
        </w:rPr>
      </w:pPr>
    </w:p>
    <w:p>
      <w:pPr>
        <w:ind w:right="3139" w:firstLine="1000"/>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Prior to the Section 12 Registration Date, the Discretionary Option Grant and Stock Issuance Programs shall be administered by the Board unless otherwise determined by the Board. Beginning with the Section 12 Registration Date, the following provisions shall govern the administration of the Plan:</w:t>
      </w:r>
    </w:p>
    <w:p>
      <w:pPr>
        <w:sectPr>
          <w:pgSz w:w="11900" w:h="16838" w:orient="portrait"/>
          <w:cols w:equalWidth="0" w:num="1">
            <w:col w:w="10219"/>
          </w:cols>
          <w:pgMar w:left="240" w:top="491" w:right="1440" w:bottom="1440" w:gutter="0" w:footer="0" w:header="0"/>
        </w:sectPr>
      </w:pPr>
    </w:p>
    <w:bookmarkStart w:id="100" w:name="page101"/>
    <w:bookmarkEnd w:id="100"/>
    <w:p>
      <w:pPr>
        <w:ind w:left="440" w:right="3039" w:firstLine="1007"/>
        <w:spacing w:after="0" w:line="246" w:lineRule="auto"/>
        <w:tabs>
          <w:tab w:leader="none" w:pos="1985"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the authority to administer the Discretionary Option Grant and Stock Issuance Programs with respect to Section 16 Insiders but may delegate such authority in whole or in part to the Primary Committee.</w:t>
      </w:r>
    </w:p>
    <w:p>
      <w:pPr>
        <w:spacing w:after="0" w:line="177"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Discretionary Option Grant and Stock Issuance Programs with respect to all other persons eligible to participate in those programs may, at the Board's discretion, be vested in the Primary Committee or a Secondary Committee, or the Board may retain the power to administer those programs with respect to all such persons.</w:t>
      </w:r>
    </w:p>
    <w:p>
      <w:pPr>
        <w:spacing w:after="0" w:line="177" w:lineRule="exact"/>
        <w:rPr>
          <w:rFonts w:ascii="Courier New" w:cs="Courier New" w:eastAsia="Courier New" w:hAnsi="Courier New"/>
          <w:sz w:val="15"/>
          <w:szCs w:val="15"/>
          <w:color w:val="auto"/>
        </w:rPr>
      </w:pPr>
    </w:p>
    <w:p>
      <w:pPr>
        <w:ind w:left="440" w:right="2959" w:firstLine="1007"/>
        <w:spacing w:after="0" w:line="247" w:lineRule="auto"/>
        <w:tabs>
          <w:tab w:leader="none" w:pos="1985"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Automatic Option Grant Program shall be self-executing in accordance with the terms of that program.</w:t>
      </w:r>
    </w:p>
    <w:p>
      <w:pPr>
        <w:spacing w:after="0" w:line="174" w:lineRule="exact"/>
        <w:rPr>
          <w:rFonts w:ascii="Courier New" w:cs="Courier New" w:eastAsia="Courier New" w:hAnsi="Courier New"/>
          <w:sz w:val="15"/>
          <w:szCs w:val="15"/>
          <w:color w:val="auto"/>
        </w:rPr>
      </w:pPr>
    </w:p>
    <w:p>
      <w:pPr>
        <w:ind w:right="3599" w:firstLine="993"/>
        <w:spacing w:after="0" w:line="247" w:lineRule="auto"/>
        <w:tabs>
          <w:tab w:leader="none" w:pos="145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Plan Administrator shall, within the scope of its administrative jurisdiction under the Plan, have full power and authority subject to the provisions of the Plan:</w:t>
      </w:r>
    </w:p>
    <w:p>
      <w:pPr>
        <w:spacing w:after="0" w:line="174"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such rules as it may deem appropriate for proper administration of the Plan, to make all factual determinations, to construe and interpret the provisions of the Plan and the awards thereunder and to resolve any and all ambiguities thereunder;</w:t>
      </w:r>
    </w:p>
    <w:p>
      <w:pPr>
        <w:spacing w:after="0" w:line="177" w:lineRule="exact"/>
        <w:rPr>
          <w:rFonts w:ascii="Courier New" w:cs="Courier New" w:eastAsia="Courier New" w:hAnsi="Courier New"/>
          <w:sz w:val="15"/>
          <w:szCs w:val="15"/>
          <w:color w:val="auto"/>
        </w:rPr>
      </w:pPr>
    </w:p>
    <w:p>
      <w:pPr>
        <w:ind w:left="440" w:right="3039" w:firstLine="1007"/>
        <w:spacing w:after="0" w:line="246" w:lineRule="auto"/>
        <w:tabs>
          <w:tab w:leader="none" w:pos="19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with respect to awards made under the Discretionary Option Grant and Stock Issuance Programs, which eligible persons are to receive such awards, the time or times when such awards are to be made, the number of shares to be covered by each such award, the vesting schedule (if any) applicable to the award, the status of a granted option as either an Incentive Option or a Non-Statutory Option and the maximum term for which the option is to remain outstanding;</w:t>
      </w:r>
    </w:p>
    <w:p>
      <w:pPr>
        <w:spacing w:after="0" w:line="179" w:lineRule="exact"/>
        <w:rPr>
          <w:rFonts w:ascii="Courier New" w:cs="Courier New" w:eastAsia="Courier New" w:hAnsi="Courier New"/>
          <w:sz w:val="15"/>
          <w:szCs w:val="15"/>
          <w:color w:val="auto"/>
        </w:rPr>
      </w:pPr>
    </w:p>
    <w:p>
      <w:pPr>
        <w:ind w:left="440" w:right="3039" w:firstLine="1007"/>
        <w:spacing w:after="0" w:line="247" w:lineRule="auto"/>
        <w:tabs>
          <w:tab w:leader="none" w:pos="19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modify or cancel any outstanding award with the consent of the holder or accelerate the vesting of such award; and</w:t>
      </w:r>
    </w:p>
    <w:p>
      <w:pPr>
        <w:spacing w:after="0" w:line="174" w:lineRule="exact"/>
        <w:rPr>
          <w:rFonts w:ascii="Courier New" w:cs="Courier New" w:eastAsia="Courier New" w:hAnsi="Courier New"/>
          <w:sz w:val="15"/>
          <w:szCs w:val="15"/>
          <w:color w:val="auto"/>
        </w:rPr>
      </w:pPr>
    </w:p>
    <w:p>
      <w:pPr>
        <w:ind w:left="440" w:right="3419" w:firstLine="1007"/>
        <w:spacing w:after="0" w:line="247" w:lineRule="auto"/>
        <w:tabs>
          <w:tab w:leader="none" w:pos="198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such other discretionary actions as permitted pursuant to the terms of the applicable program.</w:t>
      </w:r>
    </w:p>
    <w:p>
      <w:pPr>
        <w:spacing w:after="0" w:line="17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Decisions of each Plan Administrator within the scope of its administrative functions under the Plan shall be final and binding on all parties.</w:t>
      </w:r>
    </w:p>
    <w:p>
      <w:pPr>
        <w:spacing w:after="0" w:line="175" w:lineRule="exact"/>
        <w:rPr>
          <w:sz w:val="20"/>
          <w:szCs w:val="20"/>
          <w:color w:val="auto"/>
        </w:rPr>
      </w:pPr>
    </w:p>
    <w:p>
      <w:pPr>
        <w:ind w:right="3139" w:firstLine="993"/>
        <w:spacing w:after="0" w:line="246" w:lineRule="auto"/>
        <w:tabs>
          <w:tab w:leader="none" w:pos="145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Primary Committee or any Secondary Committee shall serve for such period of time as the Board may determine and may be removed by the Board at any time. The Board may also at any time terminate the functions of any Secondary Committee and reassume all powers and authority previously delegated to such committee.</w:t>
      </w:r>
    </w:p>
    <w:p>
      <w:pPr>
        <w:spacing w:after="0" w:line="177"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options or stock issuances under the Plan.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101" w:name="page102"/>
    <w:bookmarkEnd w:id="101"/>
    <w:p>
      <w:pPr>
        <w:spacing w:after="0"/>
        <w:tabs>
          <w:tab w:leader="none" w:pos="54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ELIGIBILITY</w:t>
      </w:r>
    </w:p>
    <w:p>
      <w:pPr>
        <w:spacing w:after="0" w:line="180" w:lineRule="exact"/>
        <w:rPr>
          <w:sz w:val="20"/>
          <w:szCs w:val="20"/>
          <w:color w:val="auto"/>
        </w:rPr>
      </w:pPr>
    </w:p>
    <w:p>
      <w:pPr>
        <w:ind w:left="-440" w:right="3039" w:firstLine="993"/>
        <w:spacing w:after="0" w:line="247" w:lineRule="auto"/>
        <w:tabs>
          <w:tab w:leader="none" w:pos="1014"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persons eligible to participate in the Discretionary Option Grant and Stock Issuance Programs are as follows:</w:t>
      </w:r>
    </w:p>
    <w:p>
      <w:pPr>
        <w:spacing w:after="0" w:line="174" w:lineRule="exact"/>
        <w:rPr>
          <w:rFonts w:ascii="Courier New" w:cs="Courier New" w:eastAsia="Courier New" w:hAnsi="Courier New"/>
          <w:sz w:val="15"/>
          <w:szCs w:val="15"/>
          <w:color w:val="auto"/>
        </w:rPr>
      </w:pPr>
    </w:p>
    <w:p>
      <w:pPr>
        <w:ind w:left="1920" w:hanging="549"/>
        <w:spacing w:after="0"/>
        <w:tabs>
          <w:tab w:leader="none" w:pos="1920"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9" w:lineRule="exact"/>
        <w:rPr>
          <w:rFonts w:ascii="Courier New" w:cs="Courier New" w:eastAsia="Courier New" w:hAnsi="Courier New"/>
          <w:sz w:val="15"/>
          <w:szCs w:val="15"/>
          <w:color w:val="auto"/>
        </w:rPr>
      </w:pPr>
    </w:p>
    <w:p>
      <w:pPr>
        <w:ind w:right="3419" w:firstLine="1371"/>
        <w:spacing w:after="0" w:line="247" w:lineRule="auto"/>
        <w:tabs>
          <w:tab w:leader="none" w:pos="1908"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members of the Board or the board of directors of any Parent or Subsidiary, and</w:t>
      </w:r>
    </w:p>
    <w:p>
      <w:pPr>
        <w:spacing w:after="0" w:line="174" w:lineRule="exact"/>
        <w:rPr>
          <w:rFonts w:ascii="Courier New" w:cs="Courier New" w:eastAsia="Courier New" w:hAnsi="Courier New"/>
          <w:sz w:val="15"/>
          <w:szCs w:val="15"/>
          <w:color w:val="auto"/>
        </w:rPr>
      </w:pPr>
    </w:p>
    <w:p>
      <w:pPr>
        <w:ind w:left="1920" w:hanging="549"/>
        <w:spacing w:after="0"/>
        <w:tabs>
          <w:tab w:leader="none" w:pos="1920"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consultants and other independent advisors who provide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to the Corporation (or any Parent or Subsidiary).</w:t>
      </w:r>
    </w:p>
    <w:p>
      <w:pPr>
        <w:spacing w:after="0" w:line="179" w:lineRule="exact"/>
        <w:rPr>
          <w:rFonts w:ascii="Courier New" w:cs="Courier New" w:eastAsia="Courier New" w:hAnsi="Courier New"/>
          <w:sz w:val="15"/>
          <w:szCs w:val="15"/>
          <w:color w:val="auto"/>
        </w:rPr>
      </w:pPr>
    </w:p>
    <w:p>
      <w:pPr>
        <w:ind w:left="-440" w:right="2959" w:firstLine="993"/>
        <w:spacing w:after="0" w:line="247" w:lineRule="auto"/>
        <w:tabs>
          <w:tab w:leader="none" w:pos="1014"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non-employee Board members shall be eligible to participate in the Automatic Option Grant Program.</w:t>
      </w:r>
    </w:p>
    <w:p>
      <w:pPr>
        <w:spacing w:after="0" w:line="174" w:lineRule="exact"/>
        <w:rPr>
          <w:rFonts w:ascii="Courier New" w:cs="Courier New" w:eastAsia="Courier New" w:hAnsi="Courier New"/>
          <w:sz w:val="15"/>
          <w:szCs w:val="15"/>
          <w:color w:val="auto"/>
        </w:rPr>
      </w:pPr>
    </w:p>
    <w:p>
      <w:pPr>
        <w:ind w:left="560" w:hanging="552"/>
        <w:spacing w:after="0"/>
        <w:tabs>
          <w:tab w:leader="none" w:pos="56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w:t>
      </w:r>
    </w:p>
    <w:p>
      <w:pPr>
        <w:spacing w:after="0" w:line="179"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issuable under the Plan shall be shares of authorized but unissued or reacquired Common Stock, including shares repurchased by the Corporation on the open market. The maximum number of shares of Common Stock initially reserved for issuance over the term of the Plan shall not exceed Six Million One Hundred Sixteen Thousand Nine Hundred Thirty-Four (6,116,934) shares. Such reserve shall consist of (i) the number of shares estimated to remain available for issuance, as of the Section 12 Registration Date, under the Predecessor Plan, including the shares subject to the outstanding options to be incorporated into the Plan and the additional shares which would otherwise be available for future grant, plus (ii) an increase of Two Million Five Hundred Ninety-Two Thousand (2,592,000) shares authorized by the Board subject to stockholder approval prior to the Section 12 Registration Date.</w:t>
      </w:r>
    </w:p>
    <w:p>
      <w:pPr>
        <w:spacing w:after="0" w:line="182"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available for issuance under the Plan shall automatically increase on the first trading day of January each calendar year during the term of the Plan, beginning with the calendar year 2001, by an amount equal to two percent (2%) of the total number of shares of Common Stock outstanding on the last trading day in December of the immediately preceding calendar year, but in no event shall such annual increase exceed One Million Eighty Thousand (1,080,000) shares.</w:t>
      </w:r>
    </w:p>
    <w:p>
      <w:pPr>
        <w:spacing w:after="0" w:line="179" w:lineRule="exact"/>
        <w:rPr>
          <w:rFonts w:ascii="Courier New" w:cs="Courier New" w:eastAsia="Courier New" w:hAnsi="Courier New"/>
          <w:sz w:val="15"/>
          <w:szCs w:val="15"/>
          <w:color w:val="auto"/>
        </w:rPr>
      </w:pPr>
    </w:p>
    <w:p>
      <w:pPr>
        <w:ind w:left="-440" w:right="3039" w:firstLine="993"/>
        <w:spacing w:after="0" w:line="246" w:lineRule="auto"/>
        <w:tabs>
          <w:tab w:leader="none" w:pos="1014"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one person participating in the Plan may receive options, separately exercisable stock appreciation rights and direct stock issuances for more than One Million Eighty Thousand (1,080,000) shares of Common Stock in the aggregate per calendar year.</w:t>
      </w:r>
    </w:p>
    <w:p>
      <w:pPr>
        <w:spacing w:after="0" w:line="177"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subject to outstanding options (including options incorporated into this Plan from the Predecessor Plan) shall be available for subsequent issuance under the Plan to the extent those options expire, terminate or are cancelled for any reason prior to exercise in full. Unvested shares issued under the Plan and subsequently repurchased by the Corporation, at the original exercise or issue price paid per share, pursuant to the Corporation's repurchase rights under the Plan shall be added back to the number of shares of Common Stock reserved for issuance under the Plan and shall accordingly be available for reissuance through one or more subsequent options or direct stock issuances under the Plan.</w:t>
      </w:r>
    </w:p>
    <w:p>
      <w:pPr>
        <w:spacing w:after="0" w:line="18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643" w:right="1440" w:bottom="1440" w:gutter="0" w:footer="0" w:header="0"/>
        </w:sectPr>
      </w:pPr>
    </w:p>
    <w:bookmarkStart w:id="102" w:name="page103"/>
    <w:bookmarkEnd w:id="102"/>
    <w:p>
      <w:pPr>
        <w:ind w:right="2959"/>
        <w:spacing w:after="0" w:line="246" w:lineRule="auto"/>
        <w:rPr>
          <w:sz w:val="20"/>
          <w:szCs w:val="20"/>
          <w:color w:val="auto"/>
        </w:rPr>
      </w:pPr>
      <w:r>
        <w:rPr>
          <w:rFonts w:ascii="Courier New" w:cs="Courier New" w:eastAsia="Courier New" w:hAnsi="Courier New"/>
          <w:sz w:val="15"/>
          <w:szCs w:val="15"/>
          <w:color w:val="auto"/>
        </w:rPr>
        <w:t>However, should the exercise price of an option under the Plan be paid with shares of Common Stock or should shares of Common Stock otherwise issuable under the Plan be withheld by the Corporation in satisfaction of the withholding taxes incurred in connection with the exercise of an option or the vesting of a stock issuance under the Plan, then the number of shares of Common Stock available for issuance under the Plan shall be reduced by the gross number of shares for which the option is exercised or which vest under the stock issuance, and not by the net number of shares of Common Stock issued to the holder of such option or stock issuance. Shares of Common Stock underlying one or more stock appreciation rights exercised under the Plan shall not be available for subsequent issuance.</w:t>
      </w:r>
    </w:p>
    <w:p>
      <w:pPr>
        <w:spacing w:after="0" w:line="181" w:lineRule="exact"/>
        <w:rPr>
          <w:sz w:val="20"/>
          <w:szCs w:val="20"/>
          <w:color w:val="auto"/>
        </w:rPr>
      </w:pPr>
    </w:p>
    <w:p>
      <w:pPr>
        <w:ind w:right="2959" w:firstLine="993"/>
        <w:spacing w:after="0" w:line="246" w:lineRule="auto"/>
        <w:tabs>
          <w:tab w:leader="none" w:pos="145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change is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and/or class of securities issuable under the Plan, (ii) the number and/or class of securities by which the share reserve is to increase each calendar year pursuant to the automatic share increase provisions of the Plan, (iii) the number and/or class of securities for which any one person may be granted options, separately exercisable stock appreciation rights and direct stock issuances under the Plan per calendar year, (iv) the number and/or class of securities for which grants are subsequently to be made under the Automatic Option Grant Program to new and continuing non-employee Board members, (v) the number and/or class of securities and the exercise price per share in effect under each outstanding option under the Plan and (vi) the number and/or class of securities and price per share in effect under each outstanding option incorporated into this Plan from the Predecessor Plan. Such adjustments to the outstanding options are to be effected in a manner which shall preclude the enlargement or dilution of rights and benefits under such options. The adjustments determined by the Plan Administrator shall be final, binding and conclusive.</w:t>
      </w:r>
    </w:p>
    <w:p>
      <w:pPr>
        <w:spacing w:after="0" w:line="1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103" w:name="page104"/>
    <w:bookmarkEnd w:id="103"/>
    <w:p>
      <w:pPr>
        <w:ind w:left="3087"/>
        <w:spacing w:after="0"/>
        <w:rPr>
          <w:sz w:val="20"/>
          <w:szCs w:val="20"/>
          <w:color w:val="auto"/>
        </w:rPr>
      </w:pPr>
      <w:r>
        <w:rPr>
          <w:rFonts w:ascii="Courier New" w:cs="Courier New" w:eastAsia="Courier New" w:hAnsi="Courier New"/>
          <w:sz w:val="15"/>
          <w:szCs w:val="15"/>
          <w:color w:val="auto"/>
        </w:rPr>
        <w:t>ARTICLE TWO</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DISCRETIONARY OPTION GRANT PROGRAM</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7" w:hanging="552"/>
        <w:spacing w:after="0"/>
        <w:tabs>
          <w:tab w:leader="none" w:pos="100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80" w:lineRule="exact"/>
        <w:rPr>
          <w:sz w:val="20"/>
          <w:szCs w:val="20"/>
          <w:color w:val="auto"/>
        </w:rPr>
      </w:pPr>
    </w:p>
    <w:p>
      <w:pPr>
        <w:ind w:left="7" w:right="3139" w:firstLine="1000"/>
        <w:spacing w:after="0" w:line="246" w:lineRule="auto"/>
        <w:rPr>
          <w:sz w:val="20"/>
          <w:szCs w:val="20"/>
          <w:color w:val="auto"/>
        </w:rPr>
      </w:pPr>
      <w:r>
        <w:rPr>
          <w:rFonts w:ascii="Courier New" w:cs="Courier New" w:eastAsia="Courier New" w:hAnsi="Courier New"/>
          <w:sz w:val="15"/>
          <w:szCs w:val="15"/>
          <w:color w:val="auto"/>
        </w:rPr>
        <w:t>Each option shall be evidenced by one or more documents in the form approved by the Plan Administrator; provided, however, that each such document</w:t>
      </w:r>
    </w:p>
    <w:p>
      <w:pPr>
        <w:spacing w:after="0" w:line="1"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shall comply with the terms specified below. Each document evidencing an Incentive Option shall, in addition, be subject to the provisions of the Plan applicable to such options.</w:t>
      </w:r>
    </w:p>
    <w:p>
      <w:pPr>
        <w:spacing w:after="0" w:line="174" w:lineRule="exact"/>
        <w:rPr>
          <w:sz w:val="20"/>
          <w:szCs w:val="20"/>
          <w:color w:val="auto"/>
        </w:rPr>
      </w:pPr>
    </w:p>
    <w:p>
      <w:pPr>
        <w:ind w:left="1447" w:hanging="447"/>
        <w:spacing w:after="0"/>
        <w:tabs>
          <w:tab w:leader="none" w:pos="144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fixed by the Plan Administrator at the time of the option grant and may be less than, equal to or greater than the Fair Market Value per share of Common Stock on the option grant date.</w:t>
      </w:r>
    </w:p>
    <w:p>
      <w:pPr>
        <w:spacing w:after="0" w:line="177" w:lineRule="exact"/>
        <w:rPr>
          <w:rFonts w:ascii="Courier New" w:cs="Courier New" w:eastAsia="Courier New" w:hAnsi="Courier New"/>
          <w:sz w:val="15"/>
          <w:szCs w:val="15"/>
          <w:color w:val="auto"/>
        </w:rPr>
      </w:pPr>
    </w:p>
    <w:p>
      <w:pPr>
        <w:ind w:left="7" w:right="3039" w:firstLine="1447"/>
        <w:spacing w:after="0" w:line="246" w:lineRule="auto"/>
        <w:tabs>
          <w:tab w:leader="none" w:pos="1915"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become immediately due upon exercise of the option and shall, subject to the provisions of Section II of Article Five and the documents evidencing the option, be payable in one or more of the following forms:</w:t>
      </w:r>
    </w:p>
    <w:p>
      <w:pPr>
        <w:spacing w:after="0" w:line="177" w:lineRule="exact"/>
        <w:rPr>
          <w:rFonts w:ascii="Courier New" w:cs="Courier New" w:eastAsia="Courier New" w:hAnsi="Courier New"/>
          <w:sz w:val="15"/>
          <w:szCs w:val="15"/>
          <w:color w:val="auto"/>
        </w:rPr>
      </w:pPr>
    </w:p>
    <w:p>
      <w:pPr>
        <w:ind w:left="2447" w:hanging="538"/>
        <w:spacing w:after="0"/>
        <w:tabs>
          <w:tab w:leader="none" w:pos="2447"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or check made payable to the Corporation;</w:t>
      </w:r>
    </w:p>
    <w:p>
      <w:pPr>
        <w:spacing w:after="0" w:line="179" w:lineRule="exact"/>
        <w:rPr>
          <w:rFonts w:ascii="Courier New" w:cs="Courier New" w:eastAsia="Courier New" w:hAnsi="Courier New"/>
          <w:sz w:val="15"/>
          <w:szCs w:val="15"/>
          <w:color w:val="auto"/>
        </w:rPr>
      </w:pPr>
    </w:p>
    <w:p>
      <w:pPr>
        <w:ind w:left="447" w:right="2959" w:firstLine="1462"/>
        <w:spacing w:after="0" w:line="247" w:lineRule="auto"/>
        <w:tabs>
          <w:tab w:leader="none" w:pos="2446"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held for the requisite period necessary to avoid a charge to the Corporation's earnings for financial reporting purposes and valued at Fair Market Value on the Exercise Date, or</w:t>
      </w:r>
    </w:p>
    <w:p>
      <w:pPr>
        <w:spacing w:after="0" w:line="174" w:lineRule="exact"/>
        <w:rPr>
          <w:rFonts w:ascii="Courier New" w:cs="Courier New" w:eastAsia="Courier New" w:hAnsi="Courier New"/>
          <w:sz w:val="15"/>
          <w:szCs w:val="15"/>
          <w:color w:val="auto"/>
        </w:rPr>
      </w:pPr>
    </w:p>
    <w:p>
      <w:pPr>
        <w:ind w:left="447" w:right="3139" w:firstLine="1462"/>
        <w:spacing w:after="0" w:line="246" w:lineRule="auto"/>
        <w:tabs>
          <w:tab w:leader="none" w:pos="2446"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option is exercised for vested shares, through a special sale and remittance procedure pursuant to which the Optionee shall concurrently provide irrevocable instructions to (a)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181" w:lineRule="exact"/>
        <w:rPr>
          <w:sz w:val="20"/>
          <w:szCs w:val="20"/>
          <w:color w:val="auto"/>
        </w:rPr>
      </w:pPr>
    </w:p>
    <w:p>
      <w:pPr>
        <w:ind w:left="7" w:right="3039" w:firstLine="1000"/>
        <w:spacing w:after="0" w:line="247" w:lineRule="auto"/>
        <w:rPr>
          <w:sz w:val="20"/>
          <w:szCs w:val="20"/>
          <w:color w:val="auto"/>
        </w:rPr>
      </w:pPr>
      <w:r>
        <w:rPr>
          <w:rFonts w:ascii="Courier New" w:cs="Courier New" w:eastAsia="Courier New" w:hAnsi="Courier New"/>
          <w:sz w:val="15"/>
          <w:szCs w:val="15"/>
          <w:color w:val="auto"/>
        </w:rPr>
        <w:t>Except to the extent such sale and remittance procedure is utilized, payment of the exercise price for the purchased shares must be made on the Exercise Date.</w:t>
      </w:r>
    </w:p>
    <w:p>
      <w:pPr>
        <w:spacing w:after="0" w:line="174" w:lineRule="exact"/>
        <w:rPr>
          <w:sz w:val="20"/>
          <w:szCs w:val="20"/>
          <w:color w:val="auto"/>
        </w:rPr>
      </w:pPr>
    </w:p>
    <w:p>
      <w:pPr>
        <w:ind w:left="1447" w:hanging="447"/>
        <w:spacing w:after="0"/>
        <w:tabs>
          <w:tab w:leader="none" w:pos="144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Term of Options.  Each option shall be exercisable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at such time or times, during such period and for such number of shares as shall be determined by the Plan Administrator and set forth in the documents evidencing the option. However, no option shall have a term in excess of ten</w:t>
      </w:r>
    </w:p>
    <w:p>
      <w:pPr>
        <w:spacing w:after="0" w:line="2" w:lineRule="exact"/>
        <w:rPr>
          <w:sz w:val="20"/>
          <w:szCs w:val="20"/>
          <w:color w:val="auto"/>
        </w:rPr>
      </w:pPr>
    </w:p>
    <w:p>
      <w:pPr>
        <w:ind w:left="3547" w:right="5959" w:hanging="3547"/>
        <w:spacing w:after="0" w:line="494" w:lineRule="auto"/>
        <w:tabs>
          <w:tab w:leader="none" w:pos="45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measured from the option grant date. 5</w:t>
      </w:r>
    </w:p>
    <w:p>
      <w:pPr>
        <w:sectPr>
          <w:pgSz w:w="11900" w:h="16838" w:orient="portrait"/>
          <w:cols w:equalWidth="0" w:num="1">
            <w:col w:w="10226"/>
          </w:cols>
          <w:pgMar w:left="233" w:top="643" w:right="1440" w:bottom="1440" w:gutter="0" w:footer="0" w:header="0"/>
        </w:sectPr>
      </w:pPr>
    </w:p>
    <w:bookmarkStart w:id="104" w:name="page105"/>
    <w:bookmarkEnd w:id="104"/>
    <w:p>
      <w:pPr>
        <w:ind w:left="1440" w:hanging="447"/>
        <w:spacing w:after="0"/>
        <w:tabs>
          <w:tab w:leader="none" w:pos="14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Service.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447"/>
        <w:spacing w:after="0" w:line="247" w:lineRule="auto"/>
        <w:tabs>
          <w:tab w:leader="none" w:pos="1908"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provisions shall govern the exercise of any options outstanding at the time of the Optionee's cessation of Service or death:</w:t>
      </w:r>
    </w:p>
    <w:p>
      <w:pPr>
        <w:spacing w:after="0" w:line="174" w:lineRule="exact"/>
        <w:rPr>
          <w:rFonts w:ascii="Courier New" w:cs="Courier New" w:eastAsia="Courier New" w:hAnsi="Courier New"/>
          <w:sz w:val="15"/>
          <w:szCs w:val="15"/>
          <w:color w:val="auto"/>
        </w:rPr>
      </w:pPr>
    </w:p>
    <w:p>
      <w:pPr>
        <w:ind w:left="440" w:right="3039" w:firstLine="1462"/>
        <w:spacing w:after="0" w:line="246" w:lineRule="auto"/>
        <w:tabs>
          <w:tab w:leader="none" w:pos="2439"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outstanding at the time of the Optionee's cessation of Service for any reason shall remain exercisable for such period of time thereafter as shall be determined by the Plan Administrator and set forth in the documents evidencing the option, but no such option shall be exercisable after the expiration of the option term.</w:t>
      </w:r>
    </w:p>
    <w:p>
      <w:pPr>
        <w:spacing w:after="0" w:line="177" w:lineRule="exact"/>
        <w:rPr>
          <w:rFonts w:ascii="Courier New" w:cs="Courier New" w:eastAsia="Courier New" w:hAnsi="Courier New"/>
          <w:sz w:val="15"/>
          <w:szCs w:val="15"/>
          <w:color w:val="auto"/>
        </w:rPr>
      </w:pPr>
    </w:p>
    <w:p>
      <w:pPr>
        <w:ind w:left="440" w:right="3139" w:firstLine="1462"/>
        <w:spacing w:after="0" w:line="247" w:lineRule="auto"/>
        <w:tabs>
          <w:tab w:leader="none" w:pos="2439"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exercisable in whole or in part by the Optionee at the time of death may be subsequently exercised by his or her Beneficiary.</w:t>
      </w:r>
    </w:p>
    <w:p>
      <w:pPr>
        <w:spacing w:after="0" w:line="174" w:lineRule="exact"/>
        <w:rPr>
          <w:rFonts w:ascii="Courier New" w:cs="Courier New" w:eastAsia="Courier New" w:hAnsi="Courier New"/>
          <w:sz w:val="15"/>
          <w:szCs w:val="15"/>
          <w:color w:val="auto"/>
        </w:rPr>
      </w:pPr>
    </w:p>
    <w:p>
      <w:pPr>
        <w:ind w:left="440" w:right="2959" w:firstLine="1462"/>
        <w:spacing w:after="0" w:line="246" w:lineRule="auto"/>
        <w:tabs>
          <w:tab w:leader="none" w:pos="2439"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applicable post-Service exercise period, the option may not be exercised in the aggregate for more than the number of vested shares for which the option is exercisable on the date of the Optionee's cessation of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Service, terminate and cease to be outstanding to the extent the option is not otherwise at that time exercisable for vested shares.</w:t>
      </w:r>
    </w:p>
    <w:p>
      <w:pPr>
        <w:spacing w:after="0" w:line="180" w:lineRule="exact"/>
        <w:rPr>
          <w:rFonts w:ascii="Courier New" w:cs="Courier New" w:eastAsia="Courier New" w:hAnsi="Courier New"/>
          <w:sz w:val="15"/>
          <w:szCs w:val="15"/>
          <w:color w:val="auto"/>
        </w:rPr>
      </w:pPr>
    </w:p>
    <w:p>
      <w:pPr>
        <w:ind w:left="440" w:right="3039" w:firstLine="1462"/>
        <w:spacing w:after="0" w:line="246" w:lineRule="auto"/>
        <w:tabs>
          <w:tab w:leader="none" w:pos="2439"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Optionee's Service be terminated for Misconduct or should the Optionee engage in Misconduct while his or her options are outstanding, then all such options shall terminate immediately and cease to be outstanding.</w:t>
      </w:r>
    </w:p>
    <w:p>
      <w:pPr>
        <w:spacing w:after="0" w:line="177" w:lineRule="exact"/>
        <w:rPr>
          <w:rFonts w:ascii="Courier New" w:cs="Courier New" w:eastAsia="Courier New" w:hAnsi="Courier New"/>
          <w:sz w:val="15"/>
          <w:szCs w:val="15"/>
          <w:color w:val="auto"/>
        </w:rPr>
      </w:pPr>
    </w:p>
    <w:p>
      <w:pPr>
        <w:ind w:right="3319" w:firstLine="1447"/>
        <w:spacing w:after="0" w:line="247" w:lineRule="auto"/>
        <w:tabs>
          <w:tab w:leader="none" w:pos="1908"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shall have complete discretion, exercisable either at the time an option is granted or at any time while the option remains outstanding:</w:t>
      </w:r>
    </w:p>
    <w:p>
      <w:pPr>
        <w:spacing w:after="0" w:line="174" w:lineRule="exact"/>
        <w:rPr>
          <w:rFonts w:ascii="Courier New" w:cs="Courier New" w:eastAsia="Courier New" w:hAnsi="Courier New"/>
          <w:sz w:val="15"/>
          <w:szCs w:val="15"/>
          <w:color w:val="auto"/>
        </w:rPr>
      </w:pPr>
    </w:p>
    <w:p>
      <w:pPr>
        <w:ind w:left="440" w:right="2959" w:firstLine="1462"/>
        <w:spacing w:after="0" w:line="246" w:lineRule="auto"/>
        <w:tabs>
          <w:tab w:leader="none" w:pos="2439"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period of time for which the option is to remain exercisable following the Optionee's cessation of Service to such period of time as the Plan Administrator shall deem appropriate, but in no event beyond the expiration of the option term, and/or</w:t>
      </w:r>
    </w:p>
    <w:p>
      <w:pPr>
        <w:spacing w:after="0" w:line="177" w:lineRule="exact"/>
        <w:rPr>
          <w:rFonts w:ascii="Courier New" w:cs="Courier New" w:eastAsia="Courier New" w:hAnsi="Courier New"/>
          <w:sz w:val="15"/>
          <w:szCs w:val="15"/>
          <w:color w:val="auto"/>
        </w:rPr>
      </w:pPr>
    </w:p>
    <w:p>
      <w:pPr>
        <w:ind w:left="440" w:right="3419" w:firstLine="1462"/>
        <w:spacing w:after="0" w:line="246" w:lineRule="auto"/>
        <w:tabs>
          <w:tab w:leader="none" w:pos="2439"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the option to be exercised, during the applicable post-Service exercise period, for one or more additional installments in which the Optionee would have vested had the Optionee continued in Service.</w:t>
      </w:r>
    </w:p>
    <w:p>
      <w:pPr>
        <w:spacing w:after="0" w:line="177"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The holder of an option shall have no</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stockholder rights with respect to the shares subject to the option until such person shall have exercised the option, paid the exercise price and become a holder of record of the purchased shares.</w:t>
      </w:r>
    </w:p>
    <w:p>
      <w:pPr>
        <w:spacing w:after="0" w:line="174" w:lineRule="exact"/>
        <w:rPr>
          <w:sz w:val="20"/>
          <w:szCs w:val="20"/>
          <w:color w:val="auto"/>
        </w:rPr>
      </w:pPr>
    </w:p>
    <w:p>
      <w:pPr>
        <w:ind w:left="1440" w:hanging="447"/>
        <w:spacing w:after="0"/>
        <w:tabs>
          <w:tab w:leader="none" w:pos="14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Rights.  The Plan Administrator shall have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discretion to grant options which are exercisable for unvested shares of Common Stock. Should the Optionee cease Service while holding such unvested shares, the Corporation shall have the right to</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05" w:name="page106"/>
    <w:bookmarkEnd w:id="105"/>
    <w:p>
      <w:pPr>
        <w:ind w:right="3139"/>
        <w:spacing w:after="0" w:line="246" w:lineRule="auto"/>
        <w:rPr>
          <w:sz w:val="20"/>
          <w:szCs w:val="20"/>
          <w:color w:val="auto"/>
        </w:rPr>
      </w:pPr>
      <w:r>
        <w:rPr>
          <w:rFonts w:ascii="Courier New" w:cs="Courier New" w:eastAsia="Courier New" w:hAnsi="Courier New"/>
          <w:sz w:val="15"/>
          <w:szCs w:val="15"/>
          <w:color w:val="auto"/>
        </w:rPr>
        <w:t>repurchase, at the exercise price paid per share, any or all of those unvested shares.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178" w:lineRule="exact"/>
        <w:rPr>
          <w:sz w:val="20"/>
          <w:szCs w:val="20"/>
          <w:color w:val="auto"/>
        </w:rPr>
      </w:pPr>
    </w:p>
    <w:p>
      <w:pPr>
        <w:ind w:left="1440" w:hanging="447"/>
        <w:spacing w:after="0"/>
        <w:tabs>
          <w:tab w:leader="none" w:pos="1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Transferability of Options.  During the lifetime of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Optionee, Incentive Options shall be exercisable only by the Optionee and shall not be assignable or transferable other than by will or by the laws of inheritance following the Optionee's death. Non-Statutory Options shall be subject to the same restrictions, except that a Non-Statutory Option may, to the extent permitted by the Plan Administrator, be assigned in whole or in part during the Optionee's lifetime (i) as a gift to one or more members of the Optionee's immediate family, to a trust in which Optionee and/or one or more such family members hold more than fifty percent (50%) of the beneficial interest or to an entity in which more than fifty percent (50%) of the voting interests are owned by one or more such family members or (ii) pursuant to a domestic relations order.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183"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Notwithstanding the foregoing, the Optionee may also designate one or more persons as the beneficiary or beneficiaries of his or her outstanding options,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80" w:lineRule="exact"/>
        <w:rPr>
          <w:sz w:val="20"/>
          <w:szCs w:val="20"/>
          <w:color w:val="auto"/>
        </w:rPr>
      </w:pPr>
    </w:p>
    <w:p>
      <w:pPr>
        <w:ind w:left="1000" w:hanging="552"/>
        <w:spacing w:after="0"/>
        <w:tabs>
          <w:tab w:leader="none" w:pos="10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OPTIONS</w:t>
      </w:r>
    </w:p>
    <w:p>
      <w:pPr>
        <w:spacing w:after="0" w:line="180"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The terms specified below shall be applicable to all Incentive Options. Except as modified by the provisions of this Section II, all the provisions of Articles One, Two and Six shall be applicable to Incentive Options. Options which are specifically designated as Non-Statutory Options when issued under the Plan shall not be subject to the terms of this Section II.</w:t>
      </w: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hanging="447"/>
        <w:spacing w:after="0"/>
        <w:tabs>
          <w:tab w:leader="none" w:pos="14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Incentive Options may only be granted to</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left="1440" w:hanging="447"/>
        <w:spacing w:after="0"/>
        <w:tabs>
          <w:tab w:leader="none" w:pos="14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per share shall not be less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than one hundred percent (100%) of the Fair Market Value per share of Common Stock on the option grant date.</w:t>
      </w:r>
    </w:p>
    <w:p>
      <w:pPr>
        <w:spacing w:after="0" w:line="175" w:lineRule="exact"/>
        <w:rPr>
          <w:sz w:val="20"/>
          <w:szCs w:val="20"/>
          <w:color w:val="auto"/>
        </w:rPr>
      </w:pPr>
    </w:p>
    <w:p>
      <w:pPr>
        <w:ind w:left="1440" w:hanging="447"/>
        <w:spacing w:after="0"/>
        <w:tabs>
          <w:tab w:leader="none" w:pos="14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 Limitation.  The aggregate Fair Market Value of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on the basis of the order in which such options are granted.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106" w:name="page107"/>
    <w:bookmarkEnd w:id="106"/>
    <w:p>
      <w:pPr>
        <w:ind w:left="1447" w:hanging="447"/>
        <w:spacing w:after="0"/>
        <w:tabs>
          <w:tab w:leader="none" w:pos="144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Stockholder.  If any Employee to whom an Incentive Option is</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granted is a 10% Stockholder, then the exercise price per share shall not be less than one hundred ten percent (110%) of the Fair Market Value per share of Common Stock on the option grant date, and the option term shall not exceed five</w:t>
      </w:r>
    </w:p>
    <w:p>
      <w:pPr>
        <w:spacing w:after="0" w:line="2" w:lineRule="exact"/>
        <w:rPr>
          <w:sz w:val="20"/>
          <w:szCs w:val="20"/>
          <w:color w:val="auto"/>
        </w:rPr>
      </w:pPr>
    </w:p>
    <w:p>
      <w:pPr>
        <w:ind w:left="367" w:hanging="367"/>
        <w:spacing w:after="0"/>
        <w:tabs>
          <w:tab w:leader="none" w:pos="36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measured from the option grant date.</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III.  CHANGE IN CONTROL/HOSTILE TAKE-OVER</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outstanding at the time of a Change in Control but not otherwise fully-vested shall automatically accelerate so that each such option shall, immediately prior to the effective date of the Change in Control, become exercisable for all of the shares of Common Stock at the time subject to that option and may be exercised for any or all of those shares as fully-vested shares of Common Stock. However, an outstanding option shall not so accelerate if and to the extent: (i) such option is, in connection with the Change in Control, assumed or otherwise continued in full force and effect by the successor corporation (or parent thereof) pursuant to the terms of the Change in Control, (ii) such option is replaced with a cash incentive program of the successor corporation which preserves the spread existing at the time of the Change in Control on the shares of Common Stock for which the option is not otherwise at that time exercisable and provides for subsequent payout in accordance with the same vesting schedule applicable to those option shares or (iii) the acceleration of such option is subject to other limitations imposed by the Plan Administrator at the time of the option grant. Each option outstanding at the time of the Change in Control shall terminate as provided in Section III.C. of this Article Two.</w:t>
      </w:r>
    </w:p>
    <w:p>
      <w:pPr>
        <w:spacing w:after="0" w:line="185"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repurchase rights shall also terminate automatically, and the shares of Common Stock subject to those terminated rights shall immediately vest in full, in the event of any Change in Control, except to the extent: (i) those repurchase rights are assigned to the successor corporation (or parent thereof) or otherwise continue in full force and effect pursuant to the terms of the Change in Control or (ii) such accelerated vesting is precluded by other limitations imposed by the Plan Administrator at the time the repurchase right is issued.</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consummation of the Change in Control, all outstanding options shall terminate and cease to be outstanding, except to the extent assumed by the successor corporation (or parent thereof) or otherwise expressly continued in full force and effect pursuant to the terms of the Change in Control.</w:t>
      </w:r>
    </w:p>
    <w:p>
      <w:pPr>
        <w:spacing w:after="0" w:line="177" w:lineRule="exact"/>
        <w:rPr>
          <w:rFonts w:ascii="Courier New" w:cs="Courier New" w:eastAsia="Courier New" w:hAnsi="Courier New"/>
          <w:sz w:val="15"/>
          <w:szCs w:val="15"/>
          <w:color w:val="auto"/>
        </w:rPr>
      </w:pPr>
    </w:p>
    <w:p>
      <w:pPr>
        <w:ind w:left="7" w:right="3039" w:firstLine="993"/>
        <w:spacing w:after="0" w:line="246" w:lineRule="auto"/>
        <w:tabs>
          <w:tab w:leader="none" w:pos="1461"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which is assumed in connection with a Change in Control shall be appropriately adjusted, immediately after such Change in Control, to apply to the number and class of securities which would have been issuable to the Optionee in consummation of such Change in Control had the option been exercised immediately prior to such Change in Control. Appropriate adjustments to reflect such Change in Control shall also be made to (i) the exercise price payable per share under each outstanding option, provided the</w:t>
      </w:r>
    </w:p>
    <w:p>
      <w:pPr>
        <w:spacing w:after="0" w:line="4" w:lineRule="exact"/>
        <w:rPr>
          <w:sz w:val="20"/>
          <w:szCs w:val="20"/>
          <w:color w:val="auto"/>
        </w:rPr>
      </w:pPr>
    </w:p>
    <w:p>
      <w:pPr>
        <w:ind w:left="58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aggregate exercise price payable for such securities shall remain the same, (ii) the maximum number and/or class of securities available for issuance over the remaining term of the Plan and (iii) the maximum number and/or class of securities for which any one person may be granted options, separately exercisable stock appreciation rights and direct stock issuances under the Plan per calendar year. To the extent the actual holders of the Corporation's outstanding Common Stock receive cash consideration for their Common Stock in consummation of the Change in Control, the successor</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107" w:name="page108"/>
    <w:bookmarkEnd w:id="107"/>
    <w:p>
      <w:pPr>
        <w:ind w:right="3139"/>
        <w:spacing w:after="0" w:line="246" w:lineRule="auto"/>
        <w:rPr>
          <w:sz w:val="20"/>
          <w:szCs w:val="20"/>
          <w:color w:val="auto"/>
        </w:rPr>
      </w:pPr>
      <w:r>
        <w:rPr>
          <w:rFonts w:ascii="Courier New" w:cs="Courier New" w:eastAsia="Courier New" w:hAnsi="Courier New"/>
          <w:sz w:val="15"/>
          <w:szCs w:val="15"/>
          <w:color w:val="auto"/>
        </w:rPr>
        <w:t>corporation may, in connection with the assumption of the outstanding options, substitute one or more shares of its own common stock with a fair market value equivalent to the cash consideration paid per share of Common Stock in such Change in Control.</w:t>
      </w:r>
    </w:p>
    <w:p>
      <w:pPr>
        <w:spacing w:after="0" w:line="177" w:lineRule="exact"/>
        <w:rPr>
          <w:sz w:val="20"/>
          <w:szCs w:val="20"/>
          <w:color w:val="auto"/>
        </w:rPr>
      </w:pPr>
    </w:p>
    <w:p>
      <w:pPr>
        <w:ind w:right="2959" w:firstLine="993"/>
        <w:spacing w:after="0" w:line="246" w:lineRule="auto"/>
        <w:tabs>
          <w:tab w:leader="none" w:pos="14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that one or more options will automatically accelerate in connection with a Change in Control, whether or not those options are assumed or otherwise continued in full force and effect pursuant to the terms of the Change in Control. Any such option shall accordingly become exercisable, immediately prior to the effective date of such Change in Control, for all of the shares of Common Stock at the time subject to that option and may be exercised for any or all of those shares as fully-vested shares of Common Stock. In addition, the Plan Administrator may at any time provide that one or more of the Corporation's repurchase rights shall not be assignable in connection with such Change in Control and shall terminate upon the consummation of such Change in Control.</w:t>
      </w:r>
    </w:p>
    <w:p>
      <w:pPr>
        <w:spacing w:after="0" w:line="181" w:lineRule="exact"/>
        <w:rPr>
          <w:rFonts w:ascii="Courier New" w:cs="Courier New" w:eastAsia="Courier New" w:hAnsi="Courier New"/>
          <w:sz w:val="15"/>
          <w:szCs w:val="15"/>
          <w:color w:val="auto"/>
        </w:rPr>
      </w:pPr>
    </w:p>
    <w:p>
      <w:pPr>
        <w:ind w:right="3039" w:firstLine="993"/>
        <w:spacing w:after="0" w:line="246" w:lineRule="auto"/>
        <w:tabs>
          <w:tab w:leader="none" w:pos="14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that one or more options will automatically accelerate upon an Involuntary Termination of the Optionee's Service within a designated period (not to exceed twenty-four (24) months) following the effective date of any Change in Control in which those options do not otherwise accelerate. Any options so accelerated shall remain exercisable for fully-vested shares until the earlier of (i) the expiration of</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term or (ii) the expiration of the one (1) year period measured from</w:t>
      </w:r>
    </w:p>
    <w:p>
      <w:pPr>
        <w:spacing w:after="0" w:line="5" w:lineRule="exact"/>
        <w:rPr>
          <w:sz w:val="20"/>
          <w:szCs w:val="20"/>
          <w:color w:val="auto"/>
        </w:rPr>
      </w:pPr>
    </w:p>
    <w:p>
      <w:pPr>
        <w:spacing w:after="0"/>
        <w:tabs>
          <w:tab w:leader="none" w:pos="4700" w:val="left"/>
        </w:tabs>
        <w:rPr>
          <w:sz w:val="20"/>
          <w:szCs w:val="20"/>
          <w:color w:val="auto"/>
        </w:rPr>
      </w:pPr>
      <w:r>
        <w:rPr>
          <w:rFonts w:ascii="Courier New" w:cs="Courier New" w:eastAsia="Courier New" w:hAnsi="Courier New"/>
          <w:sz w:val="15"/>
          <w:szCs w:val="15"/>
          <w:color w:val="auto"/>
        </w:rPr>
        <w:t>the effective date of the Involuntary Termination.</w:t>
        <w:tab/>
        <w:t>In addition, the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Administrator may at any time provide that one or more of the Corporation's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rights shall immediately terminate upon such Involuntary Termination.</w:t>
      </w:r>
    </w:p>
    <w:p>
      <w:pPr>
        <w:spacing w:after="0" w:line="180" w:lineRule="exact"/>
        <w:rPr>
          <w:sz w:val="20"/>
          <w:szCs w:val="20"/>
          <w:color w:val="auto"/>
        </w:rPr>
      </w:pPr>
    </w:p>
    <w:p>
      <w:pPr>
        <w:ind w:right="2959" w:firstLine="993"/>
        <w:spacing w:after="0" w:line="246" w:lineRule="auto"/>
        <w:tabs>
          <w:tab w:leader="none" w:pos="14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that one or more options will automatically accelerate in connection with a Hostile Take-Over. Any such option shall become exercisable, immediately prior to the effective date of such Hostile Take-Over, for all of the shares of Common Stock at the time subject to that option and may be exercised for any or all of those shares as fully-vested shares of Common Stock. In addition, the Plan Administrator may at any time provide that one or more of the Corporation's repurchase rights shall terminate automatically upon the consummation of such Hostile Take-Over. Alternatively, the Plan Administrator may condition such automatic acceleration and termination upon an Involuntary Termination of the Optionee's Service within a designated period (not to exceed twenty-four (24) months) following the effective date of such Hostile Take-Over. Each option so accelerated shall remain exercisable for fully-vested shares until the expiration or sooner termination of the option term.</w:t>
      </w:r>
    </w:p>
    <w:p>
      <w:pPr>
        <w:spacing w:after="0" w:line="183" w:lineRule="exact"/>
        <w:rPr>
          <w:rFonts w:ascii="Courier New" w:cs="Courier New" w:eastAsia="Courier New" w:hAnsi="Courier New"/>
          <w:sz w:val="15"/>
          <w:szCs w:val="15"/>
          <w:color w:val="auto"/>
        </w:rPr>
      </w:pPr>
    </w:p>
    <w:p>
      <w:pPr>
        <w:ind w:right="3039" w:firstLine="993"/>
        <w:spacing w:after="0" w:line="246" w:lineRule="auto"/>
        <w:tabs>
          <w:tab w:leader="none" w:pos="14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any Incentive Option accelerated in connection with a Change in Control or Hostile Take Over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78"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STOCK APPRECIATION RIGHTS</w:t>
      </w:r>
    </w:p>
    <w:p>
      <w:pPr>
        <w:spacing w:after="0" w:line="180" w:lineRule="exact"/>
        <w:rPr>
          <w:sz w:val="20"/>
          <w:szCs w:val="20"/>
          <w:color w:val="auto"/>
        </w:rPr>
      </w:pPr>
    </w:p>
    <w:p>
      <w:pPr>
        <w:jc w:val="both"/>
        <w:ind w:right="3419" w:firstLine="1000"/>
        <w:spacing w:after="0" w:line="247" w:lineRule="auto"/>
        <w:rPr>
          <w:sz w:val="20"/>
          <w:szCs w:val="20"/>
          <w:color w:val="auto"/>
        </w:rPr>
      </w:pPr>
      <w:r>
        <w:rPr>
          <w:rFonts w:ascii="Courier New" w:cs="Courier New" w:eastAsia="Courier New" w:hAnsi="Courier New"/>
          <w:sz w:val="15"/>
          <w:szCs w:val="15"/>
          <w:color w:val="auto"/>
        </w:rPr>
        <w:t>The Plan Administrator may, subject to such conditions as it may determine, grant to selected Optionees stock appreciation rights which will allow the holders of those rights to</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2" w:right="1440" w:bottom="1440" w:gutter="0" w:footer="0" w:header="0"/>
        </w:sectPr>
      </w:pPr>
    </w:p>
    <w:bookmarkStart w:id="108" w:name="page109"/>
    <w:bookmarkEnd w:id="108"/>
    <w:p>
      <w:pPr>
        <w:ind w:right="2959"/>
        <w:spacing w:after="0" w:line="246" w:lineRule="auto"/>
        <w:rPr>
          <w:sz w:val="20"/>
          <w:szCs w:val="20"/>
          <w:color w:val="auto"/>
        </w:rPr>
      </w:pPr>
      <w:r>
        <w:rPr>
          <w:rFonts w:ascii="Courier New" w:cs="Courier New" w:eastAsia="Courier New" w:hAnsi="Courier New"/>
          <w:sz w:val="15"/>
          <w:szCs w:val="15"/>
          <w:color w:val="auto"/>
        </w:rPr>
        <w:t>elect between the exercise of the underlying option for shares of Common Stock and the surrender of that option in exchange for a distribution from the Corporation in an amount equal to the excess of (a) the Option Surrender Value of the number of shares for which the option is surrendered over (b) the aggregate exercise price payable for such shares. The distribution may be made in shares of Common Stock valued at Fair Market Value on the option surrender date, in cash, or partly in shares and partly in cash, as the Plan Administrator shall in its sole discretion deem appropriate.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2" w:right="1440" w:bottom="1440" w:gutter="0" w:footer="0" w:header="0"/>
        </w:sectPr>
      </w:pPr>
    </w:p>
    <w:bookmarkStart w:id="109" w:name="page110"/>
    <w:bookmarkEnd w:id="109"/>
    <w:p>
      <w:pPr>
        <w:ind w:left="3007"/>
        <w:spacing w:after="0"/>
        <w:rPr>
          <w:sz w:val="20"/>
          <w:szCs w:val="20"/>
          <w:color w:val="auto"/>
        </w:rPr>
      </w:pPr>
      <w:r>
        <w:rPr>
          <w:rFonts w:ascii="Courier New" w:cs="Courier New" w:eastAsia="Courier New" w:hAnsi="Courier New"/>
          <w:sz w:val="15"/>
          <w:szCs w:val="15"/>
          <w:color w:val="auto"/>
        </w:rPr>
        <w:t>ARTICLE THREE</w:t>
      </w:r>
    </w:p>
    <w:p>
      <w:pPr>
        <w:spacing w:after="0" w:line="354"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STOCK ISSUANCE PROGRAM</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7" w:hanging="552"/>
        <w:spacing w:after="0"/>
        <w:tabs>
          <w:tab w:leader="none" w:pos="100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ISSUANCE TERMS</w:t>
      </w:r>
    </w:p>
    <w:p>
      <w:pPr>
        <w:spacing w:after="0" w:line="180" w:lineRule="exact"/>
        <w:rPr>
          <w:sz w:val="20"/>
          <w:szCs w:val="20"/>
          <w:color w:val="auto"/>
        </w:rPr>
      </w:pPr>
    </w:p>
    <w:p>
      <w:pPr>
        <w:ind w:left="7" w:right="2959" w:firstLine="1000"/>
        <w:spacing w:after="0" w:line="246" w:lineRule="auto"/>
        <w:rPr>
          <w:sz w:val="20"/>
          <w:szCs w:val="20"/>
          <w:color w:val="auto"/>
        </w:rPr>
      </w:pPr>
      <w:r>
        <w:rPr>
          <w:rFonts w:ascii="Courier New" w:cs="Courier New" w:eastAsia="Courier New" w:hAnsi="Courier New"/>
          <w:sz w:val="15"/>
          <w:szCs w:val="15"/>
          <w:color w:val="auto"/>
        </w:rPr>
        <w:t>Shares of Common Stock may be issued under the Stock Issuance Program through direct and immediate issuances without any intervening options. Shares of Common Stock may also be issued under the Stock Issuance Program pursuant to share right awards which entitle the recipients to receive those shares upon the attainment of designated performance goals or Service requirements. Each such award shall be evidenced by one or more documents which comply with the terms specified below.</w:t>
      </w:r>
    </w:p>
    <w:p>
      <w:pPr>
        <w:spacing w:after="0" w:line="179" w:lineRule="exact"/>
        <w:rPr>
          <w:sz w:val="20"/>
          <w:szCs w:val="20"/>
          <w:color w:val="auto"/>
        </w:rPr>
      </w:pPr>
    </w:p>
    <w:p>
      <w:pPr>
        <w:ind w:left="1447" w:hanging="447"/>
        <w:spacing w:after="0"/>
        <w:tabs>
          <w:tab w:leader="none" w:pos="144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039" w:firstLine="1447"/>
        <w:spacing w:after="0" w:line="246" w:lineRule="auto"/>
        <w:tabs>
          <w:tab w:leader="none" w:pos="1915"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of Common Stock subject to direct issuance shall be fixed by the Plan Administrator and may be less than, equal to or greater than the Fair Market Value per share of Common Stock on the issue date.</w:t>
      </w:r>
    </w:p>
    <w:p>
      <w:pPr>
        <w:spacing w:after="0" w:line="177"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II of Article Five, shares of Common Stock may be issued under the Stock Issuance Program for any of the following items of consideration which the Plan Administrator may deem appropriate in each individual instance:</w:t>
      </w:r>
    </w:p>
    <w:p>
      <w:pPr>
        <w:spacing w:after="0" w:line="177" w:lineRule="exact"/>
        <w:rPr>
          <w:rFonts w:ascii="Courier New" w:cs="Courier New" w:eastAsia="Courier New" w:hAnsi="Courier New"/>
          <w:sz w:val="15"/>
          <w:szCs w:val="15"/>
          <w:color w:val="auto"/>
        </w:rPr>
      </w:pPr>
    </w:p>
    <w:p>
      <w:pPr>
        <w:ind w:left="2447" w:hanging="538"/>
        <w:spacing w:after="0"/>
        <w:tabs>
          <w:tab w:leader="none" w:pos="2447" w:val="left"/>
        </w:tabs>
        <w:numPr>
          <w:ilvl w:val="3"/>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or check made payable to the Corporation, or</w:t>
      </w:r>
    </w:p>
    <w:p>
      <w:pPr>
        <w:spacing w:after="0" w:line="179" w:lineRule="exact"/>
        <w:rPr>
          <w:rFonts w:ascii="Courier New" w:cs="Courier New" w:eastAsia="Courier New" w:hAnsi="Courier New"/>
          <w:sz w:val="15"/>
          <w:szCs w:val="15"/>
          <w:color w:val="auto"/>
        </w:rPr>
      </w:pPr>
    </w:p>
    <w:p>
      <w:pPr>
        <w:ind w:left="2447" w:hanging="538"/>
        <w:spacing w:after="0"/>
        <w:tabs>
          <w:tab w:leader="none" w:pos="2447" w:val="left"/>
        </w:tabs>
        <w:numPr>
          <w:ilvl w:val="3"/>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past services rendered to the Corporation (or any</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Parent or Subsidiary).</w:t>
      </w:r>
    </w:p>
    <w:p>
      <w:pPr>
        <w:spacing w:after="0" w:line="179" w:lineRule="exact"/>
        <w:rPr>
          <w:rFonts w:ascii="Courier New" w:cs="Courier New" w:eastAsia="Courier New" w:hAnsi="Courier New"/>
          <w:sz w:val="15"/>
          <w:szCs w:val="15"/>
          <w:color w:val="auto"/>
        </w:rPr>
      </w:pPr>
    </w:p>
    <w:p>
      <w:pPr>
        <w:ind w:left="1447" w:hanging="447"/>
        <w:spacing w:after="0"/>
        <w:tabs>
          <w:tab w:leader="none" w:pos="144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Vesting/Issuance Provisions.</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issue shares of Common Stock which are fully and immediately vested upon issuance or which are to vest in one or more installments over the Participant's period of Service or upon attainment of specified performance objectives. Alternatively, the Plan Administrator may issue share right awards which shall entitle the recipient to receive a specified number of vested shares of Common Stock upon the attainment of one or more performance goals or Service requirements established by the Plan Administrator.</w:t>
      </w:r>
    </w:p>
    <w:p>
      <w:pPr>
        <w:spacing w:after="0" w:line="179"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new, substituted or additional securities or other property (including money paid other than as a regular cash dividend) which the Participant may have the right to receive with respect to his or her unvested shares of Common Stock by reason of any stock dividend, stock split, recapitalization, combination of shares, exchange of shares or other change affecting the outstanding Common Stock as a class without the Corporation's receipt of consideration shall be issued subject to (i) the same vesting requirements applicable to the Participant's unvested shares of Common Stock and</w:t>
      </w:r>
    </w:p>
    <w:p>
      <w:pPr>
        <w:spacing w:after="0" w:line="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escrow arrangements as the Plan Administrator shall deem appropriate.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3" w:right="1440" w:bottom="1440" w:gutter="0" w:footer="0" w:header="0"/>
        </w:sectPr>
      </w:pPr>
    </w:p>
    <w:bookmarkStart w:id="110" w:name="page111"/>
    <w:bookmarkEnd w:id="110"/>
    <w:p>
      <w:pPr>
        <w:ind w:left="-448" w:right="2959" w:firstLine="1447"/>
        <w:spacing w:after="0" w:line="246" w:lineRule="auto"/>
        <w:tabs>
          <w:tab w:leader="none" w:pos="1461" w:val="left"/>
        </w:tabs>
        <w:numPr>
          <w:ilvl w:val="2"/>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have full stockholder rights with respect to the issued shares of Common Stock, whether or not the Participant's interest in those shares is vested. Accordingly, the Participant shall have the right to vote such shares and to receive any regular cash dividends paid on such shares.</w:t>
      </w:r>
    </w:p>
    <w:p>
      <w:pPr>
        <w:spacing w:after="0" w:line="177" w:lineRule="exact"/>
        <w:rPr>
          <w:rFonts w:ascii="Courier New" w:cs="Courier New" w:eastAsia="Courier New" w:hAnsi="Courier New"/>
          <w:sz w:val="15"/>
          <w:szCs w:val="15"/>
          <w:color w:val="auto"/>
        </w:rPr>
      </w:pPr>
    </w:p>
    <w:p>
      <w:pPr>
        <w:ind w:left="-448" w:right="3039" w:firstLine="1447"/>
        <w:spacing w:after="0" w:line="246" w:lineRule="auto"/>
        <w:tabs>
          <w:tab w:leader="none" w:pos="1461" w:val="left"/>
        </w:tabs>
        <w:numPr>
          <w:ilvl w:val="2"/>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Participant cease to remain in Service while holding one or more unvested shares of Common Stock, or should the performance objectives not be attained with respect to one or more such unvested shares of Common Stock, then those shares shall be immediately surrendered to the Corporation for cancellation, and the Participant shall have no further stockholder rights with respect to those shares. To the extent the surrendered shares were previously issued to the Participant for consideration paid in cash or cash equivalent (including the Participant's purchase-money indebtedness), the Corporation shall repay to the Participant the cash consideration paid for the surrendered shares and shall cancel the unpaid principal balance of any outstanding purchase-money note of the Participant attributable to the surrendered shares.</w:t>
      </w:r>
    </w:p>
    <w:p>
      <w:pPr>
        <w:spacing w:after="0" w:line="182" w:lineRule="exact"/>
        <w:rPr>
          <w:rFonts w:ascii="Courier New" w:cs="Courier New" w:eastAsia="Courier New" w:hAnsi="Courier New"/>
          <w:sz w:val="15"/>
          <w:szCs w:val="15"/>
          <w:color w:val="auto"/>
        </w:rPr>
      </w:pPr>
    </w:p>
    <w:p>
      <w:pPr>
        <w:ind w:left="-448" w:right="2959" w:firstLine="1447"/>
        <w:spacing w:after="0" w:line="246" w:lineRule="auto"/>
        <w:tabs>
          <w:tab w:leader="none" w:pos="1461" w:val="left"/>
        </w:tabs>
        <w:numPr>
          <w:ilvl w:val="2"/>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waive the surrender and cancellation of one or more unvested shares of Common Stock (or other assets attributable thereto) which would otherwise occur upon the cessation of the Participant's Service or the non-attainment of the performance objectives applicable to those shares. Such waiver shall result in the immediate vesting of the Participant's interest in the shares of Common Stock as to which the waiver applies. Such waiver may be effected at any time, whether before or after the Participant's cessation of Service or the attainment or non-attainment of the applicable performance objectives.</w:t>
      </w:r>
    </w:p>
    <w:p>
      <w:pPr>
        <w:spacing w:after="0" w:line="180" w:lineRule="exact"/>
        <w:rPr>
          <w:rFonts w:ascii="Courier New" w:cs="Courier New" w:eastAsia="Courier New" w:hAnsi="Courier New"/>
          <w:sz w:val="15"/>
          <w:szCs w:val="15"/>
          <w:color w:val="auto"/>
        </w:rPr>
      </w:pPr>
    </w:p>
    <w:p>
      <w:pPr>
        <w:ind w:left="-448" w:right="3039" w:firstLine="1447"/>
        <w:spacing w:after="0" w:line="246" w:lineRule="auto"/>
        <w:tabs>
          <w:tab w:leader="none" w:pos="1461" w:val="left"/>
        </w:tabs>
        <w:numPr>
          <w:ilvl w:val="2"/>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share right awards shall automatically terminate, and no shares of Common Stock shall actually be issued in satisfaction of those awards, if the performance goals or Service requirements established for such awards are not attained. The Plan Administrator, however, shall have the authority to issue shares of Common Stock in satisfaction of one or more outstanding share right awards as to which the designated performance goals or Service requirements are not attained.</w:t>
      </w:r>
    </w:p>
    <w:p>
      <w:pPr>
        <w:spacing w:after="0" w:line="179" w:lineRule="exact"/>
        <w:rPr>
          <w:rFonts w:ascii="Courier New" w:cs="Courier New" w:eastAsia="Courier New" w:hAnsi="Courier New"/>
          <w:sz w:val="15"/>
          <w:szCs w:val="15"/>
          <w:color w:val="auto"/>
        </w:rPr>
      </w:pPr>
    </w:p>
    <w:p>
      <w:pPr>
        <w:ind w:left="552" w:hanging="552"/>
        <w:spacing w:after="0"/>
        <w:tabs>
          <w:tab w:leader="none" w:pos="55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CONTROL/HOSTILE TAKE-OVER</w:t>
      </w:r>
    </w:p>
    <w:p>
      <w:pPr>
        <w:spacing w:after="0" w:line="179" w:lineRule="exact"/>
        <w:rPr>
          <w:rFonts w:ascii="Courier New" w:cs="Courier New" w:eastAsia="Courier New" w:hAnsi="Courier New"/>
          <w:sz w:val="15"/>
          <w:szCs w:val="15"/>
          <w:color w:val="auto"/>
        </w:rPr>
      </w:pPr>
    </w:p>
    <w:p>
      <w:pPr>
        <w:ind w:left="-448" w:right="3039" w:firstLine="993"/>
        <w:spacing w:after="0" w:line="246" w:lineRule="auto"/>
        <w:tabs>
          <w:tab w:leader="none" w:pos="1006"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Corporation's outstanding repurchase rights shall terminate automatically, and all the shares of Common Stock subject to those terminated rights shall immediately vest in full, in the event of any Change in Control, except to the extent (i) those repurchase rights are assigned to the successor corporation (or parent thereof) or otherwise continue in full force and effect pursuant to the terms of the Change in Control or (ii) such accelerated vesting is precluded by other limitations imposed by the Plan Administrator at the time the repurchase right is issued.</w:t>
      </w:r>
    </w:p>
    <w:p>
      <w:pPr>
        <w:spacing w:after="0" w:line="179" w:lineRule="exact"/>
        <w:rPr>
          <w:rFonts w:ascii="Courier New" w:cs="Courier New" w:eastAsia="Courier New" w:hAnsi="Courier New"/>
          <w:sz w:val="15"/>
          <w:szCs w:val="15"/>
          <w:color w:val="auto"/>
        </w:rPr>
      </w:pPr>
    </w:p>
    <w:p>
      <w:pPr>
        <w:ind w:left="-448" w:right="2959" w:firstLine="993"/>
        <w:spacing w:after="0" w:line="246" w:lineRule="auto"/>
        <w:tabs>
          <w:tab w:leader="none" w:pos="1006"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for the automatic termination of one or more of those outstanding repurchase rights and the immediate vesting of the shares of Common Stock subject to those terminated rights upon (i) a Change in Control or Hostile Take-Over or (ii) an Involuntary Termination of the Participant's Service within a designated period (not to exceed twenty-four (24) months) following the effective date of any</w:t>
      </w:r>
    </w:p>
    <w:p>
      <w:pPr>
        <w:spacing w:after="0" w:line="178"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2"/>
          </w:cols>
          <w:pgMar w:left="688" w:top="642" w:right="1440" w:bottom="1440" w:gutter="0" w:footer="0" w:header="0"/>
        </w:sectPr>
      </w:pPr>
    </w:p>
    <w:bookmarkStart w:id="111" w:name="page112"/>
    <w:bookmarkEnd w:id="111"/>
    <w:p>
      <w:pPr>
        <w:ind w:right="3039"/>
        <w:spacing w:after="0" w:line="247" w:lineRule="auto"/>
        <w:rPr>
          <w:sz w:val="20"/>
          <w:szCs w:val="20"/>
          <w:color w:val="auto"/>
        </w:rPr>
      </w:pPr>
      <w:r>
        <w:rPr>
          <w:rFonts w:ascii="Courier New" w:cs="Courier New" w:eastAsia="Courier New" w:hAnsi="Courier New"/>
          <w:sz w:val="15"/>
          <w:szCs w:val="15"/>
          <w:color w:val="auto"/>
        </w:rPr>
        <w:t>Change in Control or Hostile Take-Over in which those repurchase rights are assigned to the successor corporation (or parent thereof) or otherwise continue in full force and effect.</w:t>
      </w:r>
    </w:p>
    <w:p>
      <w:pPr>
        <w:spacing w:after="0" w:line="174" w:lineRule="exact"/>
        <w:rPr>
          <w:sz w:val="20"/>
          <w:szCs w:val="20"/>
          <w:color w:val="auto"/>
        </w:rPr>
      </w:pPr>
    </w:p>
    <w:p>
      <w:pPr>
        <w:ind w:left="1000" w:hanging="552"/>
        <w:spacing w:after="0"/>
        <w:tabs>
          <w:tab w:leader="none" w:pos="10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ESCROW/LEGENDS</w:t>
      </w:r>
    </w:p>
    <w:p>
      <w:pPr>
        <w:spacing w:after="0" w:line="180" w:lineRule="exact"/>
        <w:rPr>
          <w:sz w:val="20"/>
          <w:szCs w:val="20"/>
          <w:color w:val="auto"/>
        </w:rPr>
      </w:pPr>
    </w:p>
    <w:p>
      <w:pPr>
        <w:ind w:right="3039" w:firstLine="1000"/>
        <w:spacing w:after="0" w:line="246" w:lineRule="auto"/>
        <w:rPr>
          <w:sz w:val="20"/>
          <w:szCs w:val="20"/>
          <w:color w:val="auto"/>
        </w:rPr>
      </w:pPr>
      <w:r>
        <w:rPr>
          <w:rFonts w:ascii="Courier New" w:cs="Courier New" w:eastAsia="Courier New" w:hAnsi="Courier New"/>
          <w:sz w:val="15"/>
          <w:szCs w:val="15"/>
          <w:color w:val="auto"/>
        </w:rPr>
        <w:t>Unvested shares may, in the Plan Administrator's discretion, be held in escrow by the Corporation until the Participant's interest in such shares vests or may be issued directly to the Participant with restrictive legends on the certificates evidencing those unvested shares.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2" w:right="1440" w:bottom="1440" w:gutter="0" w:footer="0" w:header="0"/>
        </w:sectPr>
      </w:pPr>
    </w:p>
    <w:bookmarkStart w:id="112" w:name="page113"/>
    <w:bookmarkEnd w:id="112"/>
    <w:p>
      <w:pPr>
        <w:jc w:val="center"/>
        <w:ind w:right="3132"/>
        <w:spacing w:after="0"/>
        <w:rPr>
          <w:sz w:val="20"/>
          <w:szCs w:val="20"/>
          <w:color w:val="auto"/>
        </w:rPr>
      </w:pPr>
      <w:r>
        <w:rPr>
          <w:rFonts w:ascii="Courier New" w:cs="Courier New" w:eastAsia="Courier New" w:hAnsi="Courier New"/>
          <w:sz w:val="15"/>
          <w:szCs w:val="15"/>
          <w:color w:val="auto"/>
        </w:rPr>
        <w:t>ARTICLE FOUR</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AUTOMATIC OPTION GRANT PROGRAM</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7" w:hanging="552"/>
        <w:spacing w:after="0"/>
        <w:tabs>
          <w:tab w:leader="none" w:pos="100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9" w:lineRule="exact"/>
        <w:rPr>
          <w:rFonts w:ascii="Courier New" w:cs="Courier New" w:eastAsia="Courier New" w:hAnsi="Courier New"/>
          <w:sz w:val="15"/>
          <w:szCs w:val="15"/>
          <w:color w:val="auto"/>
        </w:rPr>
      </w:pPr>
    </w:p>
    <w:p>
      <w:pPr>
        <w:ind w:left="1447" w:hanging="447"/>
        <w:spacing w:after="0"/>
        <w:tabs>
          <w:tab w:leader="none" w:pos="1447"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Dates.  Options shall be made on the dates specified</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below:</w:t>
      </w:r>
    </w:p>
    <w:p>
      <w:pPr>
        <w:spacing w:after="0" w:line="180" w:lineRule="exact"/>
        <w:rPr>
          <w:sz w:val="20"/>
          <w:szCs w:val="20"/>
          <w:color w:val="auto"/>
        </w:rPr>
      </w:pPr>
    </w:p>
    <w:p>
      <w:pPr>
        <w:ind w:left="7" w:right="2959" w:firstLine="1447"/>
        <w:spacing w:after="0" w:line="246" w:lineRule="auto"/>
        <w:tabs>
          <w:tab w:leader="none" w:pos="191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is first elected or appointed as a non-employee Board member at any time after the Underwriting Date shall automatically be granted, on the date of such initial election or appointment, a Non-Statutory Option to purchase Twenty-Five Thousand (25,000) shares of Common Stock, provided that individual has not been in the employ of the Corporation (or any Parent or Subsidiary) in the two (2) years immediately preceding such election or appointment.</w:t>
      </w:r>
    </w:p>
    <w:p>
      <w:pPr>
        <w:spacing w:after="0" w:line="179"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each Annual Stockholders Meeting beginning with the 2001 Annual Stockholder Meeting, each individual who is to continue to serve as a non-employee Board member shall automatically be granted a Non-Statutory Option to purchase Seven Thousand Five Hundred (7,500) shares of Common Stock, provided that individual has served as a non-employee Board member for at least six (6) months.</w:t>
      </w:r>
    </w:p>
    <w:p>
      <w:pPr>
        <w:spacing w:after="0" w:line="178" w:lineRule="exact"/>
        <w:rPr>
          <w:rFonts w:ascii="Courier New" w:cs="Courier New" w:eastAsia="Courier New" w:hAnsi="Courier New"/>
          <w:sz w:val="15"/>
          <w:szCs w:val="15"/>
          <w:color w:val="auto"/>
        </w:rPr>
      </w:pPr>
    </w:p>
    <w:p>
      <w:pPr>
        <w:ind w:left="1447" w:hanging="447"/>
        <w:spacing w:after="0"/>
        <w:tabs>
          <w:tab w:leader="none" w:pos="144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jc w:val="both"/>
        <w:ind w:left="7" w:right="3039" w:firstLine="1447"/>
        <w:spacing w:after="0" w:line="247" w:lineRule="auto"/>
        <w:tabs>
          <w:tab w:leader="none" w:pos="1915"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equal to one hundred percent (100%) of the Fair Market Value per share of Common Stock on the option grant date.</w:t>
      </w:r>
    </w:p>
    <w:p>
      <w:pPr>
        <w:spacing w:after="0" w:line="174" w:lineRule="exact"/>
        <w:rPr>
          <w:rFonts w:ascii="Courier New" w:cs="Courier New" w:eastAsia="Courier New" w:hAnsi="Courier New"/>
          <w:sz w:val="15"/>
          <w:szCs w:val="15"/>
          <w:color w:val="auto"/>
        </w:rPr>
      </w:pPr>
    </w:p>
    <w:p>
      <w:pPr>
        <w:ind w:left="7" w:right="2959" w:firstLine="1447"/>
        <w:spacing w:after="0" w:line="246" w:lineRule="auto"/>
        <w:tabs>
          <w:tab w:leader="none" w:pos="1915"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177" w:lineRule="exact"/>
        <w:rPr>
          <w:rFonts w:ascii="Courier New" w:cs="Courier New" w:eastAsia="Courier New" w:hAnsi="Courier New"/>
          <w:sz w:val="15"/>
          <w:szCs w:val="15"/>
          <w:color w:val="auto"/>
        </w:rPr>
      </w:pPr>
    </w:p>
    <w:p>
      <w:pPr>
        <w:ind w:left="1447" w:hanging="447"/>
        <w:spacing w:after="0"/>
        <w:tabs>
          <w:tab w:leader="none" w:pos="144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Each option shall have a term of ten (10) years</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measured from the option grant date.</w:t>
      </w:r>
    </w:p>
    <w:p>
      <w:pPr>
        <w:spacing w:after="0" w:line="180" w:lineRule="exact"/>
        <w:rPr>
          <w:sz w:val="20"/>
          <w:szCs w:val="20"/>
          <w:color w:val="auto"/>
        </w:rPr>
      </w:pPr>
    </w:p>
    <w:p>
      <w:pPr>
        <w:ind w:left="1447" w:hanging="447"/>
        <w:spacing w:after="0"/>
        <w:tabs>
          <w:tab w:leader="none" w:pos="144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Vesting of Options.  Each option shall be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immediately exercisable for any or all of the option shares. However, any unvested shares purchased under the option shall be subject to repurchase by the Corporation, at the exercise price paid per share, upon the Optionee's cessation of Board service prior to vesting in those shares. Each initial 25,000-share option shall vest, and the Corporation's repurchase right shall lapse, in a series of three (3) successive equal annual installments over the Optionee's period of continued service as a Board member, with the first such installment to vest upon the Optionee's completion of one (1) year of Board service measured from the option grant date. Each annual 7,500-share option shall vest, and the Corporation's repurchase right shall lapse, upon Optionee's completion of one</w:t>
      </w:r>
    </w:p>
    <w:p>
      <w:pPr>
        <w:spacing w:after="0" w:line="6" w:lineRule="exact"/>
        <w:rPr>
          <w:sz w:val="20"/>
          <w:szCs w:val="20"/>
          <w:color w:val="auto"/>
        </w:rPr>
      </w:pPr>
    </w:p>
    <w:p>
      <w:pPr>
        <w:ind w:left="3547" w:right="4599" w:hanging="3547"/>
        <w:spacing w:after="0" w:line="494" w:lineRule="auto"/>
        <w:tabs>
          <w:tab w:leader="none" w:pos="366"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of Board service measured from the option grant date. 14</w:t>
      </w:r>
    </w:p>
    <w:p>
      <w:pPr>
        <w:sectPr>
          <w:pgSz w:w="11900" w:h="16838" w:orient="portrait"/>
          <w:cols w:equalWidth="0" w:num="1">
            <w:col w:w="10226"/>
          </w:cols>
          <w:pgMar w:left="233" w:top="643" w:right="1440" w:bottom="1440" w:gutter="0" w:footer="0" w:header="0"/>
        </w:sectPr>
      </w:pPr>
    </w:p>
    <w:bookmarkStart w:id="113" w:name="page114"/>
    <w:bookmarkEnd w:id="113"/>
    <w:p>
      <w:pPr>
        <w:ind w:left="1440" w:hanging="447"/>
        <w:spacing w:after="0"/>
        <w:tabs>
          <w:tab w:leader="none" w:pos="14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Board Service.  The following provisions shall</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govern the exercise of any options outstanding at the time of the Optionee's cessation of Board service:</w:t>
      </w:r>
    </w:p>
    <w:p>
      <w:pPr>
        <w:spacing w:after="0" w:line="175" w:lineRule="exact"/>
        <w:rPr>
          <w:sz w:val="20"/>
          <w:szCs w:val="20"/>
          <w:color w:val="auto"/>
        </w:rPr>
      </w:pPr>
    </w:p>
    <w:p>
      <w:pPr>
        <w:ind w:left="440" w:right="3039" w:firstLine="1462"/>
        <w:spacing w:after="0" w:line="246" w:lineRule="auto"/>
        <w:tabs>
          <w:tab w:leader="none" w:pos="2439" w:val="left"/>
        </w:tabs>
        <w:numPr>
          <w:ilvl w:val="2"/>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outstanding at the time of the Optionee's cessation of Board service for any reason shall remain exercisable for a twelve (12)-month period following the date of such cessation of Board service, but in no event shall such option be exercisable after the expiration of the option term.</w:t>
      </w:r>
    </w:p>
    <w:p>
      <w:pPr>
        <w:spacing w:after="0" w:line="177" w:lineRule="exact"/>
        <w:rPr>
          <w:rFonts w:ascii="Courier New" w:cs="Courier New" w:eastAsia="Courier New" w:hAnsi="Courier New"/>
          <w:sz w:val="15"/>
          <w:szCs w:val="15"/>
          <w:color w:val="auto"/>
        </w:rPr>
      </w:pPr>
    </w:p>
    <w:p>
      <w:pPr>
        <w:ind w:left="440" w:right="3139" w:firstLine="1462"/>
        <w:spacing w:after="0" w:line="247" w:lineRule="auto"/>
        <w:tabs>
          <w:tab w:leader="none" w:pos="2439" w:val="left"/>
        </w:tabs>
        <w:numPr>
          <w:ilvl w:val="2"/>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exercisable in whole or in part by the Optionee at the time of death may be subsequently exercised by his or her Beneficiary.</w:t>
      </w:r>
    </w:p>
    <w:p>
      <w:pPr>
        <w:spacing w:after="0" w:line="174" w:lineRule="exact"/>
        <w:rPr>
          <w:rFonts w:ascii="Courier New" w:cs="Courier New" w:eastAsia="Courier New" w:hAnsi="Courier New"/>
          <w:sz w:val="15"/>
          <w:szCs w:val="15"/>
          <w:color w:val="auto"/>
        </w:rPr>
      </w:pPr>
    </w:p>
    <w:p>
      <w:pPr>
        <w:ind w:left="440" w:right="2959" w:firstLine="1462"/>
        <w:spacing w:after="0" w:line="246" w:lineRule="auto"/>
        <w:tabs>
          <w:tab w:leader="none" w:pos="2439" w:val="left"/>
        </w:tabs>
        <w:numPr>
          <w:ilvl w:val="2"/>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Optionee's cessation of Board service, the option may not be exercised in the aggregate for more than the number of shares for which the option was exercisable on the date of such cessation of Board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Board service, terminate and cease to be outstanding for any and all shares for which the option is not otherwise at that time exercisable.</w:t>
      </w:r>
    </w:p>
    <w:p>
      <w:pPr>
        <w:spacing w:after="0" w:line="180" w:lineRule="exact"/>
        <w:rPr>
          <w:rFonts w:ascii="Courier New" w:cs="Courier New" w:eastAsia="Courier New" w:hAnsi="Courier New"/>
          <w:sz w:val="15"/>
          <w:szCs w:val="15"/>
          <w:color w:val="auto"/>
        </w:rPr>
      </w:pPr>
    </w:p>
    <w:p>
      <w:pPr>
        <w:ind w:left="440" w:right="2959" w:firstLine="1462"/>
        <w:spacing w:after="0" w:line="246" w:lineRule="auto"/>
        <w:tabs>
          <w:tab w:leader="none" w:pos="2439" w:val="left"/>
        </w:tabs>
        <w:numPr>
          <w:ilvl w:val="2"/>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However, should the Optionee cease to serve as a Board member by reason of death or Permanent Disability, then all shares at the time subject to the option shall immediately vest so that such option may, during the twelve (12)-month exercise period following such cessation of Board service, be exercised for all or any portion of those shares as fully-vested shares of Common Stock.</w:t>
      </w:r>
    </w:p>
    <w:p>
      <w:pPr>
        <w:spacing w:after="0" w:line="178" w:lineRule="exact"/>
        <w:rPr>
          <w:rFonts w:ascii="Courier New" w:cs="Courier New" w:eastAsia="Courier New" w:hAnsi="Courier New"/>
          <w:sz w:val="15"/>
          <w:szCs w:val="15"/>
          <w:color w:val="auto"/>
        </w:rPr>
      </w:pPr>
    </w:p>
    <w:p>
      <w:pPr>
        <w:ind w:left="1000" w:hanging="552"/>
        <w:spacing w:after="0"/>
        <w:tabs>
          <w:tab w:leader="none" w:pos="10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CONTROL/HOSTILE TAKE-OVER</w:t>
      </w:r>
    </w:p>
    <w:p>
      <w:pPr>
        <w:spacing w:after="0" w:line="179"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Control or Hostile Take-Over, the shares of Common Stock at the time subject to each outstanding option but not otherwise vested shall automatically vest in full so that each such option may, immediately prior to the effective date of such Change in Control or Hostile Take-Over, became fully exercisable for all of the shares of Common Stock at the time subject to such option and maybe exercised for all or any of those shares as fully-vested shares of Common Stock. Each such option accelerated in connection with a Change in Control shall terminate upon the Change in Control, except to the extent assumed by the successor corporation (or parent thereof) or otherwise continued in full force and effect pursuant to the terms of the Change in Control. Each such option accelerated in connection with a Hostile Take-Over shall remain exercisable until the expiration or sooner termination of the option term.</w:t>
      </w:r>
    </w:p>
    <w:p>
      <w:pPr>
        <w:spacing w:after="0" w:line="182"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repurchase rights shall automatically terminate and the shares of Common Stock subject to those terminated rights shall immediately vest in full, in the event of any Change in Control or Hostile Take-Over.</w:t>
      </w:r>
    </w:p>
    <w:p>
      <w:pPr>
        <w:spacing w:after="0" w:line="177" w:lineRule="exact"/>
        <w:rPr>
          <w:rFonts w:ascii="Courier New" w:cs="Courier New" w:eastAsia="Courier New" w:hAnsi="Courier New"/>
          <w:sz w:val="15"/>
          <w:szCs w:val="15"/>
          <w:color w:val="auto"/>
        </w:rPr>
      </w:pPr>
    </w:p>
    <w:p>
      <w:pPr>
        <w:jc w:val="both"/>
        <w:ind w:right="3139" w:firstLine="993"/>
        <w:spacing w:after="0" w:line="246" w:lineRule="auto"/>
        <w:tabs>
          <w:tab w:leader="none" w:pos="1454"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Hostile Take-Over, the Optionee shall have a thirty (30)-day period in which to surrender to the Corporation each of his or her outstanding options. The Optionee shall in return be entitled to a cash distribution from the Corporation in an amount equal to the excess of (i) the Option Surrender Value of the shares of Common Stock at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2" w:right="1440" w:bottom="1440" w:gutter="0" w:footer="0" w:header="0"/>
        </w:sectPr>
      </w:pPr>
    </w:p>
    <w:bookmarkStart w:id="114" w:name="page115"/>
    <w:bookmarkEnd w:id="114"/>
    <w:p>
      <w:pPr>
        <w:ind w:right="3139"/>
        <w:spacing w:after="0" w:line="246" w:lineRule="auto"/>
        <w:rPr>
          <w:sz w:val="20"/>
          <w:szCs w:val="20"/>
          <w:color w:val="auto"/>
        </w:rPr>
      </w:pPr>
      <w:r>
        <w:rPr>
          <w:rFonts w:ascii="Courier New" w:cs="Courier New" w:eastAsia="Courier New" w:hAnsi="Courier New"/>
          <w:sz w:val="15"/>
          <w:szCs w:val="15"/>
          <w:color w:val="auto"/>
        </w:rPr>
        <w:t>the time subject to each surrendered option (whether or not the option is otherwise at the time exercisable for those shares) over (ii) the aggregate exercise price payable for such shares. Such cash distribution shall be paid within five (5) days following the surrender of the option to the Corporation.</w:t>
      </w:r>
    </w:p>
    <w:p>
      <w:pPr>
        <w:spacing w:after="0" w:line="177" w:lineRule="exact"/>
        <w:rPr>
          <w:sz w:val="20"/>
          <w:szCs w:val="20"/>
          <w:color w:val="auto"/>
        </w:rPr>
      </w:pPr>
    </w:p>
    <w:p>
      <w:pPr>
        <w:ind w:right="3139" w:firstLine="993"/>
        <w:spacing w:after="0" w:line="246" w:lineRule="auto"/>
        <w:tabs>
          <w:tab w:leader="none" w:pos="145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which is assumed in connection with a Change in Control shall be appropriately adjusted to apply to the number and class of securities which would have been issuable to the Optionee in consummation of such Change in Control had the option been exercised immediately prior to such Change in Control. Appropriate adjustments shall also be made to the exercise price payable per share under each outstanding option, provided the aggregate</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exercise price payable for such securities shall remain the same. To the extent the actual holders of the Corporation's outstanding Common Stock receive cash consideration for their Common Stock in consummation of the Change in Control, the successor corporation may, in connection with the assumption of the outstanding options, substitute one or more shares of its own common stock with a fair market value equivalent to the cash consideration paid per share of Common Stock in such Change in Control.</w:t>
      </w:r>
    </w:p>
    <w:p>
      <w:pPr>
        <w:spacing w:after="0" w:line="179" w:lineRule="exact"/>
        <w:rPr>
          <w:sz w:val="20"/>
          <w:szCs w:val="20"/>
          <w:color w:val="auto"/>
        </w:rPr>
      </w:pPr>
    </w:p>
    <w:p>
      <w:pPr>
        <w:ind w:left="1000" w:hanging="552"/>
        <w:spacing w:after="0"/>
        <w:tabs>
          <w:tab w:leader="none" w:pos="10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REMAINING TERMS</w:t>
      </w:r>
    </w:p>
    <w:p>
      <w:pPr>
        <w:spacing w:after="0" w:line="180" w:lineRule="exact"/>
        <w:rPr>
          <w:sz w:val="20"/>
          <w:szCs w:val="20"/>
          <w:color w:val="auto"/>
        </w:rPr>
      </w:pPr>
    </w:p>
    <w:p>
      <w:pPr>
        <w:ind w:right="2959" w:firstLine="1000"/>
        <w:spacing w:after="0" w:line="247" w:lineRule="auto"/>
        <w:rPr>
          <w:sz w:val="20"/>
          <w:szCs w:val="20"/>
          <w:color w:val="auto"/>
        </w:rPr>
      </w:pPr>
      <w:r>
        <w:rPr>
          <w:rFonts w:ascii="Courier New" w:cs="Courier New" w:eastAsia="Courier New" w:hAnsi="Courier New"/>
          <w:sz w:val="15"/>
          <w:szCs w:val="15"/>
          <w:color w:val="auto"/>
        </w:rPr>
        <w:t>The remaining terms of each option granted under the Automatic Option Grant Program shall be the same as the terms in effect for options made under the Discretionary Option Grant Program.</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2" w:right="1440" w:bottom="1440" w:gutter="0" w:footer="0" w:header="0"/>
        </w:sectPr>
      </w:pPr>
    </w:p>
    <w:bookmarkStart w:id="115" w:name="page116"/>
    <w:bookmarkEnd w:id="115"/>
    <w:p>
      <w:pPr>
        <w:ind w:left="3000"/>
        <w:spacing w:after="0"/>
        <w:rPr>
          <w:sz w:val="20"/>
          <w:szCs w:val="20"/>
          <w:color w:val="auto"/>
        </w:rPr>
      </w:pPr>
      <w:r>
        <w:rPr>
          <w:rFonts w:ascii="Courier New" w:cs="Courier New" w:eastAsia="Courier New" w:hAnsi="Courier New"/>
          <w:sz w:val="15"/>
          <w:szCs w:val="15"/>
          <w:color w:val="auto"/>
        </w:rPr>
        <w:t>ARTICLE FIVE</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552"/>
        <w:spacing w:after="0"/>
        <w:tabs>
          <w:tab w:leader="none" w:pos="100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OF AUTHORITY</w:t>
      </w:r>
    </w:p>
    <w:p>
      <w:pPr>
        <w:spacing w:after="0" w:line="180"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Outstanding awards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77" w:lineRule="exact"/>
        <w:rPr>
          <w:sz w:val="20"/>
          <w:szCs w:val="20"/>
          <w:color w:val="auto"/>
        </w:rPr>
      </w:pPr>
    </w:p>
    <w:p>
      <w:pPr>
        <w:ind w:left="1000" w:hanging="552"/>
        <w:spacing w:after="0"/>
        <w:tabs>
          <w:tab w:leader="none" w:pos="10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w:t>
      </w:r>
    </w:p>
    <w:p>
      <w:pPr>
        <w:spacing w:after="0" w:line="180" w:lineRule="exact"/>
        <w:rPr>
          <w:sz w:val="20"/>
          <w:szCs w:val="20"/>
          <w:color w:val="auto"/>
        </w:rPr>
      </w:pPr>
    </w:p>
    <w:p>
      <w:pPr>
        <w:ind w:right="2959" w:firstLine="1000"/>
        <w:spacing w:after="0" w:line="246" w:lineRule="auto"/>
        <w:rPr>
          <w:sz w:val="20"/>
          <w:szCs w:val="20"/>
          <w:color w:val="auto"/>
        </w:rPr>
      </w:pPr>
      <w:r>
        <w:rPr>
          <w:rFonts w:ascii="Courier New" w:cs="Courier New" w:eastAsia="Courier New" w:hAnsi="Courier New"/>
          <w:sz w:val="15"/>
          <w:szCs w:val="15"/>
          <w:color w:val="auto"/>
        </w:rPr>
        <w:t>The Plan Administrator may permit any Optionee or Participant to pay the option exercise price under the Discretionary Option Grant Program or the purchase price of shares issued under the Stock Issuance Program by delivering a full-recourse, interest bearing promissory note payable in one or more installments. The terms of any such promissory note (including the interest rate and the terms of repayment) shall be established by the Plan Administrator in its sole discretion. In no event may the maximum credit available to the Optionee or Participant exceed the sum of (i) the aggregate option exercise price or purchase price payable for the purchased shares (less the par value of such shares) plus (ii) any Federal, state and local income and employment tax liability incurred by the Optionee or the Participant in connection with the option exercise or share purchase.</w:t>
      </w:r>
    </w:p>
    <w:p>
      <w:pPr>
        <w:spacing w:after="0" w:line="182" w:lineRule="exact"/>
        <w:rPr>
          <w:sz w:val="20"/>
          <w:szCs w:val="20"/>
          <w:color w:val="auto"/>
        </w:rPr>
      </w:pPr>
    </w:p>
    <w:p>
      <w:pPr>
        <w:ind w:left="1000" w:hanging="552"/>
        <w:spacing w:after="0"/>
        <w:tabs>
          <w:tab w:leader="none" w:pos="10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w:t>
      </w:r>
    </w:p>
    <w:p>
      <w:pPr>
        <w:spacing w:after="0" w:line="179" w:lineRule="exact"/>
        <w:rPr>
          <w:rFonts w:ascii="Courier New" w:cs="Courier New" w:eastAsia="Courier New" w:hAnsi="Courier New"/>
          <w:sz w:val="15"/>
          <w:szCs w:val="15"/>
          <w:color w:val="auto"/>
        </w:rPr>
      </w:pPr>
    </w:p>
    <w:p>
      <w:pPr>
        <w:ind w:right="2959" w:firstLine="993"/>
        <w:spacing w:after="0" w:line="246" w:lineRule="auto"/>
        <w:tabs>
          <w:tab w:leader="none" w:pos="1363"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obligation to deliver shares of Common Stock upon the exercise of options or the issuance or vesting of such shares under the Plan shall be subject to the satisfaction of all applicable Federal, state and local income and employment tax withholding requirements.</w:t>
      </w:r>
    </w:p>
    <w:p>
      <w:pPr>
        <w:spacing w:after="0" w:line="177" w:lineRule="exact"/>
        <w:rPr>
          <w:rFonts w:ascii="Courier New" w:cs="Courier New" w:eastAsia="Courier New" w:hAnsi="Courier New"/>
          <w:sz w:val="15"/>
          <w:szCs w:val="15"/>
          <w:color w:val="auto"/>
        </w:rPr>
      </w:pPr>
    </w:p>
    <w:p>
      <w:pPr>
        <w:ind w:right="3039" w:firstLine="993"/>
        <w:spacing w:after="0" w:line="246" w:lineRule="auto"/>
        <w:tabs>
          <w:tab w:leader="none" w:pos="1363"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in its discretion, provide any or all holders of Non-Statutory Options or unvested shares of Common Stock under the Plan with the right to use shares of Common Stock in satisfaction of all or part of the Withholding Taxes incurred by such holders in connection with the exercise of their options or the vesting of their shares. Such right may be provided to any such holder in either or both of the following formats: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Stock Withholding: The election to have the Corporation withhold,</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from the shares of Common Stock otherwise issuable upon the exercise of such Non-Statutory Option or the vesting of such shares, a portion of those shares with an aggregate Fair Market Value equal to the percentage of the Withholding Taxes (not to exceed one hundred percent (100%)) designated by the holder.</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Stock Delivery: The election to deliver to the Corporation, at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time the Non-Statutory Option is exercised or the shares vest, one or more shares of Common Stock previously acquired by such holder (other than in connection with the option exercise or share vesting triggering the Withholding Taxes) with an aggregate Fair Market Value equal to the percentage of the Taxes (not to exceed one hundred percent (100%)) designated by the holder.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sectPr>
      </w:pPr>
    </w:p>
    <w:bookmarkStart w:id="116" w:name="page117"/>
    <w:bookmarkEnd w:id="116"/>
    <w:p>
      <w:pPr>
        <w:ind w:left="447"/>
        <w:spacing w:after="0"/>
        <w:tabs>
          <w:tab w:leader="none" w:pos="986"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EFFECTIVE DATE AND TERM OF THE PLAN</w:t>
      </w:r>
    </w:p>
    <w:p>
      <w:pPr>
        <w:spacing w:after="0" w:line="180" w:lineRule="exact"/>
        <w:rPr>
          <w:sz w:val="20"/>
          <w:szCs w:val="20"/>
          <w:color w:val="auto"/>
        </w:rPr>
      </w:pPr>
    </w:p>
    <w:p>
      <w:pPr>
        <w:ind w:left="7" w:right="2959" w:firstLine="993"/>
        <w:spacing w:after="0" w:line="246" w:lineRule="auto"/>
        <w:tabs>
          <w:tab w:leader="none" w:pos="1461"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become effective immediately upon the Plan Effective Date. Options may be granted under the Discretionary Option Grant Program at any time on or after the Plan Effective Date. However, no options granted under the Plan may be exercised, and no shares shall be issued under the Plan, until the Plan is approved by the Corporation's stockholders. If such stockholder approval is not obtained within twelve (12) months after the Plan Effective Date, then all options previously granted under this Plan shall terminate and cease to be outstanding, and no further options shall be granted and no shares shall be issued under the Plan.</w:t>
      </w:r>
    </w:p>
    <w:p>
      <w:pPr>
        <w:spacing w:after="0" w:line="180"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serve as the successor to the Predecessor Plan, and no further options or direct stock issuances shall be made under the Predecessor Plan after the Section 12 Registration Date. All options outstanding under the Predecessor Plan on the Section 12 Registration Date shall be incorporated into the Plan at that time and shall be treated as outstanding options under the Plan. However, each outstanding option so incorporated shall continue to be governed solely by the terms of the documents evidencing such option, and no provision of the Plan shall be deemed to affect or otherwise modify the rights or obligations of the holders of such incorporated options with respect to their acquisition of shares of Common Stock.</w:t>
      </w:r>
    </w:p>
    <w:p>
      <w:pPr>
        <w:spacing w:after="0" w:line="180" w:lineRule="exact"/>
        <w:rPr>
          <w:rFonts w:ascii="Courier New" w:cs="Courier New" w:eastAsia="Courier New" w:hAnsi="Courier New"/>
          <w:sz w:val="15"/>
          <w:szCs w:val="15"/>
          <w:color w:val="auto"/>
        </w:rPr>
      </w:pPr>
    </w:p>
    <w:p>
      <w:pPr>
        <w:ind w:left="7" w:right="3039" w:firstLine="993"/>
        <w:spacing w:after="0" w:line="246" w:lineRule="auto"/>
        <w:tabs>
          <w:tab w:leader="none" w:pos="1461"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provisions of the Plan, including (without limitation) the option/vesting acceleration provisions of Article Two relating to Changes in Control, may, in the Plan Administrator's discretion, be extended to one or more options incorporated from the Predecessor Plan which do not otherwise contain such provisions.</w:t>
      </w:r>
    </w:p>
    <w:p>
      <w:pPr>
        <w:spacing w:after="0" w:line="177" w:lineRule="exact"/>
        <w:rPr>
          <w:rFonts w:ascii="Courier New" w:cs="Courier New" w:eastAsia="Courier New" w:hAnsi="Courier New"/>
          <w:sz w:val="15"/>
          <w:szCs w:val="15"/>
          <w:color w:val="auto"/>
        </w:rPr>
      </w:pPr>
    </w:p>
    <w:p>
      <w:pPr>
        <w:ind w:left="1447" w:hanging="447"/>
        <w:spacing w:after="0"/>
        <w:tabs>
          <w:tab w:leader="none" w:pos="1447"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terminate upon the earliest of (i) July 12, 2010,</w:t>
      </w:r>
    </w:p>
    <w:p>
      <w:pPr>
        <w:spacing w:after="0" w:line="4" w:lineRule="exact"/>
        <w:rPr>
          <w:rFonts w:ascii="Courier New" w:cs="Courier New" w:eastAsia="Courier New" w:hAnsi="Courier New"/>
          <w:sz w:val="15"/>
          <w:szCs w:val="15"/>
          <w:color w:val="auto"/>
        </w:rPr>
      </w:pPr>
    </w:p>
    <w:p>
      <w:pPr>
        <w:ind w:left="4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139" w:hanging="7"/>
        <w:spacing w:after="0" w:line="246" w:lineRule="auto"/>
        <w:tabs>
          <w:tab w:leader="none" w:pos="46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all shares available for issuance under the Plan shall have been issued as fully-vested shares or (iii) the termination of all outstanding options in connection with a Change in Control. Upon such plan termination, all outstanding options and unvested stock issuances shall thereafter continue to have force and effect in accordance with the provisions of the documents evidencing such grants or issuances.</w:t>
      </w:r>
    </w:p>
    <w:p>
      <w:pPr>
        <w:spacing w:after="0" w:line="178" w:lineRule="exact"/>
        <w:rPr>
          <w:rFonts w:ascii="Courier New" w:cs="Courier New" w:eastAsia="Courier New" w:hAnsi="Courier New"/>
          <w:sz w:val="15"/>
          <w:szCs w:val="15"/>
          <w:color w:val="auto"/>
        </w:rPr>
      </w:pPr>
    </w:p>
    <w:p>
      <w:pPr>
        <w:ind w:left="1007" w:hanging="552"/>
        <w:spacing w:after="0"/>
        <w:tabs>
          <w:tab w:leader="none" w:pos="1007"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9" w:lineRule="exact"/>
        <w:rPr>
          <w:rFonts w:ascii="Courier New" w:cs="Courier New" w:eastAsia="Courier New" w:hAnsi="Courier New"/>
          <w:sz w:val="15"/>
          <w:szCs w:val="15"/>
          <w:color w:val="auto"/>
        </w:rPr>
      </w:pPr>
    </w:p>
    <w:p>
      <w:pPr>
        <w:ind w:left="7" w:right="3039" w:firstLine="993"/>
        <w:spacing w:after="0" w:line="246" w:lineRule="auto"/>
        <w:tabs>
          <w:tab w:leader="none" w:pos="1461" w:val="left"/>
        </w:tabs>
        <w:numPr>
          <w:ilvl w:val="2"/>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complete and exclusive power and authority to amend or modify the Plan in any or all respects. However, no such amendment or modification shall adversely affect the rights and obligations with respect to stock options or unvested stock issuances at the time outstanding under the Plan unless the Optionee or the Participant consents to such amendment or modification. In addition, certain amendments may require stockholder approval pursuant to applicable laws or regulations.</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purchase shares of Common Stock may be granted under the Discretionary Option Grant Program and shares of Common Stock may be issued under the Stock Issuance Program that are in each instance in excess of the number of shares then available for issuance under the Plan, provided any excess shares actually issued under those programs shall be held in escrow until there is obtained stockholder approval of an amendment sufficiently</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2" w:right="1440" w:bottom="1440" w:gutter="0" w:footer="0" w:header="0"/>
        </w:sectPr>
      </w:pPr>
    </w:p>
    <w:bookmarkStart w:id="117" w:name="page118"/>
    <w:bookmarkEnd w:id="117"/>
    <w:p>
      <w:pPr>
        <w:ind w:right="2959"/>
        <w:spacing w:after="0" w:line="246" w:lineRule="auto"/>
        <w:rPr>
          <w:sz w:val="20"/>
          <w:szCs w:val="20"/>
          <w:color w:val="auto"/>
        </w:rPr>
      </w:pPr>
      <w:r>
        <w:rPr>
          <w:rFonts w:ascii="Courier New" w:cs="Courier New" w:eastAsia="Courier New" w:hAnsi="Courier New"/>
          <w:sz w:val="15"/>
          <w:szCs w:val="15"/>
          <w:color w:val="auto"/>
        </w:rPr>
        <w:t>increasing the number of shares of Common Stock available for issuance under the Plan. If such stockholder approval is not obtained within twelve (12) months after the date the first such excess issuances are made, then (i) any unexercised options granted on the basis of such excess shares shall terminate and cease to be outstanding and (ii) the Corporation shall promptly refund to the Optionees and the Participants the exercise or purchase price paid for any excess shares issued under the Plan and held in escrow, together with interest (at the applicable Short Term Federal Rate) for the period the shares were held in escrow, and such shares shall thereupon be automatically cancelled and cease to be outstanding.</w:t>
      </w:r>
    </w:p>
    <w:p>
      <w:pPr>
        <w:spacing w:after="0" w:line="181"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2959" w:firstLine="1000"/>
        <w:spacing w:after="0" w:line="247" w:lineRule="auto"/>
        <w:rPr>
          <w:sz w:val="20"/>
          <w:szCs w:val="20"/>
          <w:color w:val="auto"/>
        </w:rPr>
      </w:pPr>
      <w:r>
        <w:rPr>
          <w:rFonts w:ascii="Courier New" w:cs="Courier New" w:eastAsia="Courier New" w:hAnsi="Courier New"/>
          <w:sz w:val="15"/>
          <w:szCs w:val="15"/>
          <w:color w:val="auto"/>
        </w:rPr>
        <w:t>Any cash proceeds received by the Corporation from the sale of shares of Common Stock under the Plan shall be used for general corporate purposes.</w:t>
      </w:r>
    </w:p>
    <w:p>
      <w:pPr>
        <w:spacing w:after="0" w:line="175"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VII.</w:t>
        <w:tab/>
        <w:t>REGULATORY APPROVALS</w:t>
      </w:r>
    </w:p>
    <w:p>
      <w:pPr>
        <w:spacing w:after="0" w:line="180" w:lineRule="exact"/>
        <w:rPr>
          <w:sz w:val="20"/>
          <w:szCs w:val="20"/>
          <w:color w:val="auto"/>
        </w:rPr>
      </w:pPr>
    </w:p>
    <w:p>
      <w:pPr>
        <w:ind w:right="2959" w:firstLine="993"/>
        <w:spacing w:after="0" w:line="246" w:lineRule="auto"/>
        <w:tabs>
          <w:tab w:leader="none" w:pos="145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the Plan, the granting of any stock option under the Plan and the issuance of any shares of Common Stock (i) upon the exercise of any granted option or (ii) under the Stock Issuance Program shall be subject to the Corporation's procurement of all approvals and permits required by regulatory authorities having jurisdiction over the Plan, the stock options granted under it and the shares of Common Stock issued pursuant to it.</w:t>
      </w:r>
    </w:p>
    <w:p>
      <w:pPr>
        <w:spacing w:after="0" w:line="178"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shares of Common Stock or other assets shall be issued or delivered under the Plan unless and until there shall have been compliance with all applicable requirements of Federal and state securities laws, including the filing and effectiveness of the Form S-8 registration statement for the shares of Common Stock issuable under the Plan, and all applicable listing requirements of any stock exchange (or the Nasdaq National Market, if applicable) on which Common Stock is then listed for trading.</w:t>
      </w:r>
    </w:p>
    <w:p>
      <w:pPr>
        <w:spacing w:after="0" w:line="179" w:lineRule="exact"/>
        <w:rPr>
          <w:sz w:val="20"/>
          <w:szCs w:val="20"/>
          <w:color w:val="auto"/>
        </w:rPr>
      </w:pPr>
    </w:p>
    <w:p>
      <w:pPr>
        <w:ind w:left="440"/>
        <w:spacing w:after="0"/>
        <w:tabs>
          <w:tab w:leader="none" w:pos="1060" w:val="left"/>
        </w:tabs>
        <w:rPr>
          <w:sz w:val="20"/>
          <w:szCs w:val="20"/>
          <w:color w:val="auto"/>
        </w:rPr>
      </w:pPr>
      <w:r>
        <w:rPr>
          <w:rFonts w:ascii="Courier New" w:cs="Courier New" w:eastAsia="Courier New" w:hAnsi="Courier New"/>
          <w:sz w:val="15"/>
          <w:szCs w:val="15"/>
          <w:color w:val="auto"/>
        </w:rPr>
        <w:t>VIII.</w:t>
        <w:tab/>
        <w:t>NO EMPLOYMENT/SERVICE RIGHTS</w:t>
      </w:r>
    </w:p>
    <w:p>
      <w:pPr>
        <w:spacing w:after="0" w:line="180" w:lineRule="exact"/>
        <w:rPr>
          <w:sz w:val="20"/>
          <w:szCs w:val="20"/>
          <w:color w:val="auto"/>
        </w:rPr>
      </w:pPr>
    </w:p>
    <w:p>
      <w:pPr>
        <w:ind w:right="2959" w:firstLine="1091"/>
        <w:spacing w:after="0" w:line="246" w:lineRule="auto"/>
        <w:rPr>
          <w:sz w:val="20"/>
          <w:szCs w:val="20"/>
          <w:color w:val="auto"/>
        </w:rPr>
      </w:pPr>
      <w:r>
        <w:rPr>
          <w:rFonts w:ascii="Courier New" w:cs="Courier New" w:eastAsia="Courier New" w:hAnsi="Courier New"/>
          <w:sz w:val="15"/>
          <w:szCs w:val="15"/>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118" w:name="page119"/>
    <w:bookmarkEnd w:id="118"/>
    <w:p>
      <w:pPr>
        <w:ind w:left="3180"/>
        <w:spacing w:after="0"/>
        <w:rPr>
          <w:sz w:val="20"/>
          <w:szCs w:val="20"/>
          <w:color w:val="auto"/>
        </w:rPr>
      </w:pPr>
      <w:r>
        <w:rPr>
          <w:rFonts w:ascii="Courier New" w:cs="Courier New" w:eastAsia="Courier New" w:hAnsi="Courier New"/>
          <w:sz w:val="15"/>
          <w:szCs w:val="15"/>
          <w:color w:val="auto"/>
        </w:rPr>
        <w:t>APPENDIX</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following definitions shall be in effect under the Plan:</w:t>
      </w:r>
    </w:p>
    <w:p>
      <w:pPr>
        <w:spacing w:after="0" w:line="180" w:lineRule="exact"/>
        <w:rPr>
          <w:sz w:val="20"/>
          <w:szCs w:val="20"/>
          <w:color w:val="auto"/>
        </w:rPr>
      </w:pPr>
    </w:p>
    <w:p>
      <w:pPr>
        <w:ind w:left="1440" w:hanging="447"/>
        <w:spacing w:after="0"/>
        <w:tabs>
          <w:tab w:leader="none" w:pos="14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Option Grant Program shall mean the automatic option</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program in effect under the Plan.</w:t>
      </w:r>
    </w:p>
    <w:p>
      <w:pPr>
        <w:spacing w:after="0" w:line="180" w:lineRule="exact"/>
        <w:rPr>
          <w:sz w:val="20"/>
          <w:szCs w:val="20"/>
          <w:color w:val="auto"/>
        </w:rPr>
      </w:pPr>
    </w:p>
    <w:p>
      <w:pPr>
        <w:ind w:left="1440" w:hanging="447"/>
        <w:spacing w:after="0"/>
        <w:tabs>
          <w:tab w:leader="none" w:pos="14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shall mean, in the event the Plan Administrator</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implements a beneficiary designation procedure, the person designated by an Optionee or Participant, pursuant to such procedure, to succeed to such person's rights under any outstanding awards held by him or her at the time of death. In the absence of such designation or procedure, the Beneficiary shall be the personal representative of the estate of the Optionee or Participant or the person or persons to whom the award is transferred by will or the laws of inheritance.</w:t>
      </w:r>
    </w:p>
    <w:p>
      <w:pPr>
        <w:spacing w:after="0" w:line="179" w:lineRule="exact"/>
        <w:rPr>
          <w:sz w:val="20"/>
          <w:szCs w:val="20"/>
          <w:color w:val="auto"/>
        </w:rPr>
      </w:pPr>
    </w:p>
    <w:p>
      <w:pPr>
        <w:ind w:left="1440" w:hanging="447"/>
        <w:spacing w:after="0"/>
        <w:tabs>
          <w:tab w:leader="none" w:pos="14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Corporation's Board of Directors.</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a change in ownership or control of</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Corporation effected through any of the following transactions:</w:t>
      </w:r>
    </w:p>
    <w:p>
      <w:pPr>
        <w:spacing w:after="0" w:line="180" w:lineRule="exact"/>
        <w:rPr>
          <w:sz w:val="20"/>
          <w:szCs w:val="20"/>
          <w:color w:val="auto"/>
        </w:rPr>
      </w:pPr>
    </w:p>
    <w:p>
      <w:pPr>
        <w:jc w:val="both"/>
        <w:ind w:left="440" w:right="3039" w:firstLine="1007"/>
        <w:spacing w:after="0" w:line="246" w:lineRule="auto"/>
        <w:tabs>
          <w:tab w:leader="none" w:pos="198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consolidation or reorganization approved by the Corporation's stockholders, unless securities representing more than fifty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w:t>
      </w:r>
    </w:p>
    <w:p>
      <w:pPr>
        <w:spacing w:after="0" w:line="178" w:lineRule="exact"/>
        <w:rPr>
          <w:sz w:val="20"/>
          <w:szCs w:val="20"/>
          <w:color w:val="auto"/>
        </w:rPr>
      </w:pPr>
    </w:p>
    <w:p>
      <w:pPr>
        <w:ind w:left="440" w:right="3039" w:firstLine="1007"/>
        <w:spacing w:after="0" w:line="247" w:lineRule="auto"/>
        <w:tabs>
          <w:tab w:leader="none" w:pos="1985"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stockholder-approved transfer or other disposition of all or substantially all of the Corporation's assets, or</w:t>
      </w:r>
    </w:p>
    <w:p>
      <w:pPr>
        <w:spacing w:after="0" w:line="174"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recommends such stockholders accept.</w:t>
      </w:r>
    </w:p>
    <w:p>
      <w:pPr>
        <w:spacing w:after="0" w:line="180"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Corporation's common stock.</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shall mean Active Power, Inc., a Delaware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corporation, and any corporate successor to all or substantially all of the assets or voting stock of Active Power, Inc. which shall by appropriate action adopt the Plan.</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42" w:right="1440" w:bottom="1440" w:gutter="0" w:footer="0" w:header="0"/>
        </w:sectPr>
      </w:pPr>
    </w:p>
    <w:bookmarkStart w:id="119" w:name="page120"/>
    <w:bookmarkEnd w:id="119"/>
    <w:p>
      <w:pPr>
        <w:ind w:left="1440" w:hanging="447"/>
        <w:spacing w:after="0"/>
        <w:tabs>
          <w:tab w:leader="none" w:pos="14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Discretionary Option Grant Program shall mean the discretionary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 program in effect under the Plan.</w:t>
      </w:r>
    </w:p>
    <w:p>
      <w:pPr>
        <w:spacing w:after="0" w:line="180" w:lineRule="exact"/>
        <w:rPr>
          <w:sz w:val="20"/>
          <w:szCs w:val="20"/>
          <w:color w:val="auto"/>
        </w:rPr>
      </w:pPr>
    </w:p>
    <w:p>
      <w:pPr>
        <w:ind w:left="1440" w:hanging="447"/>
        <w:spacing w:after="0"/>
        <w:tabs>
          <w:tab w:leader="none" w:pos="14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 individual who is in the employ of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Corporation (or any Parent or Subsidiary), subject to the control and direction of the employer entity as to both the work to be performed and the manner and method of performance.</w:t>
      </w:r>
    </w:p>
    <w:p>
      <w:pPr>
        <w:spacing w:after="0" w:line="174" w:lineRule="exact"/>
        <w:rPr>
          <w:sz w:val="20"/>
          <w:szCs w:val="20"/>
          <w:color w:val="auto"/>
        </w:rPr>
      </w:pPr>
    </w:p>
    <w:p>
      <w:pPr>
        <w:ind w:left="1440" w:hanging="447"/>
        <w:spacing w:after="0"/>
        <w:tabs>
          <w:tab w:leader="none" w:pos="14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Date shall mean the date on which the Corporation shall</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received written notice of the option exercise.</w:t>
      </w:r>
    </w:p>
    <w:p>
      <w:pPr>
        <w:spacing w:after="0" w:line="180" w:lineRule="exact"/>
        <w:rPr>
          <w:sz w:val="20"/>
          <w:szCs w:val="20"/>
          <w:color w:val="auto"/>
        </w:rPr>
      </w:pPr>
    </w:p>
    <w:p>
      <w:pPr>
        <w:ind w:left="1440" w:hanging="447"/>
        <w:spacing w:after="0"/>
        <w:tabs>
          <w:tab w:leader="none" w:pos="14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per share of Common Stock on any relevant date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determined in accordance with the following provisions:</w:t>
      </w:r>
    </w:p>
    <w:p>
      <w:pPr>
        <w:spacing w:after="0" w:line="180" w:lineRule="exact"/>
        <w:rPr>
          <w:sz w:val="20"/>
          <w:szCs w:val="20"/>
          <w:color w:val="auto"/>
        </w:rPr>
      </w:pPr>
    </w:p>
    <w:p>
      <w:pPr>
        <w:ind w:left="440" w:right="3139" w:firstLine="1007"/>
        <w:spacing w:after="0" w:line="246" w:lineRule="auto"/>
        <w:tabs>
          <w:tab w:leader="none" w:pos="1985"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traded on the Nasdaq National Market, then the Fair Market Value shall be the closing selling price per share of Common Stock on the date in question, as such price is reported on the Nasdaq National Market or any successor system and in The Wall Street Journal. If there is no closing selling price for the Common Stock on the date in question, then the Fair Market Value shall be the closing selling price on the last preceding date for which such quotation exists.</w:t>
      </w:r>
    </w:p>
    <w:p>
      <w:pPr>
        <w:spacing w:after="0" w:line="179"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reported in The Wall Street Journal. If there is no closing selling price for the Common Stock on the date in question, then the Fair Market Value shall be the closing selling price on the last preceding date for which such quotation exists.</w:t>
      </w:r>
    </w:p>
    <w:p>
      <w:pPr>
        <w:spacing w:after="0" w:line="180"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option grants made on the Underwriting Date, the Fair Market Value shall be deemed to be equal to the price per share at which the Common Stock is to be sold in the initial public offering pursuant to the Underwriting Agreement.</w:t>
      </w:r>
    </w:p>
    <w:p>
      <w:pPr>
        <w:spacing w:after="0" w:line="177" w:lineRule="exact"/>
        <w:rPr>
          <w:rFonts w:ascii="Courier New" w:cs="Courier New" w:eastAsia="Courier New" w:hAnsi="Courier New"/>
          <w:sz w:val="15"/>
          <w:szCs w:val="15"/>
          <w:color w:val="auto"/>
        </w:rPr>
      </w:pPr>
    </w:p>
    <w:p>
      <w:pPr>
        <w:ind w:left="440" w:right="2959" w:firstLine="1007"/>
        <w:spacing w:after="0" w:line="247" w:lineRule="auto"/>
        <w:tabs>
          <w:tab w:leader="none" w:pos="1985"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options made prior to the Underwriting Date, the Fair Market Value shall be determined by the Plan Administrator, after taking into account such factors as it deems appropriate.</w:t>
      </w:r>
    </w:p>
    <w:p>
      <w:pPr>
        <w:spacing w:after="0" w:line="174"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Hostile Take-Over shall mean:</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440" w:right="2959" w:firstLine="1007"/>
        <w:spacing w:after="0" w:line="246" w:lineRule="auto"/>
        <w:tabs>
          <w:tab w:leader="none" w:pos="198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43" w:right="1440" w:bottom="1440" w:gutter="0" w:footer="0" w:header="0"/>
        </w:sectPr>
      </w:pPr>
    </w:p>
    <w:bookmarkStart w:id="120" w:name="page121"/>
    <w:bookmarkEnd w:id="120"/>
    <w:p>
      <w:pPr>
        <w:ind w:left="440" w:right="3779"/>
        <w:spacing w:after="0" w:line="247" w:lineRule="auto"/>
        <w:rPr>
          <w:sz w:val="20"/>
          <w:szCs w:val="20"/>
          <w:color w:val="auto"/>
        </w:rPr>
      </w:pPr>
      <w:r>
        <w:rPr>
          <w:rFonts w:ascii="Courier New" w:cs="Courier New" w:eastAsia="Courier New" w:hAnsi="Courier New"/>
          <w:sz w:val="15"/>
          <w:szCs w:val="15"/>
          <w:color w:val="auto"/>
        </w:rPr>
        <w:t>Corporation's stockholders which the Board does not recommend such stockholders to accept, or</w:t>
      </w:r>
    </w:p>
    <w:p>
      <w:pPr>
        <w:spacing w:after="0" w:line="175" w:lineRule="exact"/>
        <w:rPr>
          <w:sz w:val="20"/>
          <w:szCs w:val="20"/>
          <w:color w:val="auto"/>
        </w:rPr>
      </w:pPr>
    </w:p>
    <w:p>
      <w:pPr>
        <w:ind w:left="440" w:right="3039" w:firstLine="1371"/>
        <w:spacing w:after="0" w:line="246" w:lineRule="auto"/>
        <w:tabs>
          <w:tab w:leader="none" w:pos="2439"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0"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Option shall mean an option which satisfies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requirements of Code Section 422.</w:t>
      </w:r>
    </w:p>
    <w:p>
      <w:pPr>
        <w:spacing w:after="0" w:line="180" w:lineRule="exact"/>
        <w:rPr>
          <w:sz w:val="20"/>
          <w:szCs w:val="20"/>
          <w:color w:val="auto"/>
        </w:rPr>
      </w:pPr>
    </w:p>
    <w:p>
      <w:pPr>
        <w:ind w:left="1440" w:hanging="447"/>
        <w:spacing w:after="0"/>
        <w:tabs>
          <w:tab w:leader="none" w:pos="14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Termination shall mean the termination of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of any individual which occurs by reason of:</w:t>
      </w:r>
    </w:p>
    <w:p>
      <w:pPr>
        <w:spacing w:after="0" w:line="180" w:lineRule="exact"/>
        <w:rPr>
          <w:sz w:val="20"/>
          <w:szCs w:val="20"/>
          <w:color w:val="auto"/>
        </w:rPr>
      </w:pPr>
    </w:p>
    <w:p>
      <w:pPr>
        <w:ind w:left="2440" w:hanging="629"/>
        <w:spacing w:after="0"/>
        <w:tabs>
          <w:tab w:leader="none" w:pos="24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individual's involuntary dismissal or discharge</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Corporation for reasons other than Misconduct, or</w:t>
      </w:r>
    </w:p>
    <w:p>
      <w:pPr>
        <w:spacing w:after="0" w:line="179" w:lineRule="exact"/>
        <w:rPr>
          <w:rFonts w:ascii="Courier New" w:cs="Courier New" w:eastAsia="Courier New" w:hAnsi="Courier New"/>
          <w:sz w:val="15"/>
          <w:szCs w:val="15"/>
          <w:color w:val="auto"/>
        </w:rPr>
      </w:pPr>
    </w:p>
    <w:p>
      <w:pPr>
        <w:ind w:left="440" w:right="2959" w:firstLine="1371"/>
        <w:spacing w:after="0" w:line="246" w:lineRule="auto"/>
        <w:tabs>
          <w:tab w:leader="none" w:pos="2439"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individual's voluntary resignation following (A) a change in his or her position with the Corporation or Parent or Subsidiary employing the individual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181" w:lineRule="exact"/>
        <w:rPr>
          <w:sz w:val="20"/>
          <w:szCs w:val="20"/>
          <w:color w:val="auto"/>
        </w:rPr>
      </w:pPr>
    </w:p>
    <w:p>
      <w:pPr>
        <w:ind w:left="1440" w:hanging="447"/>
        <w:spacing w:after="0"/>
        <w:tabs>
          <w:tab w:leader="none" w:pos="144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Misconduct shall mean the commission of any act of fraud,</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embezzlement or dishonesty by the Optionee or Participant, any unauthorized use or disclosure by such person of confidential information or trade secrets of the Corporation (or any Parent or Subsidiary), or any intentional wrongdoing by such person, whether by omission or commission, which adversely affects the business or affairs of the Corporation (or any Parent or Subsidiary) in a material manner. This shall not limit the grounds for the dismissal or discharge of any person in the Service of the Corporation (or any Parent or Subsidiary).</w:t>
      </w:r>
    </w:p>
    <w:p>
      <w:pPr>
        <w:spacing w:after="0" w:line="179" w:lineRule="exact"/>
        <w:rPr>
          <w:sz w:val="20"/>
          <w:szCs w:val="20"/>
          <w:color w:val="auto"/>
        </w:rPr>
      </w:pPr>
    </w:p>
    <w:p>
      <w:pPr>
        <w:ind w:left="1440" w:hanging="447"/>
        <w:spacing w:after="0"/>
        <w:tabs>
          <w:tab w:leader="none" w:pos="144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shall mean the Securities Exchange Act of 1934, as</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0" w:lineRule="exact"/>
        <w:rPr>
          <w:sz w:val="20"/>
          <w:szCs w:val="20"/>
          <w:color w:val="auto"/>
        </w:rPr>
      </w:pPr>
    </w:p>
    <w:p>
      <w:pPr>
        <w:ind w:left="1440" w:hanging="447"/>
        <w:spacing w:after="0"/>
        <w:tabs>
          <w:tab w:leader="none" w:pos="1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Option shall mean an option not intended to</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satisfy the requirements of Code Section 422.</w:t>
      </w:r>
    </w:p>
    <w:p>
      <w:pPr>
        <w:spacing w:after="0" w:line="180" w:lineRule="exact"/>
        <w:rPr>
          <w:sz w:val="20"/>
          <w:szCs w:val="20"/>
          <w:color w:val="auto"/>
        </w:rPr>
      </w:pPr>
    </w:p>
    <w:p>
      <w:pPr>
        <w:ind w:left="1440" w:hanging="447"/>
        <w:spacing w:after="0"/>
        <w:tabs>
          <w:tab w:leader="none" w:pos="1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Surrender Value shall mean the Fair Market Value per</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share of Common Stock on the date the option is surrendered to the Corporation or, in the event of a Hostile Take-Over, effected through a tender offer, the highest reported price per share of Common Stock paid by the tender offeror in effecting such Hostile Take-Over, if greater.</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43" w:right="1440" w:bottom="1440" w:gutter="0" w:footer="0" w:header="0"/>
        </w:sectPr>
      </w:pPr>
    </w:p>
    <w:bookmarkStart w:id="121" w:name="page122"/>
    <w:bookmarkEnd w:id="121"/>
    <w:p>
      <w:pPr>
        <w:ind w:left="7" w:right="3039"/>
        <w:spacing w:after="0" w:line="247" w:lineRule="auto"/>
        <w:rPr>
          <w:sz w:val="20"/>
          <w:szCs w:val="20"/>
          <w:color w:val="auto"/>
        </w:rPr>
      </w:pPr>
      <w:r>
        <w:rPr>
          <w:rFonts w:ascii="Courier New" w:cs="Courier New" w:eastAsia="Courier New" w:hAnsi="Courier New"/>
          <w:sz w:val="15"/>
          <w:szCs w:val="15"/>
          <w:color w:val="auto"/>
        </w:rPr>
        <w:t>However, if the surrendered option is an Incentive Option, the Option Surrender Value shall not exceed the Fair Market Value per share.</w:t>
      </w:r>
    </w:p>
    <w:p>
      <w:pPr>
        <w:spacing w:after="0" w:line="175" w:lineRule="exact"/>
        <w:rPr>
          <w:sz w:val="20"/>
          <w:szCs w:val="20"/>
          <w:color w:val="auto"/>
        </w:rPr>
      </w:pPr>
    </w:p>
    <w:p>
      <w:pPr>
        <w:ind w:left="1447" w:hanging="447"/>
        <w:spacing w:after="0"/>
        <w:tabs>
          <w:tab w:leader="none" w:pos="144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shall mean any person to whom an option is granted</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under the Discretionary Option Grant or Automatic Option Grant Program.</w:t>
      </w:r>
    </w:p>
    <w:p>
      <w:pPr>
        <w:spacing w:after="0" w:line="180" w:lineRule="exact"/>
        <w:rPr>
          <w:sz w:val="20"/>
          <w:szCs w:val="20"/>
          <w:color w:val="auto"/>
        </w:rPr>
      </w:pPr>
    </w:p>
    <w:p>
      <w:pPr>
        <w:ind w:left="1447" w:hanging="447"/>
        <w:spacing w:after="0"/>
        <w:tabs>
          <w:tab w:leader="none" w:pos="144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mean any corporation (other than the Corporation)</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78" w:lineRule="exact"/>
        <w:rPr>
          <w:sz w:val="20"/>
          <w:szCs w:val="20"/>
          <w:color w:val="auto"/>
        </w:rPr>
      </w:pPr>
    </w:p>
    <w:p>
      <w:pPr>
        <w:ind w:left="1447" w:hanging="447"/>
        <w:spacing w:after="0"/>
        <w:tabs>
          <w:tab w:leader="none" w:pos="144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person who is issued shares of Common</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under the Stock Issuance Program.</w:t>
      </w:r>
    </w:p>
    <w:p>
      <w:pPr>
        <w:spacing w:after="0" w:line="180" w:lineRule="exact"/>
        <w:rPr>
          <w:sz w:val="20"/>
          <w:szCs w:val="20"/>
          <w:color w:val="auto"/>
        </w:rPr>
      </w:pPr>
    </w:p>
    <w:p>
      <w:pPr>
        <w:ind w:left="1447" w:hanging="447"/>
        <w:spacing w:after="0"/>
        <w:tabs>
          <w:tab w:leader="none" w:pos="144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Permanent Disability or Permanently Disabled shall mean the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inability of the Optionee or the Participant to engage in any substantial gainful activity by reason of any medically determinable physical or mental impairment expected to result in death or to be of continuous duration of twelve</w:t>
      </w:r>
    </w:p>
    <w:p>
      <w:pPr>
        <w:spacing w:after="0" w:line="2" w:lineRule="exact"/>
        <w:rPr>
          <w:sz w:val="20"/>
          <w:szCs w:val="20"/>
          <w:color w:val="auto"/>
        </w:rPr>
      </w:pPr>
    </w:p>
    <w:p>
      <w:pPr>
        <w:ind w:left="7" w:right="2959" w:hanging="7"/>
        <w:spacing w:after="0" w:line="246" w:lineRule="auto"/>
        <w:tabs>
          <w:tab w:leader="none" w:pos="46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or more. However, solely for purposes of the Automatic Option Grant Program, Permanent Disability or Permanently Disabled shall mean the inability of the non-employee Board member to perform his or her usual duties as a Board member by reason of any medically determinable physical or mental impairment expected to result in death or to be of continuous duration of twelve (12) months or more.</w:t>
      </w:r>
    </w:p>
    <w:p>
      <w:pPr>
        <w:spacing w:after="0" w:line="178" w:lineRule="exact"/>
        <w:rPr>
          <w:sz w:val="20"/>
          <w:szCs w:val="20"/>
          <w:color w:val="auto"/>
        </w:rPr>
      </w:pPr>
    </w:p>
    <w:p>
      <w:pPr>
        <w:ind w:left="1447" w:hanging="447"/>
        <w:spacing w:after="0"/>
        <w:tabs>
          <w:tab w:leader="none" w:pos="144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Corporation's 2000 Stock Incentive Plan, as</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set forth in this document.</w:t>
      </w:r>
    </w:p>
    <w:p>
      <w:pPr>
        <w:spacing w:after="0" w:line="180" w:lineRule="exact"/>
        <w:rPr>
          <w:sz w:val="20"/>
          <w:szCs w:val="20"/>
          <w:color w:val="auto"/>
        </w:rPr>
      </w:pPr>
    </w:p>
    <w:p>
      <w:pPr>
        <w:ind w:left="1447" w:hanging="447"/>
        <w:spacing w:after="0"/>
        <w:tabs>
          <w:tab w:leader="none" w:pos="144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Administrator shall mean the particular entity, whether the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Primary Committee, the Board or the Secondary Committee, which is authorized to administer the Discretionary Option Grant and Stock Issuance Programs with respect to one or more classes of eligible persons, to the extent such entity is carrying out its administrative functions under those programs with respect to the persons under its jurisdiction. However, the Primary Committee shall have the plenary authority to make all factual determinations and to construe and interpret any and all ambiguities under the Plan to the extent such authority is not otherwise expressly delegated to any other Plan Administrator.</w:t>
      </w:r>
    </w:p>
    <w:p>
      <w:pPr>
        <w:spacing w:after="0" w:line="180" w:lineRule="exact"/>
        <w:rPr>
          <w:sz w:val="20"/>
          <w:szCs w:val="20"/>
          <w:color w:val="auto"/>
        </w:rPr>
      </w:pPr>
    </w:p>
    <w:p>
      <w:pPr>
        <w:ind w:left="1447" w:hanging="447"/>
        <w:spacing w:after="0"/>
        <w:tabs>
          <w:tab w:leader="none" w:pos="144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Effective Date shall mean July 13, 2000 the date on which</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Plan was adopted by the Board.</w:t>
      </w:r>
    </w:p>
    <w:p>
      <w:pPr>
        <w:spacing w:after="0" w:line="180" w:lineRule="exact"/>
        <w:rPr>
          <w:sz w:val="20"/>
          <w:szCs w:val="20"/>
          <w:color w:val="auto"/>
        </w:rPr>
      </w:pPr>
    </w:p>
    <w:p>
      <w:pPr>
        <w:ind w:left="1447" w:hanging="447"/>
        <w:spacing w:after="0"/>
        <w:tabs>
          <w:tab w:leader="none" w:pos="144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Predecessor Plan shall mean the Corporation's pre-existing 1993</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679"/>
        <w:spacing w:after="0" w:line="247" w:lineRule="auto"/>
        <w:rPr>
          <w:sz w:val="20"/>
          <w:szCs w:val="20"/>
          <w:color w:val="auto"/>
        </w:rPr>
      </w:pPr>
      <w:r>
        <w:rPr>
          <w:rFonts w:ascii="Courier New" w:cs="Courier New" w:eastAsia="Courier New" w:hAnsi="Courier New"/>
          <w:sz w:val="15"/>
          <w:szCs w:val="15"/>
          <w:color w:val="auto"/>
        </w:rPr>
        <w:t>Stock Option Plan in effect immediately prior to the Plan Effective Date hereunder.</w:t>
      </w:r>
    </w:p>
    <w:p>
      <w:pPr>
        <w:spacing w:after="0" w:line="175" w:lineRule="exact"/>
        <w:rPr>
          <w:sz w:val="20"/>
          <w:szCs w:val="20"/>
          <w:color w:val="auto"/>
        </w:rPr>
      </w:pPr>
    </w:p>
    <w:p>
      <w:pPr>
        <w:ind w:left="1447" w:hanging="447"/>
        <w:spacing w:after="0"/>
        <w:tabs>
          <w:tab w:leader="none" w:pos="144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Committee shall mean the committee of two (2) or more</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non-employee Board members appointed by the Board to administer the Discretionary Option Grant and Stock Issuance Programs with respect to Section 16 Insiders and to administer the Salary Investment Option Grant Program with respect to all eligible individuals.</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6"/>
          </w:cols>
          <w:pgMar w:left="233" w:top="643" w:right="1440" w:bottom="1440" w:gutter="0" w:footer="0" w:header="0"/>
        </w:sectPr>
      </w:pPr>
    </w:p>
    <w:bookmarkStart w:id="122" w:name="page123"/>
    <w:bookmarkEnd w:id="122"/>
    <w:p>
      <w:pPr>
        <w:ind w:left="1440" w:hanging="447"/>
        <w:spacing w:after="0"/>
        <w:tabs>
          <w:tab w:leader="none" w:pos="14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Secondary Committee shall mean a committee of one (1) or more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Board members appointed by the Board to administer the Discretionary Option Grant and Stock Issuance Programs with respect to eligible persons other than Section 16 Insiders.</w:t>
      </w:r>
    </w:p>
    <w:p>
      <w:pPr>
        <w:spacing w:after="0" w:line="174" w:lineRule="exact"/>
        <w:rPr>
          <w:sz w:val="20"/>
          <w:szCs w:val="20"/>
          <w:color w:val="auto"/>
        </w:rPr>
      </w:pPr>
    </w:p>
    <w:p>
      <w:pPr>
        <w:ind w:left="1440" w:hanging="447"/>
        <w:spacing w:after="0"/>
        <w:tabs>
          <w:tab w:leader="none" w:pos="144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 Registration Date shall mean the date on which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is first registered under Section 12(g) of the 1934 Act.</w:t>
      </w:r>
    </w:p>
    <w:p>
      <w:pPr>
        <w:spacing w:after="0" w:line="180" w:lineRule="exact"/>
        <w:rPr>
          <w:sz w:val="20"/>
          <w:szCs w:val="20"/>
          <w:color w:val="auto"/>
        </w:rPr>
      </w:pPr>
    </w:p>
    <w:p>
      <w:pPr>
        <w:ind w:left="1440" w:hanging="447"/>
        <w:spacing w:after="0"/>
        <w:tabs>
          <w:tab w:leader="none" w:pos="14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Insider shall mean an officer or director of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Corporation subject to the short-swing profit liabilities of Section 16 of the 1934 Act.</w:t>
      </w:r>
    </w:p>
    <w:p>
      <w:pPr>
        <w:spacing w:after="0" w:line="175" w:lineRule="exact"/>
        <w:rPr>
          <w:sz w:val="20"/>
          <w:szCs w:val="20"/>
          <w:color w:val="auto"/>
        </w:rPr>
      </w:pPr>
    </w:p>
    <w:p>
      <w:pPr>
        <w:ind w:left="1440" w:hanging="447"/>
        <w:spacing w:after="0"/>
        <w:tabs>
          <w:tab w:leader="none" w:pos="14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shall mean the performance of services for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Corporation (or any Parent or Subsidiary) by a person in the capacity of an Employee, a non-employee member of the board of directors or a consultant or independent advisor, except to the extent otherwise specifically provided in the documents evidencing the option grant or stock issuance.</w:t>
      </w:r>
    </w:p>
    <w:p>
      <w:pPr>
        <w:spacing w:after="0" w:line="177" w:lineRule="exact"/>
        <w:rPr>
          <w:sz w:val="20"/>
          <w:szCs w:val="20"/>
          <w:color w:val="auto"/>
        </w:rPr>
      </w:pPr>
    </w:p>
    <w:p>
      <w:pPr>
        <w:ind w:left="1440" w:hanging="447"/>
        <w:spacing w:after="0"/>
        <w:tabs>
          <w:tab w:leader="none" w:pos="1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shall mean either the American Stock Exchange or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New York Stock Exchange.</w:t>
      </w:r>
    </w:p>
    <w:p>
      <w:pPr>
        <w:spacing w:after="0" w:line="180" w:lineRule="exact"/>
        <w:rPr>
          <w:sz w:val="20"/>
          <w:szCs w:val="20"/>
          <w:color w:val="auto"/>
        </w:rPr>
      </w:pPr>
    </w:p>
    <w:p>
      <w:pPr>
        <w:ind w:left="1440" w:hanging="447"/>
        <w:spacing w:after="0"/>
        <w:tabs>
          <w:tab w:leader="none" w:pos="14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Issuance Program shall mean the stock issuance program in</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under the Plan.</w:t>
      </w:r>
    </w:p>
    <w:p>
      <w:pPr>
        <w:spacing w:after="0" w:line="180" w:lineRule="exact"/>
        <w:rPr>
          <w:sz w:val="20"/>
          <w:szCs w:val="20"/>
          <w:color w:val="auto"/>
        </w:rPr>
      </w:pPr>
    </w:p>
    <w:p>
      <w:pPr>
        <w:ind w:left="1440" w:hanging="447"/>
        <w:spacing w:after="0"/>
        <w:tabs>
          <w:tab w:leader="none" w:pos="14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corporation (other than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78" w:lineRule="exact"/>
        <w:rPr>
          <w:sz w:val="20"/>
          <w:szCs w:val="20"/>
          <w:color w:val="auto"/>
        </w:rPr>
      </w:pPr>
    </w:p>
    <w:p>
      <w:pPr>
        <w:ind w:left="1440" w:hanging="447"/>
        <w:spacing w:after="0"/>
        <w:tabs>
          <w:tab w:leader="none" w:pos="14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Stockholder shall mean the owner of stock (as determined</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under Code Section 424(d)) possessing more than ten percent (10%) of the total combined voting power of all classes of stock of the Corporation (or any Parent or Subsidiary).</w:t>
      </w:r>
    </w:p>
    <w:p>
      <w:pPr>
        <w:spacing w:after="0" w:line="174" w:lineRule="exact"/>
        <w:rPr>
          <w:sz w:val="20"/>
          <w:szCs w:val="20"/>
          <w:color w:val="auto"/>
        </w:rPr>
      </w:pPr>
    </w:p>
    <w:p>
      <w:pPr>
        <w:ind w:left="1440" w:hanging="447"/>
        <w:spacing w:after="0"/>
        <w:tabs>
          <w:tab w:leader="none" w:pos="144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Agreement shall mean the agreement between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Corporation and the underwriter or underwriters managing the initial public offering of the Common Stock.</w:t>
      </w:r>
    </w:p>
    <w:p>
      <w:pPr>
        <w:spacing w:after="0" w:line="175" w:lineRule="exact"/>
        <w:rPr>
          <w:sz w:val="20"/>
          <w:szCs w:val="20"/>
          <w:color w:val="auto"/>
        </w:rPr>
      </w:pPr>
    </w:p>
    <w:p>
      <w:pPr>
        <w:ind w:left="1440" w:hanging="447"/>
        <w:spacing w:after="0"/>
        <w:tabs>
          <w:tab w:leader="none" w:pos="14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Date shall mean the date on which the Underwriting</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Agreement is executed and priced in connection with an initial public offering of the Common Stock.</w:t>
      </w:r>
    </w:p>
    <w:p>
      <w:pPr>
        <w:spacing w:after="0" w:line="175" w:lineRule="exact"/>
        <w:rPr>
          <w:sz w:val="20"/>
          <w:szCs w:val="20"/>
          <w:color w:val="auto"/>
        </w:rPr>
      </w:pPr>
    </w:p>
    <w:p>
      <w:pPr>
        <w:ind w:left="1440" w:hanging="447"/>
        <w:spacing w:after="0"/>
        <w:tabs>
          <w:tab w:leader="none" w:pos="14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shall mean the Federal, state and local income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and employment withholding tax liabilities to which the holder of Non-Statutory Options or unvested shares of Common Stock may become subject in connection with the exercise of those options or the vesting of those shares.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643" w:right="1440" w:bottom="1440" w:gutter="0" w:footer="0" w:header="0"/>
        </w:sectPr>
      </w:pPr>
    </w:p>
    <w:bookmarkStart w:id="123" w:name="page124"/>
    <w:bookmarkEnd w:id="123"/>
    <w:p>
      <w:pPr>
        <w:jc w:val="right"/>
        <w:ind w:right="2959"/>
        <w:spacing w:after="0"/>
        <w:rPr>
          <w:sz w:val="20"/>
          <w:szCs w:val="20"/>
          <w:color w:val="auto"/>
        </w:rPr>
      </w:pPr>
      <w:r>
        <w:rPr>
          <w:rFonts w:ascii="Courier New" w:cs="Courier New" w:eastAsia="Courier New" w:hAnsi="Courier New"/>
          <w:sz w:val="15"/>
          <w:szCs w:val="15"/>
          <w:color w:val="auto"/>
        </w:rPr>
        <w:t>EXHIBIT 10.3</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00" w:hanging="552"/>
        <w:spacing w:after="0"/>
        <w:tabs>
          <w:tab w:leader="none" w:pos="10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180" w:lineRule="exact"/>
        <w:rPr>
          <w:sz w:val="20"/>
          <w:szCs w:val="20"/>
          <w:color w:val="auto"/>
        </w:rPr>
      </w:pPr>
    </w:p>
    <w:p>
      <w:pPr>
        <w:ind w:right="3139" w:firstLine="1000"/>
        <w:spacing w:after="0" w:line="246" w:lineRule="auto"/>
        <w:rPr>
          <w:sz w:val="20"/>
          <w:szCs w:val="20"/>
          <w:color w:val="auto"/>
        </w:rPr>
      </w:pPr>
      <w:r>
        <w:rPr>
          <w:rFonts w:ascii="Courier New" w:cs="Courier New" w:eastAsia="Courier New" w:hAnsi="Courier New"/>
          <w:sz w:val="15"/>
          <w:szCs w:val="15"/>
          <w:color w:val="auto"/>
        </w:rPr>
        <w:t>This Employee Stock Purchase Plan is intended to promote the interests of Active Power, Inc., a Delaware corporation, by providing eligible employees with the opportunity to acquire a proprietary interest in the Corporation through participation in a payroll-deduction based employee stock purchase plan designed to qualify under Section 423 of the Code.</w:t>
      </w:r>
    </w:p>
    <w:p>
      <w:pPr>
        <w:spacing w:after="0" w:line="178" w:lineRule="exact"/>
        <w:rPr>
          <w:sz w:val="20"/>
          <w:szCs w:val="20"/>
          <w:color w:val="auto"/>
        </w:rPr>
      </w:pPr>
    </w:p>
    <w:p>
      <w:pPr>
        <w:ind w:right="3319" w:firstLine="1000"/>
        <w:spacing w:after="0" w:line="247" w:lineRule="auto"/>
        <w:rPr>
          <w:sz w:val="20"/>
          <w:szCs w:val="20"/>
          <w:color w:val="auto"/>
        </w:rPr>
      </w:pPr>
      <w:r>
        <w:rPr>
          <w:rFonts w:ascii="Courier New" w:cs="Courier New" w:eastAsia="Courier New" w:hAnsi="Courier New"/>
          <w:sz w:val="15"/>
          <w:szCs w:val="15"/>
          <w:color w:val="auto"/>
        </w:rPr>
        <w:t>Capitalized terms herein shall have the meanings assigned to such terms in the attached Appendix.</w:t>
      </w:r>
    </w:p>
    <w:p>
      <w:pPr>
        <w:spacing w:after="0" w:line="175" w:lineRule="exact"/>
        <w:rPr>
          <w:sz w:val="20"/>
          <w:szCs w:val="20"/>
          <w:color w:val="auto"/>
        </w:rPr>
      </w:pPr>
    </w:p>
    <w:p>
      <w:pPr>
        <w:ind w:left="1000" w:hanging="552"/>
        <w:spacing w:after="0"/>
        <w:tabs>
          <w:tab w:leader="none" w:pos="100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80" w:lineRule="exact"/>
        <w:rPr>
          <w:sz w:val="20"/>
          <w:szCs w:val="20"/>
          <w:color w:val="auto"/>
        </w:rPr>
      </w:pPr>
    </w:p>
    <w:p>
      <w:pPr>
        <w:ind w:right="3139" w:firstLine="1000"/>
        <w:spacing w:after="0" w:line="246" w:lineRule="auto"/>
        <w:rPr>
          <w:sz w:val="20"/>
          <w:szCs w:val="20"/>
          <w:color w:val="auto"/>
        </w:rPr>
      </w:pPr>
      <w:r>
        <w:rPr>
          <w:rFonts w:ascii="Courier New" w:cs="Courier New" w:eastAsia="Courier New" w:hAnsi="Courier New"/>
          <w:sz w:val="15"/>
          <w:szCs w:val="15"/>
          <w:color w:val="auto"/>
        </w:rPr>
        <w:t>The Plan Administrator shall have full authority to interpret and construe any provision of the Plan and to adopt such rules and regulations for administering the Plan as it may deem necessary in order to comply with the requirements of Section 423 of the Code. Decisions of the Plan Administrator shall be final and binding on all parties having an interest in the Plan.</w:t>
      </w:r>
    </w:p>
    <w:p>
      <w:pPr>
        <w:spacing w:after="0" w:line="178" w:lineRule="exact"/>
        <w:rPr>
          <w:sz w:val="20"/>
          <w:szCs w:val="20"/>
          <w:color w:val="auto"/>
        </w:rPr>
      </w:pPr>
    </w:p>
    <w:p>
      <w:pPr>
        <w:ind w:left="1000" w:hanging="552"/>
        <w:spacing w:after="0"/>
        <w:tabs>
          <w:tab w:leader="none" w:pos="100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PLAN</w:t>
      </w:r>
    </w:p>
    <w:p>
      <w:pPr>
        <w:spacing w:after="0" w:line="179" w:lineRule="exact"/>
        <w:rPr>
          <w:rFonts w:ascii="Courier New" w:cs="Courier New" w:eastAsia="Courier New" w:hAnsi="Courier New"/>
          <w:sz w:val="15"/>
          <w:szCs w:val="15"/>
          <w:color w:val="auto"/>
        </w:rPr>
      </w:pPr>
    </w:p>
    <w:p>
      <w:pPr>
        <w:ind w:right="3139" w:firstLine="993"/>
        <w:spacing w:after="0" w:line="246" w:lineRule="auto"/>
        <w:tabs>
          <w:tab w:leader="none" w:pos="1454"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purchasable under the Plan shall be shares of authorized but unissued or reacquired Common Stock, including shares of Common Stock purchased on the open market. The maximum number of shares of Common Stock which may be issued in the aggregate under the Plan shall not exceed One Million Eighty Thousand (1,080,000) shares.</w:t>
      </w:r>
    </w:p>
    <w:p>
      <w:pPr>
        <w:spacing w:after="0" w:line="177"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available for issuance under the Plan shall automatically increase on the first trading day of January each calendar year during the term of the Plan, beginning with calendar year 2001, by an amount equal to one half of one percent (0.5%) of the total number of shares of Common Stock outstanding on the last trading day in December of the immediately preceding calendar year, but in no event shall any such annual increase exceed Three Hundred Twenty-Five Thousand (325,000) shares.</w:t>
      </w:r>
    </w:p>
    <w:p>
      <w:pPr>
        <w:spacing w:after="0" w:line="179" w:lineRule="exact"/>
        <w:rPr>
          <w:rFonts w:ascii="Courier New" w:cs="Courier New" w:eastAsia="Courier New" w:hAnsi="Courier New"/>
          <w:sz w:val="15"/>
          <w:szCs w:val="15"/>
          <w:color w:val="auto"/>
        </w:rPr>
      </w:pPr>
    </w:p>
    <w:p>
      <w:pPr>
        <w:ind w:right="3139" w:firstLine="993"/>
        <w:spacing w:after="0" w:line="246" w:lineRule="auto"/>
        <w:tabs>
          <w:tab w:leader="none" w:pos="1454"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the maximum number and class of securities issuable in the aggregate under the Plan, (ii) the maximum number and class of securities by which the share reserve is to increase automatically each calendar year, (iii) the maximum number and class of securities purchasable per Participant and in the aggregate on any one Purchase Date and (iv) the number and class of securities and the price per share in effect under each outstanding purchase right in order to prevent the dilution or enlargement of benefits thereunder.</w:t>
      </w:r>
    </w:p>
    <w:p>
      <w:pPr>
        <w:sectPr>
          <w:pgSz w:w="11900" w:h="16838" w:orient="portrait"/>
          <w:cols w:equalWidth="0" w:num="1">
            <w:col w:w="10219"/>
          </w:cols>
          <w:pgMar w:left="240" w:top="491" w:right="1440" w:bottom="1440" w:gutter="0" w:footer="0" w:header="0"/>
        </w:sectPr>
      </w:pPr>
    </w:p>
    <w:bookmarkStart w:id="124" w:name="page125"/>
    <w:bookmarkEnd w:id="124"/>
    <w:p>
      <w:pPr>
        <w:spacing w:after="0"/>
        <w:tabs>
          <w:tab w:leader="none" w:pos="54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OFFERING PERIODS</w:t>
      </w:r>
    </w:p>
    <w:p>
      <w:pPr>
        <w:spacing w:after="0" w:line="180" w:lineRule="exact"/>
        <w:rPr>
          <w:sz w:val="20"/>
          <w:szCs w:val="20"/>
          <w:color w:val="auto"/>
        </w:rPr>
      </w:pPr>
    </w:p>
    <w:p>
      <w:pPr>
        <w:ind w:left="-440" w:right="3039" w:firstLine="993"/>
        <w:spacing w:after="0" w:line="246" w:lineRule="auto"/>
        <w:tabs>
          <w:tab w:leader="none" w:pos="1014"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shall be offered for purchase under the Plan through a series of successive offering periods until such time as (i) the maximum number of shares of Common Stock available for issuance under the Plan shall have been purchased or (ii) the Plan shall have been sooner terminated.</w:t>
      </w:r>
    </w:p>
    <w:p>
      <w:pPr>
        <w:spacing w:after="0" w:line="177" w:lineRule="exact"/>
        <w:rPr>
          <w:rFonts w:ascii="Courier New" w:cs="Courier New" w:eastAsia="Courier New" w:hAnsi="Courier New"/>
          <w:sz w:val="15"/>
          <w:szCs w:val="15"/>
          <w:color w:val="auto"/>
        </w:rPr>
      </w:pPr>
    </w:p>
    <w:p>
      <w:pPr>
        <w:ind w:left="-440" w:right="3039" w:firstLine="993"/>
        <w:spacing w:after="0" w:line="246" w:lineRule="auto"/>
        <w:tabs>
          <w:tab w:leader="none" w:pos="1014"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offering period shall be of such duration (not to exceed twenty-four (24) months) as determined by the Plan Administrator prior to the start date of such offering period. However, the initial offering period shall commence at the Effective Time and terminate on the last business day in July 2002. Subsequent offering periods shall commence as designated by the Plan Administrator.</w:t>
      </w:r>
    </w:p>
    <w:p>
      <w:pPr>
        <w:spacing w:after="0" w:line="178"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offering period shall be comprised of a series of one or more successive Purchase Intervals. Purchase Intervals shall run from the first business day in February each year to the last business day in July of the same year and from the first business day in August each year to the last business day in January of the following year. However, the first Purchase Interval in effect under the initial offering period shall commence at the Effective Time and terminate on the last business day in January 2001.</w:t>
      </w:r>
    </w:p>
    <w:p>
      <w:pPr>
        <w:spacing w:after="0" w:line="179" w:lineRule="exact"/>
        <w:rPr>
          <w:rFonts w:ascii="Courier New" w:cs="Courier New" w:eastAsia="Courier New" w:hAnsi="Courier New"/>
          <w:sz w:val="15"/>
          <w:szCs w:val="15"/>
          <w:color w:val="auto"/>
        </w:rPr>
      </w:pPr>
    </w:p>
    <w:p>
      <w:pPr>
        <w:ind w:left="-440" w:right="3039" w:firstLine="993"/>
        <w:spacing w:after="0" w:line="246" w:lineRule="auto"/>
        <w:tabs>
          <w:tab w:leader="none" w:pos="1014"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Fair Market Value per share of Common Stock on any Purchase Date within an offering period be less than the Fair Market Value per share of Common Stock on the start date of that offering period, then that offering period shall automatically terminate immediately after the purchase of shares of Common Stock on such Purchase Date, and a new offering period shall commence on the next business day following such Purchase Date. The new offering period shall have a duration of twenty-four (24) months, unless a shorter duration is established by the Plan Administrator within five (5) business days following the start date of that offering period.</w:t>
      </w:r>
    </w:p>
    <w:p>
      <w:pPr>
        <w:spacing w:after="0" w:line="180" w:lineRule="exact"/>
        <w:rPr>
          <w:rFonts w:ascii="Courier New" w:cs="Courier New" w:eastAsia="Courier New" w:hAnsi="Courier New"/>
          <w:sz w:val="15"/>
          <w:szCs w:val="15"/>
          <w:color w:val="auto"/>
        </w:rPr>
      </w:pPr>
    </w:p>
    <w:p>
      <w:pPr>
        <w:ind w:left="560" w:hanging="552"/>
        <w:spacing w:after="0"/>
        <w:tabs>
          <w:tab w:leader="none" w:pos="56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9"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is an Eligible Employee on the start date of an offering period under the Plan may enter that offering period on such start date or on any subsequent Semi-Annual Entry Date within that offering period, provided he or she remains an Eligible Employee.</w:t>
      </w:r>
    </w:p>
    <w:p>
      <w:pPr>
        <w:spacing w:after="0" w:line="177"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first becomes an Eligible Employee after the start date of an offering period may enter that offering period on any subsequent Semi-Annual Entry Date within that offering period on which he or she is an Eligible Employee.</w:t>
      </w:r>
    </w:p>
    <w:p>
      <w:pPr>
        <w:spacing w:after="0" w:line="177" w:lineRule="exact"/>
        <w:rPr>
          <w:rFonts w:ascii="Courier New" w:cs="Courier New" w:eastAsia="Courier New" w:hAnsi="Courier New"/>
          <w:sz w:val="15"/>
          <w:szCs w:val="15"/>
          <w:color w:val="auto"/>
        </w:rPr>
      </w:pPr>
    </w:p>
    <w:p>
      <w:pPr>
        <w:ind w:left="-440" w:right="3599" w:firstLine="993"/>
        <w:spacing w:after="0" w:line="247" w:lineRule="auto"/>
        <w:tabs>
          <w:tab w:leader="none" w:pos="1014"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an individual enters an offering period shall be designated his or her Entry Date for purposes of that offering period.</w:t>
      </w:r>
    </w:p>
    <w:p>
      <w:pPr>
        <w:spacing w:after="0" w:line="174" w:lineRule="exact"/>
        <w:rPr>
          <w:rFonts w:ascii="Courier New" w:cs="Courier New" w:eastAsia="Courier New" w:hAnsi="Courier New"/>
          <w:sz w:val="15"/>
          <w:szCs w:val="15"/>
          <w:color w:val="auto"/>
        </w:rPr>
      </w:pPr>
    </w:p>
    <w:p>
      <w:pPr>
        <w:ind w:left="-440" w:right="2959" w:firstLine="993"/>
        <w:spacing w:after="0" w:line="246" w:lineRule="auto"/>
        <w:tabs>
          <w:tab w:leader="none" w:pos="1014"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participate in the Plan for a particular offering period, the Eligible Employee must complete the enrollment forms prescribed by the Plan Administrator (including a stock purchase agreement and a payroll deduction authorization) and file such forms with the Plan Administrator (or its designate) on or before his or her scheduled Entry Date.</w:t>
      </w:r>
    </w:p>
    <w:p>
      <w:pPr>
        <w:spacing w:after="0" w:line="17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643" w:right="1440" w:bottom="1440" w:gutter="0" w:footer="0" w:header="0"/>
        </w:sectPr>
      </w:pPr>
    </w:p>
    <w:bookmarkStart w:id="125" w:name="page126"/>
    <w:bookmarkEnd w:id="125"/>
    <w:p>
      <w:pPr>
        <w:ind w:left="440"/>
        <w:spacing w:after="0"/>
        <w:tabs>
          <w:tab w:leader="none" w:pos="9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PAYROLL DEDUCTIONS</w:t>
      </w:r>
    </w:p>
    <w:p>
      <w:pPr>
        <w:spacing w:after="0" w:line="180" w:lineRule="exact"/>
        <w:rPr>
          <w:sz w:val="20"/>
          <w:szCs w:val="20"/>
          <w:color w:val="auto"/>
        </w:rPr>
      </w:pPr>
    </w:p>
    <w:p>
      <w:pPr>
        <w:ind w:right="2959" w:firstLine="993"/>
        <w:spacing w:after="0" w:line="246" w:lineRule="auto"/>
        <w:tabs>
          <w:tab w:leader="none" w:pos="145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payroll deduction authorized by the Participant for purposes of acquiring shares of Common Stock during an offering period may be any multiple of one percent (1%) of the Base Salary paid to the Participant during each Purchase Interval within that offering period, up to a maximum of fifteen percent (15%). The deduction rate so authorized shall continue in effect throughout the offering period, except to the extent such rate is changed in accordance with the following guidelines:</w:t>
      </w:r>
    </w:p>
    <w:p>
      <w:pPr>
        <w:spacing w:after="0" w:line="179" w:lineRule="exact"/>
        <w:rPr>
          <w:rFonts w:ascii="Courier New" w:cs="Courier New" w:eastAsia="Courier New" w:hAnsi="Courier New"/>
          <w:sz w:val="15"/>
          <w:szCs w:val="15"/>
          <w:color w:val="auto"/>
        </w:rPr>
      </w:pPr>
    </w:p>
    <w:p>
      <w:pPr>
        <w:ind w:left="440" w:right="3039" w:firstLine="1007"/>
        <w:spacing w:after="0" w:line="246" w:lineRule="auto"/>
        <w:tabs>
          <w:tab w:leader="none" w:pos="1894"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at any time during the offering period, reduce his or her rate of payroll deduction to become effective as soon as possible after filing the appropriate form with the Plan Administrator. The Participant may not, however, effect more than one (1) such reduction per Purchase Interval.</w:t>
      </w:r>
    </w:p>
    <w:p>
      <w:pPr>
        <w:spacing w:after="0" w:line="177" w:lineRule="exact"/>
        <w:rPr>
          <w:rFonts w:ascii="Courier New" w:cs="Courier New" w:eastAsia="Courier New" w:hAnsi="Courier New"/>
          <w:sz w:val="15"/>
          <w:szCs w:val="15"/>
          <w:color w:val="auto"/>
        </w:rPr>
      </w:pPr>
    </w:p>
    <w:p>
      <w:pPr>
        <w:ind w:left="440" w:right="2959" w:firstLine="1007"/>
        <w:spacing w:after="0" w:line="246" w:lineRule="auto"/>
        <w:tabs>
          <w:tab w:leader="none" w:pos="1894"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prior to the commencement of any new Purchase Interval within the offering period, increase the rate of his or her payroll deduction by filing the appropriate form with the Plan Administrator. The new rate (which may not exceed the fifteen percent (15%) maximum) shall become effective on the start date of the first Purchase Interval following the filing of such form.</w:t>
      </w:r>
    </w:p>
    <w:p>
      <w:pPr>
        <w:spacing w:after="0" w:line="178" w:lineRule="exact"/>
        <w:rPr>
          <w:rFonts w:ascii="Courier New" w:cs="Courier New" w:eastAsia="Courier New" w:hAnsi="Courier New"/>
          <w:sz w:val="15"/>
          <w:szCs w:val="15"/>
          <w:color w:val="auto"/>
        </w:rPr>
      </w:pPr>
    </w:p>
    <w:p>
      <w:pPr>
        <w:ind w:right="2959" w:firstLine="993"/>
        <w:spacing w:after="0" w:line="246" w:lineRule="auto"/>
        <w:tabs>
          <w:tab w:leader="none" w:pos="145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shall begin on the first pay day administratively feasible following the Participant's Entry Date into the offering period and shall (unless sooner terminated by the Participant) continue through the pay day ending with or immediately prior to the last day of that offering period. The amounts so collected shall be credited to the Participant's book account under the Plan, but no interest shall be paid on the balance from time to time outstanding in such account. The amounts collected from the Participant shall not be required to be held in any segregated account or trust fund and may be commingled with the general assets of the Corporation and used for general corporate purposes.</w:t>
      </w:r>
    </w:p>
    <w:p>
      <w:pPr>
        <w:spacing w:after="0" w:line="180" w:lineRule="exact"/>
        <w:rPr>
          <w:rFonts w:ascii="Courier New" w:cs="Courier New" w:eastAsia="Courier New" w:hAnsi="Courier New"/>
          <w:sz w:val="15"/>
          <w:szCs w:val="15"/>
          <w:color w:val="auto"/>
        </w:rPr>
      </w:pPr>
    </w:p>
    <w:p>
      <w:pPr>
        <w:ind w:right="3859" w:firstLine="993"/>
        <w:spacing w:after="0" w:line="247" w:lineRule="auto"/>
        <w:tabs>
          <w:tab w:leader="none" w:pos="145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shall automatically cease upon the termination of the Participant's purchase right in accordance with the provisions of the Plan.</w:t>
      </w:r>
    </w:p>
    <w:p>
      <w:pPr>
        <w:spacing w:after="0" w:line="174" w:lineRule="exact"/>
        <w:rPr>
          <w:rFonts w:ascii="Courier New" w:cs="Courier New" w:eastAsia="Courier New" w:hAnsi="Courier New"/>
          <w:sz w:val="15"/>
          <w:szCs w:val="15"/>
          <w:color w:val="auto"/>
        </w:rPr>
      </w:pPr>
    </w:p>
    <w:p>
      <w:pPr>
        <w:jc w:val="both"/>
        <w:ind w:right="3039" w:firstLine="993"/>
        <w:spacing w:after="0" w:line="246" w:lineRule="auto"/>
        <w:tabs>
          <w:tab w:leader="none" w:pos="145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acquisition of Common Stock under the Plan on any Purchase Date shall neither limit nor require the Participant's acquisition of Common Stock on any subsequent Purchase Date, whether within the same or a different offering period.</w:t>
      </w:r>
    </w:p>
    <w:p>
      <w:pPr>
        <w:spacing w:after="0" w:line="177" w:lineRule="exact"/>
        <w:rPr>
          <w:sz w:val="20"/>
          <w:szCs w:val="20"/>
          <w:color w:val="auto"/>
        </w:rPr>
      </w:pPr>
    </w:p>
    <w:p>
      <w:pPr>
        <w:ind w:left="440"/>
        <w:spacing w:after="0"/>
        <w:tabs>
          <w:tab w:leader="none" w:pos="980" w:val="left"/>
        </w:tabs>
        <w:rPr>
          <w:sz w:val="20"/>
          <w:szCs w:val="20"/>
          <w:color w:val="auto"/>
        </w:rPr>
      </w:pPr>
      <w:r>
        <w:rPr>
          <w:rFonts w:ascii="Courier New" w:cs="Courier New" w:eastAsia="Courier New" w:hAnsi="Courier New"/>
          <w:sz w:val="15"/>
          <w:szCs w:val="15"/>
          <w:color w:val="auto"/>
        </w:rPr>
        <w:t>VII.</w:t>
        <w:tab/>
        <w:t>PURCHASE RIGHTS</w:t>
      </w:r>
    </w:p>
    <w:p>
      <w:pPr>
        <w:spacing w:after="0" w:line="180" w:lineRule="exact"/>
        <w:rPr>
          <w:sz w:val="20"/>
          <w:szCs w:val="20"/>
          <w:color w:val="auto"/>
        </w:rPr>
      </w:pPr>
    </w:p>
    <w:p>
      <w:pPr>
        <w:ind w:left="1440" w:hanging="447"/>
        <w:spacing w:after="0"/>
        <w:tabs>
          <w:tab w:leader="none" w:pos="14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Purchase Right.  A Participant shall be granted a</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separate purchase right for each offering period in which he or she participates. The purchase right shall be granted on the Participant's Entry Date into the offering period and shall provide the Participant with the right to purchase shares of Common Stock, in a series of successive installments over the remainder of such offering period, upon the terms set forth below. The Participant shall execute a stock purchase agreement embodying such terms and such other provisions (not inconsistent with the Plan) as the Plan Administrator may deem advisable.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26" w:name="page127"/>
    <w:bookmarkEnd w:id="126"/>
    <w:p>
      <w:pPr>
        <w:ind w:left="7" w:right="3039" w:firstLine="1000"/>
        <w:spacing w:after="0" w:line="246" w:lineRule="auto"/>
        <w:rPr>
          <w:sz w:val="20"/>
          <w:szCs w:val="20"/>
          <w:color w:val="auto"/>
        </w:rPr>
      </w:pPr>
      <w:r>
        <w:rPr>
          <w:rFonts w:ascii="Courier New" w:cs="Courier New" w:eastAsia="Courier New" w:hAnsi="Courier New"/>
          <w:sz w:val="15"/>
          <w:szCs w:val="15"/>
          <w:color w:val="auto"/>
        </w:rPr>
        <w:t>Under no circumstances shall purchase rights be granted under the Plan to any Eligible Employee if such individual would, immediately after the grant, own (within the meaning of Code Section 424(d)) or hold outstanding options or other rights to purchase, stock possessing five percent (5%) or more of the total combined voting power or value of all classes of stock of the Corporation or any Corporate Affiliate.</w:t>
      </w:r>
    </w:p>
    <w:p>
      <w:pPr>
        <w:spacing w:after="0" w:line="178" w:lineRule="exact"/>
        <w:rPr>
          <w:sz w:val="20"/>
          <w:szCs w:val="20"/>
          <w:color w:val="auto"/>
        </w:rPr>
      </w:pPr>
    </w:p>
    <w:p>
      <w:pPr>
        <w:ind w:left="1447" w:hanging="447"/>
        <w:spacing w:after="0"/>
        <w:tabs>
          <w:tab w:leader="none" w:pos="144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Purchase Right.  Each purchase right shall be</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automatically exercised in installments on each successive Purchase Date within the offering period, and shares of Common Stock shall accordingly be purchased on behalf of each Participant (other than Participants whose payroll deductions have previously been refunded pursuant to the Termination of Purchase Right provisions below) on each such Purchase Date. The purchase shall be effected by applying the Participant's payroll deductions for the Purchase Interval ending on such Purchase Date to the purchase of whole shares of Common Stock at the purchase price in effect for the Participant for that Purchase Date.</w:t>
      </w:r>
    </w:p>
    <w:p>
      <w:pPr>
        <w:spacing w:after="0" w:line="180" w:lineRule="exact"/>
        <w:rPr>
          <w:sz w:val="20"/>
          <w:szCs w:val="20"/>
          <w:color w:val="auto"/>
        </w:rPr>
      </w:pPr>
    </w:p>
    <w:p>
      <w:pPr>
        <w:ind w:left="1447" w:hanging="447"/>
        <w:spacing w:after="0"/>
        <w:tabs>
          <w:tab w:leader="none" w:pos="144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per share at which Common</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Stock will be purchased on the Participant's behalf on each Purchase Date within the offering period shall be equal to eighty-five percent (85%) of the lower of</w:t>
      </w:r>
    </w:p>
    <w:p>
      <w:pPr>
        <w:spacing w:after="0" w:line="1"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hanging="7"/>
        <w:spacing w:after="0" w:line="247" w:lineRule="auto"/>
        <w:tabs>
          <w:tab w:leader="none" w:pos="37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Common Stock on the Participant's Entry Date into that offering period or (ii) the Fair Market Value per share of Common Stock on that Purchase Date.</w:t>
      </w:r>
    </w:p>
    <w:p>
      <w:pPr>
        <w:spacing w:after="0" w:line="174" w:lineRule="exact"/>
        <w:rPr>
          <w:rFonts w:ascii="Courier New" w:cs="Courier New" w:eastAsia="Courier New" w:hAnsi="Courier New"/>
          <w:sz w:val="15"/>
          <w:szCs w:val="15"/>
          <w:color w:val="auto"/>
        </w:rPr>
      </w:pPr>
    </w:p>
    <w:p>
      <w:pPr>
        <w:ind w:left="1447" w:hanging="447"/>
        <w:spacing w:after="0"/>
        <w:tabs>
          <w:tab w:leader="none" w:pos="1447"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Purchasable Shares.  The number of shares of Common</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Stock purchasable by a Participant on each Purchase Date during the offering period shall be the number of whole shares obtained by dividing the amount collected from the Participant through payroll deductions during the Purchase Interval ending with that Purchase Date by the purchase price in effect for the Participant for that Purchase Date. However, the maximum number of shares of Common Stock purchasable per Participant on any one Purchase Date shall not exceed Five Thousand Four Hundred (5,400) shares, subject to periodic adjustments in the event of certain changes in the Corporation's capitalization. In addition, the maximum number of shares of Common Stock purchasable in the aggregate by all Participants on any one Purchase Date shall not exceed Two Hundred Seventy Thousand (270,000) shares, subject to periodic adjustments in the event of certain changes in the corporation's capitalization.</w:t>
      </w:r>
    </w:p>
    <w:p>
      <w:pPr>
        <w:spacing w:after="0" w:line="182" w:lineRule="exact"/>
        <w:rPr>
          <w:sz w:val="20"/>
          <w:szCs w:val="20"/>
          <w:color w:val="auto"/>
        </w:rPr>
      </w:pPr>
    </w:p>
    <w:p>
      <w:pPr>
        <w:ind w:left="1447" w:hanging="447"/>
        <w:spacing w:after="0"/>
        <w:tabs>
          <w:tab w:leader="none" w:pos="144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Payroll Deductions.  Any payroll deductions not applied</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to the purchase of shares of Common Stock on any Purchase Date because they are not sufficient to purchase a whole share of Common Stock shall be held for the purchase of Common Stock on the next Purchase Date. However, any payroll deductions not applied to the purchase of Common Stock by reason of the limitation on the maximum number of shares purchasable on the Purchase Date shall be promptly refunded.</w:t>
      </w:r>
    </w:p>
    <w:p>
      <w:pPr>
        <w:spacing w:after="0" w:line="178" w:lineRule="exact"/>
        <w:rPr>
          <w:sz w:val="20"/>
          <w:szCs w:val="20"/>
          <w:color w:val="auto"/>
        </w:rPr>
      </w:pPr>
    </w:p>
    <w:p>
      <w:pPr>
        <w:ind w:left="1447" w:hanging="447"/>
        <w:spacing w:after="0"/>
        <w:tabs>
          <w:tab w:leader="none" w:pos="144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Purchase Right.  The following provisions shall</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govern the termination of outstanding purchase rights:</w:t>
      </w:r>
    </w:p>
    <w:p>
      <w:pPr>
        <w:spacing w:after="0" w:line="180" w:lineRule="exact"/>
        <w:rPr>
          <w:sz w:val="20"/>
          <w:szCs w:val="20"/>
          <w:color w:val="auto"/>
        </w:rPr>
      </w:pPr>
    </w:p>
    <w:p>
      <w:pPr>
        <w:ind w:left="447" w:right="3859" w:firstLine="1007"/>
        <w:spacing w:after="0" w:line="246" w:lineRule="auto"/>
        <w:tabs>
          <w:tab w:leader="none" w:pos="1992"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at any time prior to the next scheduled Purchase Date in the offering period, terminate his or her outstanding purchase right by filing the appropriate form with the Plan Administrator (or its designate), and no further payroll deductions shall be collected from the Participant with</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3" w:right="1440" w:bottom="1440" w:gutter="0" w:footer="0" w:header="0"/>
        </w:sectPr>
      </w:pPr>
    </w:p>
    <w:bookmarkStart w:id="127" w:name="page128"/>
    <w:bookmarkEnd w:id="127"/>
    <w:p>
      <w:pPr>
        <w:ind w:left="440" w:right="3859"/>
        <w:spacing w:after="0" w:line="246" w:lineRule="auto"/>
        <w:rPr>
          <w:sz w:val="20"/>
          <w:szCs w:val="20"/>
          <w:color w:val="auto"/>
        </w:rPr>
      </w:pPr>
      <w:r>
        <w:rPr>
          <w:rFonts w:ascii="Courier New" w:cs="Courier New" w:eastAsia="Courier New" w:hAnsi="Courier New"/>
          <w:sz w:val="15"/>
          <w:szCs w:val="15"/>
          <w:color w:val="auto"/>
        </w:rPr>
        <w:t>respect to the terminated purchase right. Any payroll deductions collected during the Purchase Interval in which such termination occurs shall, at the Participant's election, be immediately refunded or held for the purchase of shares on the next Purchase Date. If no such election is made at the time such purchase right is terminated, then the payroll deductions collected with respect to the terminated right shall be refunded as soon as possible.</w:t>
      </w:r>
    </w:p>
    <w:p>
      <w:pPr>
        <w:spacing w:after="0" w:line="179" w:lineRule="exact"/>
        <w:rPr>
          <w:sz w:val="20"/>
          <w:szCs w:val="20"/>
          <w:color w:val="auto"/>
        </w:rPr>
      </w:pPr>
    </w:p>
    <w:p>
      <w:pPr>
        <w:ind w:left="440" w:right="3859" w:firstLine="1007"/>
        <w:spacing w:after="0" w:line="246" w:lineRule="auto"/>
        <w:tabs>
          <w:tab w:leader="none" w:pos="1985"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such purchase right shall be irrevocable, and the Participant may not subsequently rejoin the offering period for which the terminated purchase right was granted. In order to resume participation in any subsequent offering period, such individual must re-enroll in the Plan (by making a timely filing of the prescribed enrollment forms) on or before his or her scheduled Entry Date into that offering period.</w:t>
      </w:r>
    </w:p>
    <w:p>
      <w:pPr>
        <w:spacing w:after="0" w:line="179" w:lineRule="exact"/>
        <w:rPr>
          <w:rFonts w:ascii="Courier New" w:cs="Courier New" w:eastAsia="Courier New" w:hAnsi="Courier New"/>
          <w:sz w:val="15"/>
          <w:szCs w:val="15"/>
          <w:color w:val="auto"/>
        </w:rPr>
      </w:pPr>
    </w:p>
    <w:p>
      <w:pPr>
        <w:ind w:left="440" w:right="3859" w:firstLine="1007"/>
        <w:spacing w:after="0" w:line="246" w:lineRule="auto"/>
        <w:tabs>
          <w:tab w:leader="none" w:pos="1985" w:val="left"/>
        </w:tabs>
        <w:numPr>
          <w:ilvl w:val="2"/>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Participant cease to remain an Eligible Employee for any reason (including death, disability or change in status) while his or her purchase right remains outstanding, then that purchase right shall immediately terminate, and all of the Participant's payroll deductions for the Purchase Interval in which the purchase right so terminates shall be immediately refunded. However, should the Participant cease to remain in active service by reason of an approved unpaid leave of absence, then the Participant shall have the right, exercisable up until the last business day of the Purchase Interval in which such leave commences, to (a) withdraw all the payroll deductions collected to date on his or her behalf for that Purchase Interval or (b) have such funds held for the purchase of shares on his or her behalf on the next scheduled Purchase Date. In no event, however, shall any further payroll deductions be collected on the Participant's behalf during such leave. Upon the Participant's return to active service (i) within ninety (90) days following the commencement of such leave or,</w:t>
      </w:r>
    </w:p>
    <w:p>
      <w:pPr>
        <w:spacing w:after="0" w:line="10" w:lineRule="exact"/>
        <w:rPr>
          <w:rFonts w:ascii="Courier New" w:cs="Courier New" w:eastAsia="Courier New" w:hAnsi="Courier New"/>
          <w:sz w:val="15"/>
          <w:szCs w:val="15"/>
          <w:color w:val="auto"/>
        </w:rPr>
      </w:pPr>
    </w:p>
    <w:p>
      <w:pPr>
        <w:ind w:left="440" w:right="3859" w:firstLine="8"/>
        <w:spacing w:after="0" w:line="246" w:lineRule="auto"/>
        <w:tabs>
          <w:tab w:leader="none" w:pos="89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of any longer period for which such Participant's right to reemployment with the Corporation is guaranteed by either statute or contract, his or her payroll deductions under the Plan shall automatically resume at the rate in effect at the time the leave began. However, should the Participant's leave of absence exceed ninety (90) days and his or her re-employment rights not be guaranteed by either statute or contract, then the Participant shall be treated as a new Employee for purposes of the Plan and must, in order to resume participation in the Plan, re-enroll in the Plan (by making a timely filing of the prescribed enrollment forms) on or before his or her scheduled Entry Date into the offering period.</w:t>
      </w:r>
    </w:p>
    <w:p>
      <w:pPr>
        <w:spacing w:after="0" w:line="182" w:lineRule="exact"/>
        <w:rPr>
          <w:rFonts w:ascii="Courier New" w:cs="Courier New" w:eastAsia="Courier New" w:hAnsi="Courier New"/>
          <w:sz w:val="15"/>
          <w:szCs w:val="15"/>
          <w:color w:val="auto"/>
        </w:rPr>
      </w:pPr>
    </w:p>
    <w:p>
      <w:pPr>
        <w:ind w:left="1440" w:hanging="447"/>
        <w:spacing w:after="0"/>
        <w:tabs>
          <w:tab w:leader="none" w:pos="144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Each outstanding purchase right shall</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automatically be exercised, immediately prior to the effective date of any Change in Control, by applying the payroll deductions of each Participant for the Purchase Interval in which such Change in Control occurs to the purchase of whole shares of Common Stock at a purchase price per share equal to eighty-five percent (85%) of the lower of (i) the Fair Market Value per share of Common</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 on the Participant's Entry Date into the offering period in which such Change in Control occurs or (ii) the Fair Market Value per share of Common Stock immediately prior to the effective date of such Change in Control. However, the applicable limitation on the number of shares of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28" w:name="page129"/>
    <w:bookmarkEnd w:id="128"/>
    <w:p>
      <w:pPr>
        <w:ind w:right="2959"/>
        <w:spacing w:after="0" w:line="247" w:lineRule="auto"/>
        <w:rPr>
          <w:sz w:val="20"/>
          <w:szCs w:val="20"/>
          <w:color w:val="auto"/>
        </w:rPr>
      </w:pPr>
      <w:r>
        <w:rPr>
          <w:rFonts w:ascii="Courier New" w:cs="Courier New" w:eastAsia="Courier New" w:hAnsi="Courier New"/>
          <w:sz w:val="15"/>
          <w:szCs w:val="15"/>
          <w:color w:val="auto"/>
        </w:rPr>
        <w:t>Common Stock purchasable by all Participants in the aggregate shall not apply to any such purchase.</w:t>
      </w:r>
    </w:p>
    <w:p>
      <w:pPr>
        <w:spacing w:after="0" w:line="175" w:lineRule="exact"/>
        <w:rPr>
          <w:sz w:val="20"/>
          <w:szCs w:val="20"/>
          <w:color w:val="auto"/>
        </w:rPr>
      </w:pPr>
    </w:p>
    <w:p>
      <w:pPr>
        <w:ind w:right="3139" w:firstLine="1000"/>
        <w:spacing w:after="0" w:line="246" w:lineRule="auto"/>
        <w:rPr>
          <w:sz w:val="20"/>
          <w:szCs w:val="20"/>
          <w:color w:val="auto"/>
        </w:rPr>
      </w:pPr>
      <w:r>
        <w:rPr>
          <w:rFonts w:ascii="Courier New" w:cs="Courier New" w:eastAsia="Courier New" w:hAnsi="Courier New"/>
          <w:sz w:val="15"/>
          <w:szCs w:val="15"/>
          <w:color w:val="auto"/>
        </w:rPr>
        <w:t>The Corporation shall use its best efforts to provide at least ten (10)-days prior written notice of the occurrence of any Change in Control, and Participants shall, following the receipt of such notice, have the right to terminate their outstanding purchase rights prior to the effective date of the Change in Control.</w:t>
      </w:r>
    </w:p>
    <w:p>
      <w:pPr>
        <w:spacing w:after="0" w:line="178" w:lineRule="exact"/>
        <w:rPr>
          <w:sz w:val="20"/>
          <w:szCs w:val="20"/>
          <w:color w:val="auto"/>
        </w:rPr>
      </w:pPr>
    </w:p>
    <w:p>
      <w:pPr>
        <w:ind w:left="1440" w:hanging="447"/>
        <w:spacing w:after="0"/>
        <w:tabs>
          <w:tab w:leader="none" w:pos="144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Proration of Purchase Rights.  Should the total number of shares</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Common Stock to be purchased pursuant to outstanding purchase rights on any particular date exceed the number of shares then available for issuance under the Plan, the Plan Administrator shall make a pro-rata allocation of the available shares on a uniform and nondiscriminatory basis, and the payroll deductions of each Participant, to the extent in excess of the aggregate purchase price payable for the Common Stock pro-rated to such individual, shall be refunded.</w:t>
      </w:r>
    </w:p>
    <w:p>
      <w:pPr>
        <w:spacing w:after="0" w:line="179" w:lineRule="exact"/>
        <w:rPr>
          <w:sz w:val="20"/>
          <w:szCs w:val="20"/>
          <w:color w:val="auto"/>
        </w:rPr>
      </w:pPr>
    </w:p>
    <w:p>
      <w:pPr>
        <w:ind w:left="1440" w:hanging="447"/>
        <w:spacing w:after="0"/>
        <w:tabs>
          <w:tab w:leader="none" w:pos="14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Assignability.  The purchase right shall be exercisable only by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Participant and shall not be assignable or transferable by the Participant.</w:t>
      </w:r>
    </w:p>
    <w:p>
      <w:pPr>
        <w:spacing w:after="0" w:line="180" w:lineRule="exact"/>
        <w:rPr>
          <w:sz w:val="20"/>
          <w:szCs w:val="20"/>
          <w:color w:val="auto"/>
        </w:rPr>
      </w:pPr>
    </w:p>
    <w:p>
      <w:pPr>
        <w:ind w:left="1440" w:hanging="447"/>
        <w:spacing w:after="0"/>
        <w:tabs>
          <w:tab w:leader="none" w:pos="144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A Participant shall have no stockholder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rights with respect to the shares subject to his or her outstanding purchase right until the shares are purchased on the Participant's behalf in accordance with the provisions of the Plan and the Participant has become a holder of record of the purchased shares.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VIII. ACCRUAL LIMITATIONS</w:t>
      </w:r>
    </w:p>
    <w:p>
      <w:pPr>
        <w:spacing w:after="0" w:line="180" w:lineRule="exact"/>
        <w:rPr>
          <w:sz w:val="20"/>
          <w:szCs w:val="20"/>
          <w:color w:val="auto"/>
        </w:rPr>
      </w:pPr>
    </w:p>
    <w:p>
      <w:pPr>
        <w:ind w:right="2959" w:firstLine="993"/>
        <w:spacing w:after="0" w:line="246" w:lineRule="auto"/>
        <w:tabs>
          <w:tab w:leader="none" w:pos="145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Participant shall be entitled to accrue rights to acquire Common Stock pursuant to any purchase right outstanding under this Plan if and to the extent such accrual, when aggregated with (i) rights to purchase Common Stock accrued under any other purchase right granted under this Plan and (ii) similar rights accrued under other employee stock purchase plans (within the meaning of Code Section 423) of the Corporation or any Corporate Affiliate, would otherwise permit such Participant to purchase more than Twenty-Five Thousand Dollars ($25,000) worth of stock of the Corporation or any Corporate Affiliate (determined on the basis of the Fair Market Value per share on the date or dates such rights are granted) for each calendar year such rights are at any time outstanding.</w:t>
      </w:r>
    </w:p>
    <w:p>
      <w:pPr>
        <w:spacing w:after="0" w:line="181" w:lineRule="exact"/>
        <w:rPr>
          <w:rFonts w:ascii="Courier New" w:cs="Courier New" w:eastAsia="Courier New" w:hAnsi="Courier New"/>
          <w:sz w:val="15"/>
          <w:szCs w:val="15"/>
          <w:color w:val="auto"/>
        </w:rPr>
      </w:pPr>
    </w:p>
    <w:p>
      <w:pPr>
        <w:ind w:right="3319" w:firstLine="993"/>
        <w:spacing w:after="0" w:line="247" w:lineRule="auto"/>
        <w:tabs>
          <w:tab w:leader="none" w:pos="145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applying such accrual limitations to the purchase rights granted under the Plan, the following provisions shall be in effect:</w:t>
      </w:r>
    </w:p>
    <w:p>
      <w:pPr>
        <w:spacing w:after="0" w:line="174" w:lineRule="exact"/>
        <w:rPr>
          <w:sz w:val="20"/>
          <w:szCs w:val="20"/>
          <w:color w:val="auto"/>
        </w:rPr>
      </w:pPr>
    </w:p>
    <w:p>
      <w:pPr>
        <w:ind w:left="440" w:right="3859" w:firstLine="1007"/>
        <w:spacing w:after="0" w:line="246" w:lineRule="auto"/>
        <w:tabs>
          <w:tab w:leader="none" w:pos="18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acquire Common Stock under each outstanding purchase right shall accrue in a series of installments on each successive Purchase Date during the offering period on which such right remains outstanding.</w:t>
      </w:r>
    </w:p>
    <w:p>
      <w:pPr>
        <w:spacing w:after="0" w:line="177" w:lineRule="exact"/>
        <w:rPr>
          <w:rFonts w:ascii="Courier New" w:cs="Courier New" w:eastAsia="Courier New" w:hAnsi="Courier New"/>
          <w:sz w:val="15"/>
          <w:szCs w:val="15"/>
          <w:color w:val="auto"/>
        </w:rPr>
      </w:pPr>
    </w:p>
    <w:p>
      <w:pPr>
        <w:ind w:left="440" w:right="4039" w:firstLine="1007"/>
        <w:spacing w:after="0" w:line="246" w:lineRule="auto"/>
        <w:tabs>
          <w:tab w:leader="none" w:pos="18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acquire Common Stock under any outstanding purchase right shall accrue to the extent the Participant has already accrued in the same calendar year the right to acquire Common Stock under one (1) or more other purchase rights at a rate equal to Twenty-Five Thousand Dollars ($25,000) worth of Common Stock (determined on the basis of the Fair Market Value per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29" w:name="page130"/>
    <w:bookmarkEnd w:id="129"/>
    <w:p>
      <w:pPr>
        <w:ind w:left="447" w:right="3959"/>
        <w:spacing w:after="0" w:line="247" w:lineRule="auto"/>
        <w:rPr>
          <w:sz w:val="20"/>
          <w:szCs w:val="20"/>
          <w:color w:val="auto"/>
        </w:rPr>
      </w:pPr>
      <w:r>
        <w:rPr>
          <w:rFonts w:ascii="Courier New" w:cs="Courier New" w:eastAsia="Courier New" w:hAnsi="Courier New"/>
          <w:sz w:val="15"/>
          <w:szCs w:val="15"/>
          <w:color w:val="auto"/>
        </w:rPr>
        <w:t>share on the date or dates of grant) for each calendar year such rights were at any time outstanding.</w:t>
      </w:r>
    </w:p>
    <w:p>
      <w:pPr>
        <w:spacing w:after="0" w:line="175" w:lineRule="exact"/>
        <w:rPr>
          <w:sz w:val="20"/>
          <w:szCs w:val="20"/>
          <w:color w:val="auto"/>
        </w:rPr>
      </w:pPr>
    </w:p>
    <w:p>
      <w:pPr>
        <w:ind w:left="7" w:right="2959" w:firstLine="993"/>
        <w:spacing w:after="0" w:line="246" w:lineRule="auto"/>
        <w:tabs>
          <w:tab w:leader="none" w:pos="146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reason of such accrual limitations, any purchase right of a Participant does not accrue for a particular Purchase Interval, then the payroll deductions which the Participant made during that Purchase Interval with respect to such purchase right shall be promptly refunded.</w:t>
      </w:r>
    </w:p>
    <w:p>
      <w:pPr>
        <w:spacing w:after="0" w:line="177" w:lineRule="exact"/>
        <w:rPr>
          <w:rFonts w:ascii="Courier New" w:cs="Courier New" w:eastAsia="Courier New" w:hAnsi="Courier New"/>
          <w:sz w:val="15"/>
          <w:szCs w:val="15"/>
          <w:color w:val="auto"/>
        </w:rPr>
      </w:pPr>
    </w:p>
    <w:p>
      <w:pPr>
        <w:jc w:val="both"/>
        <w:ind w:left="7" w:right="3319" w:firstLine="993"/>
        <w:spacing w:after="0" w:line="247" w:lineRule="auto"/>
        <w:tabs>
          <w:tab w:leader="none" w:pos="146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there is any conflict between the provisions of this Article and one or more provisions of the Plan or any instrument issued thereunder, the provisions of this Article shall be controlling.</w:t>
      </w:r>
    </w:p>
    <w:p>
      <w:pPr>
        <w:spacing w:after="0" w:line="174" w:lineRule="exact"/>
        <w:rPr>
          <w:sz w:val="20"/>
          <w:szCs w:val="20"/>
          <w:color w:val="auto"/>
        </w:rPr>
      </w:pPr>
    </w:p>
    <w:p>
      <w:pPr>
        <w:ind w:left="447"/>
        <w:spacing w:after="0"/>
        <w:tabs>
          <w:tab w:leader="none" w:pos="986"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EFFECTIVE DATE AND TERM OF THE PLAN</w:t>
      </w:r>
    </w:p>
    <w:p>
      <w:pPr>
        <w:spacing w:after="0" w:line="180" w:lineRule="exact"/>
        <w:rPr>
          <w:sz w:val="20"/>
          <w:szCs w:val="20"/>
          <w:color w:val="auto"/>
        </w:rPr>
      </w:pPr>
    </w:p>
    <w:p>
      <w:pPr>
        <w:ind w:left="7" w:right="3319" w:firstLine="993"/>
        <w:spacing w:after="0" w:line="246" w:lineRule="auto"/>
        <w:tabs>
          <w:tab w:leader="none" w:pos="146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was adopted by the Board on July 13, 2000 and shall become effective at the Effective Time, provided no purchase rights granted</w:t>
      </w:r>
    </w:p>
    <w:p>
      <w:pPr>
        <w:spacing w:after="0" w:line="1"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under the Plan shall be exercised, and no shares of Common Stock shall be issued hereunder, until (i) the Plan shall have been approved by the stockholders of the Corporation and (ii) the Corporation shall have complied with all applicable requirements of the 1933 Act (including the registration of the shares of Common Stock issuable under the Plan on a Form S-8 registration statement filed with the Securities and Exchange Commission), all applicable listing requirements of any stock exchange (or the Nasdaq National Market, if applicable) on which the Common Stock is listed for trading and all other applicable requirements established by law or regulation. In the event such stockholder approval is not obtained, or such compliance is not effected, within twelve (12) months after the date on which the Plan is adopted by the Board, the Plan shall terminate and have no further force or effect, and all sums collected from Participants during the initial offering period hereunder shall be refunded.</w:t>
      </w:r>
    </w:p>
    <w:p>
      <w:pPr>
        <w:spacing w:after="0" w:line="183" w:lineRule="exact"/>
        <w:rPr>
          <w:sz w:val="20"/>
          <w:szCs w:val="20"/>
          <w:color w:val="auto"/>
        </w:rPr>
      </w:pPr>
    </w:p>
    <w:p>
      <w:pPr>
        <w:ind w:left="7" w:right="3219" w:firstLine="1000"/>
        <w:spacing w:after="0" w:line="246" w:lineRule="auto"/>
        <w:rPr>
          <w:sz w:val="20"/>
          <w:szCs w:val="20"/>
          <w:color w:val="auto"/>
        </w:rPr>
      </w:pPr>
      <w:r>
        <w:rPr>
          <w:rFonts w:ascii="Courier New" w:cs="Courier New" w:eastAsia="Courier New" w:hAnsi="Courier New"/>
          <w:sz w:val="15"/>
          <w:szCs w:val="15"/>
          <w:color w:val="auto"/>
        </w:rPr>
        <w:t>B. Unless sooner terminated by the Board, the Plan shall terminate upon the earliest of (i) the last business day in July 2010, (ii) the date on</w:t>
      </w:r>
    </w:p>
    <w:p>
      <w:pPr>
        <w:spacing w:after="0" w:line="1"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which all shares available for issuance under the Plan shall have been sold pursuant to purchase rights exercised under the Plan or (iii) the date on which all purchase rights are exercised in connection with a Corporate Transaction. No further purchase rights shall be granted or exercised, and no further payroll deductions shall be collected, under the Plan following such termination.</w:t>
      </w:r>
    </w:p>
    <w:p>
      <w:pPr>
        <w:spacing w:after="0" w:line="178" w:lineRule="exact"/>
        <w:rPr>
          <w:sz w:val="20"/>
          <w:szCs w:val="20"/>
          <w:color w:val="auto"/>
        </w:rPr>
      </w:pPr>
    </w:p>
    <w:p>
      <w:pPr>
        <w:ind w:left="1007" w:hanging="552"/>
        <w:spacing w:after="0"/>
        <w:tabs>
          <w:tab w:leader="none" w:pos="1007"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AMENDMENT/TERMINATION OF THE PLAN</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2"/>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alter, amend, suspend or terminate the Plan at any time to become effective immediately following the close of any Purchase Interval. However, the Plan may be amended or terminated immediately upon Board action, if and to the extent necessary to assure that the Corporation will not recognize, for financial reporting purposes, any compensation expense in connection with the shares of Common Stock offered for purchase under the Plan, should the financial accounting rules applicable to the Plan at the Effective Time be subsequently revised so as to require the recognition of compensation expense in the absence of such amendment or termination.</w:t>
      </w:r>
    </w:p>
    <w:p>
      <w:pPr>
        <w:spacing w:after="0" w:line="180" w:lineRule="exact"/>
        <w:rPr>
          <w:rFonts w:ascii="Courier New" w:cs="Courier New" w:eastAsia="Courier New" w:hAnsi="Courier New"/>
          <w:sz w:val="15"/>
          <w:szCs w:val="15"/>
          <w:color w:val="auto"/>
        </w:rPr>
      </w:pPr>
    </w:p>
    <w:p>
      <w:pPr>
        <w:jc w:val="both"/>
        <w:ind w:left="7" w:right="2959" w:firstLine="993"/>
        <w:spacing w:after="0" w:line="246" w:lineRule="auto"/>
        <w:tabs>
          <w:tab w:leader="none" w:pos="1461" w:val="left"/>
        </w:tabs>
        <w:numPr>
          <w:ilvl w:val="2"/>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the Board effect any of the following amendments or revisions to the Plan without the approval of the Corporation's stockholders:</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2" w:right="1440" w:bottom="1440" w:gutter="0" w:footer="0" w:header="0"/>
        </w:sectPr>
      </w:pPr>
    </w:p>
    <w:bookmarkStart w:id="130" w:name="page131"/>
    <w:bookmarkEnd w:id="130"/>
    <w:p>
      <w:pPr>
        <w:jc w:val="both"/>
        <w:ind w:left="7" w:right="2959"/>
        <w:spacing w:after="0" w:line="246" w:lineRule="auto"/>
        <w:rPr>
          <w:sz w:val="20"/>
          <w:szCs w:val="20"/>
          <w:color w:val="auto"/>
        </w:rPr>
      </w:pPr>
      <w:r>
        <w:rPr>
          <w:rFonts w:ascii="Courier New" w:cs="Courier New" w:eastAsia="Courier New" w:hAnsi="Courier New"/>
          <w:sz w:val="15"/>
          <w:szCs w:val="15"/>
          <w:color w:val="auto"/>
        </w:rPr>
        <w:t>number of shares of Common Stock issuable under the Plan, except for permissible adjustments in the event of certain changes in the Corporation's capitalization,</w:t>
      </w:r>
    </w:p>
    <w:p>
      <w:pPr>
        <w:spacing w:after="0" w:line="1" w:lineRule="exact"/>
        <w:rPr>
          <w:sz w:val="20"/>
          <w:szCs w:val="20"/>
          <w:color w:val="auto"/>
        </w:rPr>
      </w:pPr>
    </w:p>
    <w:p>
      <w:pPr>
        <w:ind w:left="7" w:right="2959" w:hanging="7"/>
        <w:spacing w:after="0" w:line="247" w:lineRule="auto"/>
        <w:tabs>
          <w:tab w:leader="none" w:pos="46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the purchase price formula so as to reduce the purchase price payable for the shares of Common Stock purchasable under the Plan or (iii) modify eligibility requirements for participation in the Plan.</w:t>
      </w:r>
    </w:p>
    <w:p>
      <w:pPr>
        <w:spacing w:after="0" w:line="174" w:lineRule="exact"/>
        <w:rPr>
          <w:sz w:val="20"/>
          <w:szCs w:val="20"/>
          <w:color w:val="auto"/>
        </w:rPr>
      </w:pPr>
    </w:p>
    <w:p>
      <w:pPr>
        <w:ind w:left="447"/>
        <w:spacing w:after="0"/>
        <w:tabs>
          <w:tab w:leader="none" w:pos="986"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GENERAL PROVISIONS</w:t>
      </w:r>
    </w:p>
    <w:p>
      <w:pPr>
        <w:spacing w:after="0" w:line="180" w:lineRule="exact"/>
        <w:rPr>
          <w:sz w:val="20"/>
          <w:szCs w:val="20"/>
          <w:color w:val="auto"/>
        </w:rPr>
      </w:pPr>
    </w:p>
    <w:p>
      <w:pPr>
        <w:ind w:left="7" w:right="2959" w:firstLine="993"/>
        <w:spacing w:after="0" w:line="246" w:lineRule="auto"/>
        <w:tabs>
          <w:tab w:leader="none" w:pos="146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the Plan shall confer upon the Participant any right to continue in the employ of the Corporation or any Corporate Affiliate for any period of specific duration or interfere with or otherwise restrict in any way the rights of the Corporation (or any Corporate Affiliate employing such person) or of the Participant, which rights are hereby expressly reserved by each, to terminate such person's employment at any time for any reason, with or without cause.</w:t>
      </w:r>
    </w:p>
    <w:p>
      <w:pPr>
        <w:spacing w:after="0" w:line="179" w:lineRule="exact"/>
        <w:rPr>
          <w:rFonts w:ascii="Courier New" w:cs="Courier New" w:eastAsia="Courier New" w:hAnsi="Courier New"/>
          <w:sz w:val="15"/>
          <w:szCs w:val="15"/>
          <w:color w:val="auto"/>
        </w:rPr>
      </w:pPr>
    </w:p>
    <w:p>
      <w:pPr>
        <w:ind w:left="7" w:right="2959" w:firstLine="993"/>
        <w:spacing w:after="0" w:line="246" w:lineRule="auto"/>
        <w:tabs>
          <w:tab w:leader="none" w:pos="146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and expenses incurred in the administration of the Plan shall be paid by the Corporation; however, each Plan Participant shall bear all costs and expenses incurred by such individual in the sale or other disposition of any shares purchased under the Plan.</w:t>
      </w:r>
    </w:p>
    <w:p>
      <w:pPr>
        <w:spacing w:after="0" w:line="177" w:lineRule="exact"/>
        <w:rPr>
          <w:rFonts w:ascii="Courier New" w:cs="Courier New" w:eastAsia="Courier New" w:hAnsi="Courier New"/>
          <w:sz w:val="15"/>
          <w:szCs w:val="15"/>
          <w:color w:val="auto"/>
        </w:rPr>
      </w:pPr>
    </w:p>
    <w:p>
      <w:pPr>
        <w:ind w:left="7" w:right="3039" w:firstLine="993"/>
        <w:spacing w:after="0" w:line="247" w:lineRule="auto"/>
        <w:tabs>
          <w:tab w:leader="none" w:pos="146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the Plan shall be governed by the laws of the State of Texas without regard to that State's conflict-of-laws rules.</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131" w:name="page132"/>
    <w:bookmarkEnd w:id="131"/>
    <w:p>
      <w:pPr>
        <w:ind w:left="1880"/>
        <w:spacing w:after="0"/>
        <w:rPr>
          <w:sz w:val="20"/>
          <w:szCs w:val="20"/>
          <w:color w:val="auto"/>
        </w:rPr>
      </w:pPr>
      <w:r>
        <w:rPr>
          <w:rFonts w:ascii="Courier New" w:cs="Courier New" w:eastAsia="Courier New" w:hAnsi="Courier New"/>
          <w:sz w:val="15"/>
          <w:szCs w:val="15"/>
          <w:color w:val="auto"/>
        </w:rPr>
        <w:t>Schedule A</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Corporations Participating in</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As of the Effective Time</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Active Power, Inc.</w:t>
      </w:r>
    </w:p>
    <w:p>
      <w:pPr>
        <w:sectPr>
          <w:pgSz w:w="11900" w:h="16838" w:orient="portrait"/>
          <w:cols w:equalWidth="0" w:num="1">
            <w:col w:w="9019"/>
          </w:cols>
          <w:pgMar w:left="1440" w:top="643" w:right="1440" w:bottom="1440" w:gutter="0" w:footer="0" w:header="0"/>
        </w:sectPr>
      </w:pPr>
    </w:p>
    <w:bookmarkStart w:id="132" w:name="page133"/>
    <w:bookmarkEnd w:id="132"/>
    <w:p>
      <w:pPr>
        <w:ind w:left="3180"/>
        <w:spacing w:after="0"/>
        <w:rPr>
          <w:sz w:val="20"/>
          <w:szCs w:val="20"/>
          <w:color w:val="auto"/>
        </w:rPr>
      </w:pPr>
      <w:r>
        <w:rPr>
          <w:rFonts w:ascii="Courier New" w:cs="Courier New" w:eastAsia="Courier New" w:hAnsi="Courier New"/>
          <w:sz w:val="15"/>
          <w:szCs w:val="15"/>
          <w:color w:val="auto"/>
        </w:rPr>
        <w:t>APPENDIX</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following definitions shall be in effect under the Plan:</w:t>
      </w:r>
    </w:p>
    <w:p>
      <w:pPr>
        <w:spacing w:after="0" w:line="180" w:lineRule="exact"/>
        <w:rPr>
          <w:sz w:val="20"/>
          <w:szCs w:val="20"/>
          <w:color w:val="auto"/>
        </w:rPr>
      </w:pPr>
    </w:p>
    <w:p>
      <w:pPr>
        <w:ind w:left="1360" w:hanging="458"/>
        <w:spacing w:after="0"/>
        <w:tabs>
          <w:tab w:leader="none" w:pos="136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shall mean the  base salary payable to a Participant</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by one or more Participating Corporations during such individual's period of participation in one or more offering periods under the Plan. Such Base Salary shall be calculated before deduction of (A) any income or employment tax withholdings or (B) any pre-tax contributions made by the Participant to any Code Section 401(k) salary deferral plan or any Code Section 125 cafeteria benefit program now or hereafter established by the Corporation or any Corporate Affiliate. However, Base Salary shall not include any overtime payments, bonuses, commissions, current profit-sharing distributions and other incentive-type payments or contributions (other than Code Section 401(k) or Code Section 125 contributions) made on the Participant's behalf by the Corporation or any Corporate Affiliate to any employee benefit or welfare plan now or hereafter established.</w:t>
      </w:r>
    </w:p>
    <w:p>
      <w:pPr>
        <w:spacing w:after="0" w:line="182" w:lineRule="exact"/>
        <w:rPr>
          <w:sz w:val="20"/>
          <w:szCs w:val="20"/>
          <w:color w:val="auto"/>
        </w:rPr>
      </w:pPr>
    </w:p>
    <w:p>
      <w:pPr>
        <w:ind w:left="1360" w:hanging="458"/>
        <w:spacing w:after="0"/>
        <w:tabs>
          <w:tab w:leader="none" w:pos="136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Corporation's Board of Directors.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a change in ownership of the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pursuant to any of the following transactions:</w:t>
      </w:r>
    </w:p>
    <w:p>
      <w:pPr>
        <w:spacing w:after="0" w:line="180" w:lineRule="exact"/>
        <w:rPr>
          <w:sz w:val="20"/>
          <w:szCs w:val="20"/>
          <w:color w:val="auto"/>
        </w:rPr>
      </w:pPr>
    </w:p>
    <w:p>
      <w:pPr>
        <w:ind w:left="440" w:right="4039" w:firstLine="916"/>
        <w:spacing w:after="0" w:line="246" w:lineRule="auto"/>
        <w:tabs>
          <w:tab w:leader="none" w:pos="1894"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178" w:lineRule="exact"/>
        <w:rPr>
          <w:rFonts w:ascii="Courier New" w:cs="Courier New" w:eastAsia="Courier New" w:hAnsi="Courier New"/>
          <w:sz w:val="15"/>
          <w:szCs w:val="15"/>
          <w:color w:val="auto"/>
        </w:rPr>
      </w:pPr>
    </w:p>
    <w:p>
      <w:pPr>
        <w:ind w:left="440" w:right="3859" w:firstLine="916"/>
        <w:spacing w:after="0" w:line="247" w:lineRule="auto"/>
        <w:tabs>
          <w:tab w:leader="none" w:pos="1894"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other disposition of all or substantially all of the assets of the Corporation in complete liquidation or dissolution of the Corporation, or</w:t>
      </w:r>
    </w:p>
    <w:p>
      <w:pPr>
        <w:spacing w:after="0" w:line="174" w:lineRule="exact"/>
        <w:rPr>
          <w:rFonts w:ascii="Courier New" w:cs="Courier New" w:eastAsia="Courier New" w:hAnsi="Courier New"/>
          <w:sz w:val="15"/>
          <w:szCs w:val="15"/>
          <w:color w:val="auto"/>
        </w:rPr>
      </w:pPr>
    </w:p>
    <w:p>
      <w:pPr>
        <w:ind w:left="440" w:right="3859" w:firstLine="916"/>
        <w:spacing w:after="0" w:line="246" w:lineRule="auto"/>
        <w:tabs>
          <w:tab w:leader="none" w:pos="1894"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directly or indirectly, by a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w:t>
      </w:r>
    </w:p>
    <w:p>
      <w:pPr>
        <w:spacing w:after="0" w:line="180"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Corporation's common stock.</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Affiliate shall mean any parent or subsidiary</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corporation of the Corporation (as determined in accordance with Code Section 424), whether now existing or subsequently established.</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43" w:right="1440" w:bottom="1440" w:gutter="0" w:footer="0" w:header="0"/>
        </w:sectPr>
      </w:pPr>
    </w:p>
    <w:bookmarkStart w:id="133" w:name="page134"/>
    <w:bookmarkEnd w:id="133"/>
    <w:p>
      <w:pPr>
        <w:ind w:left="1360" w:hanging="458"/>
        <w:spacing w:after="0"/>
        <w:tabs>
          <w:tab w:leader="none" w:pos="136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shall mean Active Power, Inc., a Delaware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corporation, and any corporate successor to all or substantially all of the assets or voting stock of Active Power, Inc. which shall by appropriate action adopt the Plan.</w:t>
      </w:r>
    </w:p>
    <w:p>
      <w:pPr>
        <w:spacing w:after="0" w:line="174" w:lineRule="exact"/>
        <w:rPr>
          <w:sz w:val="20"/>
          <w:szCs w:val="20"/>
          <w:color w:val="auto"/>
        </w:rPr>
      </w:pPr>
    </w:p>
    <w:p>
      <w:pPr>
        <w:ind w:left="1360" w:hanging="458"/>
        <w:spacing w:after="0"/>
        <w:tabs>
          <w:tab w:leader="none" w:pos="136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Time shall mean the time at which the Underwriting</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47" w:lineRule="auto"/>
        <w:rPr>
          <w:sz w:val="20"/>
          <w:szCs w:val="20"/>
          <w:color w:val="auto"/>
        </w:rPr>
      </w:pPr>
      <w:r>
        <w:rPr>
          <w:rFonts w:ascii="Courier New" w:cs="Courier New" w:eastAsia="Courier New" w:hAnsi="Courier New"/>
          <w:sz w:val="15"/>
          <w:szCs w:val="15"/>
          <w:color w:val="auto"/>
        </w:rPr>
        <w:t>Agreement is executed. Any Corporate Affiliate which becomes a Participating Corporation after such Effective Time shall designate a subsequent Effective Time with respect to its employee-Participants.</w:t>
      </w:r>
    </w:p>
    <w:p>
      <w:pPr>
        <w:spacing w:after="0" w:line="174" w:lineRule="exact"/>
        <w:rPr>
          <w:sz w:val="20"/>
          <w:szCs w:val="20"/>
          <w:color w:val="auto"/>
        </w:rPr>
      </w:pPr>
    </w:p>
    <w:p>
      <w:pPr>
        <w:ind w:left="1360" w:hanging="458"/>
        <w:spacing w:after="0"/>
        <w:tabs>
          <w:tab w:leader="none" w:pos="136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shall mean any person who is employed by a</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Participating Corporation on a basis under which he or she is regularly expected to render more than twenty (20) hours of service per week for more than five (5) months per calendar year for earnings considered wages under Code Section 3401(a).</w:t>
      </w:r>
    </w:p>
    <w:p>
      <w:pPr>
        <w:spacing w:after="0" w:line="177" w:lineRule="exact"/>
        <w:rPr>
          <w:sz w:val="20"/>
          <w:szCs w:val="20"/>
          <w:color w:val="auto"/>
        </w:rPr>
      </w:pPr>
    </w:p>
    <w:p>
      <w:pPr>
        <w:ind w:left="1360" w:hanging="458"/>
        <w:spacing w:after="0"/>
        <w:tabs>
          <w:tab w:leader="none" w:pos="136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Date shall mean the date an Eligible Employee first</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commences participation in the offering period in effect under the Plan. The earliest Entry Date under the Plan shall be the Effective Time.</w:t>
      </w:r>
    </w:p>
    <w:p>
      <w:pPr>
        <w:spacing w:after="0" w:line="175" w:lineRule="exact"/>
        <w:rPr>
          <w:sz w:val="20"/>
          <w:szCs w:val="20"/>
          <w:color w:val="auto"/>
        </w:rPr>
      </w:pPr>
    </w:p>
    <w:p>
      <w:pPr>
        <w:ind w:left="1360" w:hanging="458"/>
        <w:spacing w:after="0"/>
        <w:tabs>
          <w:tab w:leader="none" w:pos="136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per share of Common Stock on any relevant date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determined in accordance with the following provisions:</w:t>
      </w:r>
    </w:p>
    <w:p>
      <w:pPr>
        <w:spacing w:after="0" w:line="180" w:lineRule="exact"/>
        <w:rPr>
          <w:sz w:val="20"/>
          <w:szCs w:val="20"/>
          <w:color w:val="auto"/>
        </w:rPr>
      </w:pPr>
    </w:p>
    <w:p>
      <w:pPr>
        <w:ind w:left="440" w:right="3859" w:firstLine="916"/>
        <w:spacing w:after="0" w:line="246" w:lineRule="auto"/>
        <w:tabs>
          <w:tab w:leader="none" w:pos="1894"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traded on the Nasdaq National Market, then the Fair Market Value shall be the closing selling price per share of Common Stock on the date in question, as such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180" w:lineRule="exact"/>
        <w:rPr>
          <w:rFonts w:ascii="Courier New" w:cs="Courier New" w:eastAsia="Courier New" w:hAnsi="Courier New"/>
          <w:sz w:val="15"/>
          <w:szCs w:val="15"/>
          <w:color w:val="auto"/>
        </w:rPr>
      </w:pPr>
    </w:p>
    <w:p>
      <w:pPr>
        <w:ind w:left="440" w:right="3859" w:firstLine="916"/>
        <w:spacing w:after="0" w:line="246" w:lineRule="auto"/>
        <w:tabs>
          <w:tab w:leader="none" w:pos="1894"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180" w:lineRule="exact"/>
        <w:rPr>
          <w:rFonts w:ascii="Courier New" w:cs="Courier New" w:eastAsia="Courier New" w:hAnsi="Courier New"/>
          <w:sz w:val="15"/>
          <w:szCs w:val="15"/>
          <w:color w:val="auto"/>
        </w:rPr>
      </w:pPr>
    </w:p>
    <w:p>
      <w:pPr>
        <w:ind w:left="440" w:right="3859" w:firstLine="916"/>
        <w:spacing w:after="0" w:line="246" w:lineRule="auto"/>
        <w:tabs>
          <w:tab w:leader="none" w:pos="1894"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initial offering period which begins at the Effective Time, the Fair Market Value shall be deemed to be equal to the price per share at which the Common Stock is sold in the initial public offering pursuant to the Underwriting Agreement.</w:t>
      </w:r>
    </w:p>
    <w:p>
      <w:pPr>
        <w:spacing w:after="0" w:line="177"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shall mean the Securities Act of 1933, as amended.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Eligible Employee of a Participating</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who is actively participating in the Plan.</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43" w:right="1440" w:bottom="1440" w:gutter="0" w:footer="0" w:header="0"/>
        </w:sectPr>
      </w:pPr>
    </w:p>
    <w:bookmarkStart w:id="134" w:name="page135"/>
    <w:bookmarkEnd w:id="134"/>
    <w:p>
      <w:pPr>
        <w:ind w:left="1360" w:hanging="458"/>
        <w:spacing w:after="0"/>
        <w:tabs>
          <w:tab w:leader="none" w:pos="136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Participating Corporation shall mean the Corporation and such</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Corporate Affiliate or Affiliates as may be authorized from time to time by the Board to extend the benefits of the Plan to their Eligible Employees. The Participating Corporations in the Plan are listed in attached Schedule A.</w:t>
      </w:r>
    </w:p>
    <w:p>
      <w:pPr>
        <w:spacing w:after="0" w:line="174" w:lineRule="exact"/>
        <w:rPr>
          <w:sz w:val="20"/>
          <w:szCs w:val="20"/>
          <w:color w:val="auto"/>
        </w:rPr>
      </w:pPr>
    </w:p>
    <w:p>
      <w:pPr>
        <w:ind w:left="1360" w:hanging="458"/>
        <w:spacing w:after="0"/>
        <w:tabs>
          <w:tab w:leader="none" w:pos="136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Corporation's Employee Stock Purchase Plan,</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set forth in this document.</w:t>
      </w:r>
    </w:p>
    <w:p>
      <w:pPr>
        <w:spacing w:after="0" w:line="180" w:lineRule="exact"/>
        <w:rPr>
          <w:sz w:val="20"/>
          <w:szCs w:val="20"/>
          <w:color w:val="auto"/>
        </w:rPr>
      </w:pPr>
    </w:p>
    <w:p>
      <w:pPr>
        <w:ind w:left="1360" w:hanging="458"/>
        <w:spacing w:after="0"/>
        <w:tabs>
          <w:tab w:leader="none" w:pos="136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Administrator shall mean the committee of two (2) or more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members appointed by the Board to administer the Plan.</w:t>
      </w:r>
    </w:p>
    <w:p>
      <w:pPr>
        <w:spacing w:after="0" w:line="180" w:lineRule="exact"/>
        <w:rPr>
          <w:sz w:val="20"/>
          <w:szCs w:val="20"/>
          <w:color w:val="auto"/>
        </w:rPr>
      </w:pPr>
    </w:p>
    <w:p>
      <w:pPr>
        <w:ind w:left="1360" w:hanging="458"/>
        <w:spacing w:after="0"/>
        <w:tabs>
          <w:tab w:leader="none" w:pos="136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Date shall mean the last business day of each Purchase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Interval.</w:t>
        <w:tab/>
        <w:t>The initial Purchase Date shall be January 31, 2001.</w:t>
      </w:r>
    </w:p>
    <w:p>
      <w:pPr>
        <w:spacing w:after="0" w:line="180" w:lineRule="exact"/>
        <w:rPr>
          <w:sz w:val="20"/>
          <w:szCs w:val="20"/>
          <w:color w:val="auto"/>
        </w:rPr>
      </w:pPr>
    </w:p>
    <w:p>
      <w:pPr>
        <w:ind w:left="1360" w:hanging="458"/>
        <w:spacing w:after="0"/>
        <w:tabs>
          <w:tab w:leader="none" w:pos="136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Interval shall mean each successive six (6)-month period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within the offering period at the end of which there shall be purchased shares of Common Stock on behalf of each Participant.</w:t>
      </w:r>
    </w:p>
    <w:p>
      <w:pPr>
        <w:spacing w:after="0" w:line="175" w:lineRule="exact"/>
        <w:rPr>
          <w:sz w:val="20"/>
          <w:szCs w:val="20"/>
          <w:color w:val="auto"/>
        </w:rPr>
      </w:pPr>
    </w:p>
    <w:p>
      <w:pPr>
        <w:ind w:left="1360" w:hanging="458"/>
        <w:spacing w:after="0"/>
        <w:tabs>
          <w:tab w:leader="none" w:pos="136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 Entry Date shall mean the first business day in</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February and August each year on which an Eligible Employee may first enter an offering period.</w:t>
      </w:r>
    </w:p>
    <w:p>
      <w:pPr>
        <w:spacing w:after="0" w:line="175" w:lineRule="exact"/>
        <w:rPr>
          <w:sz w:val="20"/>
          <w:szCs w:val="20"/>
          <w:color w:val="auto"/>
        </w:rPr>
      </w:pPr>
    </w:p>
    <w:p>
      <w:pPr>
        <w:ind w:left="1360" w:hanging="458"/>
        <w:spacing w:after="0"/>
        <w:tabs>
          <w:tab w:leader="none" w:pos="136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shall mean either the American Stock Exchange or</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New York Stock Exchange.</w:t>
      </w:r>
    </w:p>
    <w:p>
      <w:pPr>
        <w:spacing w:after="0" w:line="180" w:lineRule="exact"/>
        <w:rPr>
          <w:sz w:val="20"/>
          <w:szCs w:val="20"/>
          <w:color w:val="auto"/>
        </w:rPr>
      </w:pPr>
    </w:p>
    <w:p>
      <w:pPr>
        <w:ind w:left="1360" w:hanging="458"/>
        <w:spacing w:after="0"/>
        <w:tabs>
          <w:tab w:leader="none" w:pos="136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Agreement shall mean the agreement between the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Corporation and the underwriter or underwriters managing the Corporation's initial public offering of its Common Stock.</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42" w:right="1440" w:bottom="1440" w:gutter="0" w:footer="0" w:header="0"/>
        </w:sectPr>
      </w:pPr>
    </w:p>
    <w:bookmarkStart w:id="135" w:name="page136"/>
    <w:bookmarkEnd w:id="135"/>
    <w:p>
      <w:pPr>
        <w:ind w:left="6187"/>
        <w:spacing w:after="0"/>
        <w:rPr>
          <w:sz w:val="20"/>
          <w:szCs w:val="20"/>
          <w:color w:val="auto"/>
        </w:rPr>
      </w:pPr>
      <w:r>
        <w:rPr>
          <w:rFonts w:ascii="Courier New" w:cs="Courier New" w:eastAsia="Courier New" w:hAnsi="Courier New"/>
          <w:sz w:val="14"/>
          <w:szCs w:val="14"/>
          <w:color w:val="auto"/>
        </w:rPr>
        <w:t>EXHIBIT 10.6</w:t>
      </w:r>
    </w:p>
    <w:p>
      <w:pPr>
        <w:spacing w:after="0" w:line="191"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PHASE II DEVELOPMENT AND PHASE III FEASIBILITY STUDY AGREEMENT</w:t>
      </w:r>
    </w:p>
    <w:p>
      <w:pPr>
        <w:spacing w:after="0" w:line="180" w:lineRule="exact"/>
        <w:rPr>
          <w:sz w:val="20"/>
          <w:szCs w:val="20"/>
          <w:color w:val="auto"/>
        </w:rPr>
      </w:pPr>
    </w:p>
    <w:p>
      <w:pPr>
        <w:ind w:left="7" w:right="3779" w:firstLine="909"/>
        <w:spacing w:after="0" w:line="246" w:lineRule="auto"/>
        <w:rPr>
          <w:sz w:val="20"/>
          <w:szCs w:val="20"/>
          <w:color w:val="auto"/>
        </w:rPr>
      </w:pPr>
      <w:r>
        <w:rPr>
          <w:rFonts w:ascii="Courier New" w:cs="Courier New" w:eastAsia="Courier New" w:hAnsi="Courier New"/>
          <w:sz w:val="15"/>
          <w:szCs w:val="15"/>
          <w:color w:val="auto"/>
        </w:rPr>
        <w:t>This DEVELOPMENT AGREEMENT ("Agreement") is effective as of January 22, 1999, ("Effective Date") by and between Active Power, 11525 Stonehollow Drive, Suite 135, Austin, Texas 78758 ("ACTIVE POWER") and Caterpillar Inc., 100 N.E. Adams Street, Peoria, Illinois 61629-6490 ("CATERPILLAR").</w:t>
      </w:r>
    </w:p>
    <w:p>
      <w:pPr>
        <w:spacing w:after="0" w:line="178" w:lineRule="exact"/>
        <w:rPr>
          <w:sz w:val="20"/>
          <w:szCs w:val="20"/>
          <w:color w:val="auto"/>
        </w:rPr>
      </w:pPr>
    </w:p>
    <w:p>
      <w:pPr>
        <w:ind w:left="1367" w:hanging="458"/>
        <w:spacing w:after="0"/>
        <w:tabs>
          <w:tab w:leader="none" w:pos="136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For purposes of this AGREEMENT, the following definitions shall apply:</w:t>
      </w:r>
    </w:p>
    <w:p>
      <w:pPr>
        <w:spacing w:after="0" w:line="180" w:lineRule="exact"/>
        <w:rPr>
          <w:sz w:val="20"/>
          <w:szCs w:val="20"/>
          <w:color w:val="auto"/>
        </w:rPr>
      </w:pPr>
    </w:p>
    <w:p>
      <w:pPr>
        <w:ind w:left="7" w:right="3139" w:firstLine="1356"/>
        <w:spacing w:after="0" w:line="247" w:lineRule="auto"/>
        <w:tabs>
          <w:tab w:leader="none" w:pos="1824" w:val="left"/>
        </w:tabs>
        <w:numPr>
          <w:ilvl w:val="2"/>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company, corporation, partnership or other business entity which is more than fifty percent (50%) or more owned, directly or indirectly, by a party to this AGREEMENT.</w:t>
      </w:r>
    </w:p>
    <w:p>
      <w:pPr>
        <w:spacing w:after="0" w:line="174" w:lineRule="exact"/>
        <w:rPr>
          <w:rFonts w:ascii="Courier New" w:cs="Courier New" w:eastAsia="Courier New" w:hAnsi="Courier New"/>
          <w:sz w:val="15"/>
          <w:szCs w:val="15"/>
          <w:color w:val="auto"/>
        </w:rPr>
      </w:pPr>
    </w:p>
    <w:p>
      <w:pPr>
        <w:jc w:val="both"/>
        <w:ind w:left="7" w:right="2959" w:firstLine="1356"/>
        <w:spacing w:after="0" w:line="247" w:lineRule="auto"/>
        <w:tabs>
          <w:tab w:leader="none" w:pos="1824" w:val="left"/>
        </w:tabs>
        <w:numPr>
          <w:ilvl w:val="2"/>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INTELLECTUAL PROPERTY" shall be all INTELLECTUAL PROPERTY incorporated into the PHASE II PRODUCT other than that which is defined as PROGRAM INTELLECTUAL PROPERTY.</w:t>
      </w:r>
    </w:p>
    <w:p>
      <w:pPr>
        <w:spacing w:after="0" w:line="174" w:lineRule="exact"/>
        <w:rPr>
          <w:rFonts w:ascii="Courier New" w:cs="Courier New" w:eastAsia="Courier New" w:hAnsi="Courier New"/>
          <w:sz w:val="15"/>
          <w:szCs w:val="15"/>
          <w:color w:val="auto"/>
        </w:rPr>
      </w:pPr>
    </w:p>
    <w:p>
      <w:pPr>
        <w:ind w:left="7" w:right="3139" w:firstLine="1356"/>
        <w:spacing w:after="0" w:line="246" w:lineRule="auto"/>
        <w:tabs>
          <w:tab w:leader="none" w:pos="1824" w:val="left"/>
        </w:tabs>
        <w:numPr>
          <w:ilvl w:val="2"/>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"FIELD OF USE" shall mean earth-moving equipment, construction equipment, mining equipment, forestry equipment, engines, engine generator sets, agricultural equipment, paving equipment, components for all such equipment and all reasonable extensions thereof which are mutually agreed in writing by the parties hereto.</w:t>
      </w:r>
    </w:p>
    <w:p>
      <w:pPr>
        <w:spacing w:after="0" w:line="177" w:lineRule="exact"/>
        <w:rPr>
          <w:rFonts w:ascii="Courier New" w:cs="Courier New" w:eastAsia="Courier New" w:hAnsi="Courier New"/>
          <w:sz w:val="15"/>
          <w:szCs w:val="15"/>
          <w:color w:val="auto"/>
        </w:rPr>
      </w:pPr>
    </w:p>
    <w:p>
      <w:pPr>
        <w:ind w:left="7" w:right="3499" w:firstLine="1356"/>
        <w:spacing w:after="0" w:line="246" w:lineRule="auto"/>
        <w:tabs>
          <w:tab w:leader="none" w:pos="1824" w:val="left"/>
        </w:tabs>
        <w:numPr>
          <w:ilvl w:val="2"/>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includes, without limitation, inventions, whether or not patentable, copyrights, computer software and accompanying documentation, specifications, know how and original works of authorship. INTELLECTUAL PROPERTY includes PROPRIETARY INFORMATION.</w:t>
      </w:r>
    </w:p>
    <w:p>
      <w:pPr>
        <w:spacing w:after="0" w:line="177" w:lineRule="exact"/>
        <w:rPr>
          <w:rFonts w:ascii="Courier New" w:cs="Courier New" w:eastAsia="Courier New" w:hAnsi="Courier New"/>
          <w:sz w:val="15"/>
          <w:szCs w:val="15"/>
          <w:color w:val="auto"/>
        </w:rPr>
      </w:pPr>
    </w:p>
    <w:p>
      <w:pPr>
        <w:jc w:val="both"/>
        <w:ind w:left="7" w:right="2959" w:firstLine="1356"/>
        <w:spacing w:after="0" w:line="246" w:lineRule="auto"/>
        <w:tabs>
          <w:tab w:leader="none" w:pos="1824" w:val="left"/>
        </w:tabs>
        <w:numPr>
          <w:ilvl w:val="2"/>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INTELLECTUAL PROPERTY" means INTELLECTUAL PROPERTY that is created, made, conceived or reduced to practice in performance of work under the PROGRAM with respect to UPS electronics (identified as such in Exhibit</w:t>
      </w:r>
    </w:p>
    <w:p>
      <w:pPr>
        <w:spacing w:after="0" w:line="1"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UPS packaging.</w:t>
      </w:r>
    </w:p>
    <w:p>
      <w:pPr>
        <w:spacing w:after="0" w:line="179" w:lineRule="exact"/>
        <w:rPr>
          <w:rFonts w:ascii="Courier New" w:cs="Courier New" w:eastAsia="Courier New" w:hAnsi="Courier New"/>
          <w:sz w:val="15"/>
          <w:szCs w:val="15"/>
          <w:color w:val="auto"/>
        </w:rPr>
      </w:pPr>
    </w:p>
    <w:p>
      <w:pPr>
        <w:ind w:left="7" w:right="3219" w:firstLine="1356"/>
        <w:spacing w:after="0" w:line="247" w:lineRule="auto"/>
        <w:tabs>
          <w:tab w:leader="none" w:pos="1824" w:val="left"/>
        </w:tabs>
        <w:numPr>
          <w:ilvl w:val="2"/>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shall mean the efforts of CATERPILLAR or ACTIVE POWER to develop PHASE II PRODUCTS.</w:t>
      </w:r>
    </w:p>
    <w:p>
      <w:pPr>
        <w:spacing w:after="0" w:line="174"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909"/>
        <w:spacing w:after="0" w:line="246" w:lineRule="auto"/>
        <w:rPr>
          <w:sz w:val="20"/>
          <w:szCs w:val="20"/>
          <w:color w:val="auto"/>
        </w:rPr>
      </w:pPr>
      <w:r>
        <w:rPr>
          <w:rFonts w:ascii="Courier New" w:cs="Courier New" w:eastAsia="Courier New" w:hAnsi="Courier New"/>
          <w:sz w:val="15"/>
          <w:szCs w:val="15"/>
          <w:color w:val="auto"/>
        </w:rPr>
        <w:t>CATERPILLAR and ACTIVE POWER have agreed to a PHASE I program under a separate agreement governing the purchase of certain PHASE I products. This Agreement governs Phase II development and preliminary Phase III discussions. Notwithstanding anything contained in this Agreement and subject to the restrictions in the PHASE I Purchase Agreement, nothing contained herein shall preclude ACTIVE POWER from selling or otherwise disposing of ACTIVE POWER'S CleanSource flywheel energy storage system.</w:t>
      </w:r>
    </w:p>
    <w:p>
      <w:pPr>
        <w:spacing w:after="0" w:line="179" w:lineRule="exact"/>
        <w:rPr>
          <w:sz w:val="20"/>
          <w:szCs w:val="20"/>
          <w:color w:val="auto"/>
        </w:rPr>
      </w:pPr>
    </w:p>
    <w:p>
      <w:pPr>
        <w:ind w:left="1827" w:hanging="464"/>
        <w:spacing w:after="0"/>
        <w:tabs>
          <w:tab w:leader="none" w:pos="1827"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w:t>
      </w:r>
    </w:p>
    <w:p>
      <w:pPr>
        <w:spacing w:after="0" w:line="179" w:lineRule="exact"/>
        <w:rPr>
          <w:rFonts w:ascii="Courier New" w:cs="Courier New" w:eastAsia="Courier New" w:hAnsi="Courier New"/>
          <w:sz w:val="15"/>
          <w:szCs w:val="15"/>
          <w:color w:val="auto"/>
        </w:rPr>
      </w:pPr>
    </w:p>
    <w:p>
      <w:pPr>
        <w:ind w:left="7" w:right="3419" w:firstLine="1811"/>
        <w:spacing w:after="0" w:line="246" w:lineRule="auto"/>
        <w:tabs>
          <w:tab w:leader="none" w:pos="2279"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cooperate to develop a PHASE II PRODUCT which shall include an industrial duty uninterruptible power supply ("UPS") and a CleanSource flywheel. The PHASE II PRODUCT specification and requirements are detailed in Exhibit A ("Specifications").</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491" w:right="1440" w:bottom="1440" w:gutter="0" w:footer="0" w:header="0"/>
        </w:sectPr>
      </w:pPr>
    </w:p>
    <w:bookmarkStart w:id="136" w:name="page137"/>
    <w:bookmarkEnd w:id="136"/>
    <w:p>
      <w:pPr>
        <w:ind w:right="2959" w:firstLine="1811"/>
        <w:spacing w:after="0" w:line="246" w:lineRule="auto"/>
        <w:tabs>
          <w:tab w:leader="none" w:pos="2454" w:val="left"/>
        </w:tabs>
        <w:numPr>
          <w:ilvl w:val="2"/>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cooperate with one another to design, develop and test the PHASE II PRODUCT for possible use with CATERPILLAR generator sets. ACTIVE POWER will make one prototype that conforms with the Specifications. If the parties mutually agree on any changes to the Specifications during the development process, such changes shall be incorporated into the Specifications and be attached to,and become part of, this Agreement. The parties will test this prototype, at a mutually, reasonably agreed upon site, for compliance with the Specifications (except for the Specification relating to reliability target) stated in Exhibit A. Each party will document and report to the other party the results of such tests performed on such prototype together with any comments concerning design changes, further development, and the like. CATERPILLAR will accept or reject the PHASE II PRODUCT prototype within thirty (30) calendar days after testing begins at the site selected by CATERPILLAR (however, if CATERPILLAR fails to indicate a testing location within sixty (60) days after ACTIVE POWER has completed Milestone 2 (as set forth in Exhibit C), the testing site shall be ACTIVE POWER's site in Austin Texas); failure to give notice of acceptance or rejection will constitute acceptance. CATERPILLAR may reject the PHASE II PRODUCT only if it fails in some respect to meet the Specifications (except for the Specification relating to reliability target) stated in Exhibit A. If CATERPILLAR properly rejects the PHASE II PRODUCT, ACTIVE POWER may correct the failures and when it believes that it has made the necessary corrections and has notified CATERPILLAR, the parties will again test the PHASE II prototype and the acceptance/rejection/correction provisions above shall be reapplied until the PHASE II PRODUCT is accepted; provided, however, if a correction to a deliverable that is rejected by CATERPILLAR for failure to meet a Specification (except for the Specification relating to reliability target) set forth in Exhibit A is not accepted, Caterpillar may terminate this Agreement. The day on which CATERPILLAR accepts the PHASE II PRODUCT shall be deemed the "Acceptance Date". After the Acceptance Date, CATERPILLAR may purchase additional prototypes at a price per prototype defined by the pricing for Phase II Product in Exhibit B. Any prototypes shall be provided to CATERPILLAR on an "AS IS" basis.</w:t>
      </w:r>
    </w:p>
    <w:p>
      <w:pPr>
        <w:spacing w:after="0" w:line="194" w:lineRule="exact"/>
        <w:rPr>
          <w:rFonts w:ascii="Courier New" w:cs="Courier New" w:eastAsia="Courier New" w:hAnsi="Courier New"/>
          <w:sz w:val="15"/>
          <w:szCs w:val="15"/>
          <w:color w:val="auto"/>
        </w:rPr>
      </w:pPr>
    </w:p>
    <w:p>
      <w:pPr>
        <w:ind w:left="2440" w:hanging="629"/>
        <w:spacing w:after="0"/>
        <w:tabs>
          <w:tab w:leader="none" w:pos="2440" w:val="left"/>
        </w:tabs>
        <w:numPr>
          <w:ilvl w:val="2"/>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ninety (90) days following the Acceptance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CATERPILLAR shall have the option of purchasing such PHASE II PRODUCTS pursuant to the provisions of the Phase II Purchase Agreement Terms and Conditions ("Phase II Purchase Option") as specified in Exhibit B hereto. In the event of conflict between this Agreement and the Phase II Purchase Agreement Terms and Conditions, this Agreement shall control. Caterpillar may exercise such Phase II Purchase Option by providing written notice to Active Power of such exercise within the aforesaid 90 day period. ACTIVE POWER will cooperate with CATERPILLAR during reliability testing to meet the reliability targets.</w:t>
      </w:r>
    </w:p>
    <w:p>
      <w:pPr>
        <w:spacing w:after="0" w:line="179" w:lineRule="exact"/>
        <w:rPr>
          <w:rFonts w:ascii="Courier New" w:cs="Courier New" w:eastAsia="Courier New" w:hAnsi="Courier New"/>
          <w:sz w:val="15"/>
          <w:szCs w:val="15"/>
          <w:color w:val="auto"/>
        </w:rPr>
      </w:pPr>
    </w:p>
    <w:p>
      <w:pPr>
        <w:ind w:left="1820" w:hanging="464"/>
        <w:spacing w:after="0"/>
        <w:tabs>
          <w:tab w:leader="none" w:pos="182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III</w:t>
      </w:r>
    </w:p>
    <w:p>
      <w:pPr>
        <w:spacing w:after="0" w:line="179" w:lineRule="exact"/>
        <w:rPr>
          <w:rFonts w:ascii="Courier New" w:cs="Courier New" w:eastAsia="Courier New" w:hAnsi="Courier New"/>
          <w:sz w:val="15"/>
          <w:szCs w:val="15"/>
          <w:color w:val="auto"/>
        </w:rPr>
      </w:pPr>
    </w:p>
    <w:p>
      <w:pPr>
        <w:ind w:right="2959" w:firstLine="1811"/>
        <w:spacing w:after="0" w:line="246" w:lineRule="auto"/>
        <w:tabs>
          <w:tab w:leader="none" w:pos="2454" w:val="left"/>
        </w:tabs>
        <w:numPr>
          <w:ilvl w:val="2"/>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and ACTIVE POWER will negotiate reasonably and in good faith towards a PHASE III development program ("PHASE III PROGRAM"), which presently contemplates the activities specified below in paragraph 2(b)(iii).</w:t>
      </w:r>
    </w:p>
    <w:p>
      <w:pPr>
        <w:spacing w:after="0" w:line="177" w:lineRule="exact"/>
        <w:rPr>
          <w:rFonts w:ascii="Courier New" w:cs="Courier New" w:eastAsia="Courier New" w:hAnsi="Courier New"/>
          <w:sz w:val="15"/>
          <w:szCs w:val="15"/>
          <w:color w:val="auto"/>
        </w:rPr>
      </w:pPr>
    </w:p>
    <w:p>
      <w:pPr>
        <w:ind w:left="2440" w:hanging="629"/>
        <w:spacing w:after="0"/>
        <w:tabs>
          <w:tab w:leader="none" w:pos="2440" w:val="left"/>
        </w:tabs>
        <w:numPr>
          <w:ilvl w:val="2"/>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and ACTIVE POWER may agree to jointly</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fund any PHASE III PROGRAM.</w:t>
      </w:r>
    </w:p>
    <w:p>
      <w:pPr>
        <w:spacing w:after="0" w:line="179" w:lineRule="exact"/>
        <w:rPr>
          <w:rFonts w:ascii="Courier New" w:cs="Courier New" w:eastAsia="Courier New" w:hAnsi="Courier New"/>
          <w:sz w:val="15"/>
          <w:szCs w:val="15"/>
          <w:color w:val="auto"/>
        </w:rPr>
      </w:pPr>
    </w:p>
    <w:p>
      <w:pPr>
        <w:ind w:right="2959" w:firstLine="1811"/>
        <w:spacing w:after="0" w:line="246" w:lineRule="auto"/>
        <w:tabs>
          <w:tab w:leader="none" w:pos="2454" w:val="left"/>
        </w:tabs>
        <w:numPr>
          <w:ilvl w:val="2"/>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PHASE III PROGRAM development will include a jointly completed feasibility study [****] that is based on the PHASE II PROGRAM developments, ACTIVE POWER's flywheel technology, and CATERPILLAR's knowledge of the generator set market. The parties will also explore other opportunities for application of the PHASE II PRODUCT and opportunities for further joint development efforts to expand the PHASE II PRODUCT's capabilities. The study will identify the scope</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137" w:name="page138"/>
    <w:bookmarkEnd w:id="137"/>
    <w:p>
      <w:pPr>
        <w:ind w:right="3039"/>
        <w:spacing w:after="0" w:line="246" w:lineRule="auto"/>
        <w:rPr>
          <w:sz w:val="20"/>
          <w:szCs w:val="20"/>
          <w:color w:val="auto"/>
        </w:rPr>
      </w:pPr>
      <w:r>
        <w:rPr>
          <w:rFonts w:ascii="Courier New" w:cs="Courier New" w:eastAsia="Courier New" w:hAnsi="Courier New"/>
          <w:sz w:val="15"/>
          <w:szCs w:val="15"/>
          <w:color w:val="auto"/>
        </w:rPr>
        <w:t>of the market opportunity, required resources, technical risk, and an initial application. [****] It is envisioned that the feasibility study will provide ACTIVE POWER and CATERPILLAR with necessary information to complete a long-term [****] alliance agreement.</w:t>
      </w:r>
    </w:p>
    <w:p>
      <w:pPr>
        <w:spacing w:after="0" w:line="177" w:lineRule="exact"/>
        <w:rPr>
          <w:sz w:val="20"/>
          <w:szCs w:val="20"/>
          <w:color w:val="auto"/>
        </w:rPr>
      </w:pPr>
    </w:p>
    <w:p>
      <w:pPr>
        <w:ind w:left="1360" w:hanging="458"/>
        <w:spacing w:after="0"/>
        <w:tabs>
          <w:tab w:leader="none" w:pos="136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 COSTS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039" w:firstLine="1356"/>
        <w:spacing w:after="0" w:line="247" w:lineRule="auto"/>
        <w:tabs>
          <w:tab w:leader="none" w:pos="181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stated in this Agreement or later mutually agreed to in writing specifically referencing this Agreement, each party will bear its own costs incurred in the PROGRAM.</w:t>
      </w:r>
    </w:p>
    <w:p>
      <w:pPr>
        <w:spacing w:after="0" w:line="174"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agrees to pay Active Power for co-ownership of PROGRAM INTELLECTUAL PROPERTY the sum of $5,000,000 (five million dollars). The payments shall be made in installments, each installment being due and payable upon the objective satisfaction of each of the five milestones in the payment schedule listed in Exhibit C ("Payment Milestones"). Other than the payments specified above, Caterpillar shall not be responsible for any other payments or funding, and Active Power shall bear all its costs for participating in this Program, or any part thereof. Caterpillar shall bear its own costs for participating in this program, or any part thereof.</w:t>
      </w:r>
    </w:p>
    <w:p>
      <w:pPr>
        <w:spacing w:after="0" w:line="180" w:lineRule="exact"/>
        <w:rPr>
          <w:rFonts w:ascii="Courier New" w:cs="Courier New" w:eastAsia="Courier New" w:hAnsi="Courier New"/>
          <w:sz w:val="15"/>
          <w:szCs w:val="15"/>
          <w:color w:val="auto"/>
        </w:rPr>
      </w:pPr>
    </w:p>
    <w:p>
      <w:pPr>
        <w:ind w:right="3039" w:firstLine="1356"/>
        <w:spacing w:after="0" w:line="247" w:lineRule="auto"/>
        <w:tabs>
          <w:tab w:leader="none" w:pos="181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ACTIVE POWER'S correct itemized invoice(s) and after objective satisfaction of each Milestone, CATERPILLAR will pay ACTIVE POWER in accordance with such invoice.</w:t>
      </w:r>
    </w:p>
    <w:p>
      <w:pPr>
        <w:spacing w:after="0" w:line="17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work under this Agreement, a party ("TRANSMITTING PARTY") may deliver PROPRIETARY INFORMATION relating directly to the PHASE II or PHASE III development to the other party ("RECEIVING PARTY"). The RECEIVING PARTY may not use the PROPRIETARY INFORMATION except for work performed according to this Agreement, will protect the confidentiality of the PROPRIETARY INFORMATION with at least the same degree of care as it protects its own confidential information and will not disclose any such PROPRIETARY INFORMATION, without the express written consent of the TRANSMITTING PARTY. "PROPRIETARY INFORMATION" includes any process, system, formula, pattern, model, device compilation, or other information: (i) not known by the RECEIVING PARTY prior to this Agreement or known by the RECEIVING PARTY prior to this Agreement but having restriction on its use or disclosure; and (ii) not generally known by others (unless so know through some fault of the RECEIVING PARTY). PROPRIETARY INFORMATION does not include knowledge, skills or information which is generally known in ACTIVE POWER's or CATERPILLAR's trade or profession.</w:t>
      </w:r>
    </w:p>
    <w:p>
      <w:pPr>
        <w:spacing w:after="0" w:line="183"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agrees that it will neither (i) disclose to the other party or any of its employees information in confidence belonging to a third party; nor (ii) knowingly in the performance of the work hereunder produce anything that embodies information under confidential restriction, or is covered by a patent, patent application, copyright, trade secret, or other intellectual property right owned by a third party.</w:t>
      </w:r>
    </w:p>
    <w:p>
      <w:pPr>
        <w:spacing w:after="0" w:line="178" w:lineRule="exact"/>
        <w:rPr>
          <w:rFonts w:ascii="Courier New" w:cs="Courier New" w:eastAsia="Courier New" w:hAnsi="Courier New"/>
          <w:sz w:val="15"/>
          <w:szCs w:val="15"/>
          <w:color w:val="auto"/>
        </w:rPr>
      </w:pPr>
    </w:p>
    <w:p>
      <w:pPr>
        <w:ind w:right="2959" w:firstLine="1356"/>
        <w:spacing w:after="0" w:line="247" w:lineRule="auto"/>
        <w:tabs>
          <w:tab w:leader="none" w:pos="181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be construed as preventing either party from independent development, provided that PROPRIETARY INFORMATION is handled in accordance with paragraph 4(a).</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RECEIVING PARTY be required to disclose PROPRIETARY INFORMATION by governmental or judicial order, the RECEIVING PARTY will give the TRANSMITTING PARTY prompt notice of any such order and will comply with any protective order imposed on such disclosure.</w:t>
      </w:r>
    </w:p>
    <w:p>
      <w:pPr>
        <w:spacing w:after="0" w:line="3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2" w:right="1440" w:bottom="1440" w:gutter="0" w:footer="0" w:header="0"/>
        </w:sectPr>
      </w:pPr>
    </w:p>
    <w:bookmarkStart w:id="138" w:name="page139"/>
    <w:bookmarkEnd w:id="138"/>
    <w:p>
      <w:pPr>
        <w:ind w:left="1360" w:hanging="458"/>
        <w:spacing w:after="0"/>
        <w:tabs>
          <w:tab w:leader="none" w:pos="136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139" w:firstLine="1356"/>
        <w:spacing w:after="0" w:line="247" w:lineRule="auto"/>
        <w:tabs>
          <w:tab w:leader="none" w:pos="1818"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INTELLECTUAL PROPERTY shall remain the property of the party who created, made, conceived and reduced it to practice.</w:t>
      </w:r>
    </w:p>
    <w:p>
      <w:pPr>
        <w:spacing w:after="0" w:line="174"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PROGRAM INTELLECTUAL PROPERTY shall be jointly owned by the parties and may be exploited and/or nonexclusively licensed by either party without further consent or accounting to the other party. With respect to all rights and ownership in such PROGRAM INTELLECTUAL PROPERTY, the parties will mutually discuss whether to obtain or maintain such rights, including without limitation, any patents, trademarks, copyrights, trade secrets, CONFIDENTIAL INFORMATION, and any other proprietary rights therein, and if one refuses to take any such joint action requested by the other, the other may proceed at its own expense; no such action will change the foregoing ownership provision. A party will execute all documents the other may request for such purposes and to otherwise assist the other (at the other's expense) for such purposes.</w:t>
      </w:r>
    </w:p>
    <w:p>
      <w:pPr>
        <w:spacing w:after="0" w:line="181"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CATERPILLAR and ACTIVE POWER grant to the other party an irrevocable, perpetual, nonexclusive, worldwide, royalty free license (including the right to sublicense to such other party's Affiliates) to make, have made, use, sell and otherwise exploit during and/or after the term of this Agreement any modifications, improvements, inventions, know how, ideas or suggestions made with respect to the other party's Proprietary Information by such party's employees who have had access to such Proprietary Information. If something ceases to be considered Proprietary Information, licenses granted with respect thereto while such information was deemed Proprietary Information, will be unaffected.</w:t>
      </w:r>
    </w:p>
    <w:p>
      <w:pPr>
        <w:spacing w:after="0" w:line="180"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Agreement or the Exhibits, nothing in this Agreement shall be construed as a grant of, or agreement to grant, to either party any licenses under intellectual property rights of the other party, regardless of whether they are dominant of or subordinate to those provided herein.</w:t>
      </w:r>
    </w:p>
    <w:p>
      <w:pPr>
        <w:spacing w:after="0" w:line="177"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JOINTLY OWNED INTELLECTUAL PROPERTY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139" w:firstLine="1356"/>
        <w:spacing w:after="0" w:line="247" w:lineRule="auto"/>
        <w:tabs>
          <w:tab w:leader="none" w:pos="1818"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agreed to by the parties, all licensing revenues generated by licensing PROGRAM INTELLECTUAL PROPERTY to third parties shall be retained by the licensor of such PROGRAM INTELLECTUAL PROPERTY.</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one party chooses to enforce PROGRAM INTELLECTUAL PROPERTY rights against a third party, the other party shall be given the opportunity to join in such enforcement prior to its commencement and in the event the other party chooses to join, both parties shall equally share all costs, including attorneys' fees and share equally all revenues generated by the enforcement, including licensing fees, if any. If the other party chooses not to join such enforcement, such party shall nevertheless reasonably cooperate with the one party in such enforcement (at the other party's expense), including joining as a nominal party subject to indemnification by such party , but will not be entitled to any proceeds of such enforcement activity.</w:t>
      </w:r>
    </w:p>
    <w:p>
      <w:pPr>
        <w:spacing w:after="0" w:line="180"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219" w:firstLine="909"/>
        <w:spacing w:after="0" w:line="246" w:lineRule="auto"/>
        <w:rPr>
          <w:sz w:val="20"/>
          <w:szCs w:val="20"/>
          <w:color w:val="auto"/>
        </w:rPr>
      </w:pPr>
      <w:r>
        <w:rPr>
          <w:rFonts w:ascii="Courier New" w:cs="Courier New" w:eastAsia="Courier New" w:hAnsi="Courier New"/>
          <w:sz w:val="15"/>
          <w:szCs w:val="15"/>
          <w:color w:val="auto"/>
        </w:rPr>
        <w:t>All notices and invoices pursuant to this Agreement shall reference this Agreement and be given in writing to the respective party at its address designated below or to such other address as may be substituted in writing by that party to the other. All notices shall be deemed to be fully given and received if sent by registered or certified mail, postage prepaid, return receipt requested.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139" w:name="page140"/>
    <w:bookmarkEnd w:id="139"/>
    <w:tbl>
      <w:tblPr>
        <w:tblLayout w:type="fixed"/>
        <w:tblInd w:w="447"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Notice to ACTIVE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POWER:</w:t>
            </w:r>
          </w:p>
        </w:tc>
        <w:tc>
          <w:tcPr>
            <w:tcW w:w="2680" w:type="dxa"/>
            <w:vAlign w:val="bottom"/>
          </w:tcPr>
          <w:p>
            <w:pPr>
              <w:spacing w:after="0"/>
              <w:rPr>
                <w:sz w:val="14"/>
                <w:szCs w:val="14"/>
                <w:color w:val="auto"/>
              </w:rPr>
            </w:pP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Active Power</w:t>
            </w:r>
          </w:p>
        </w:tc>
        <w:tc>
          <w:tcPr>
            <w:tcW w:w="182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75"/>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11525 Stonehollow Drive, Suite 135</w:t>
            </w:r>
          </w:p>
        </w:tc>
        <w:tc>
          <w:tcPr>
            <w:tcW w:w="2680" w:type="dxa"/>
            <w:vAlign w:val="bottom"/>
          </w:tcPr>
          <w:p>
            <w:pPr>
              <w:spacing w:after="0"/>
              <w:rPr>
                <w:sz w:val="15"/>
                <w:szCs w:val="15"/>
                <w:color w:val="auto"/>
              </w:rPr>
            </w:pPr>
          </w:p>
        </w:tc>
      </w:tr>
      <w:tr>
        <w:trPr>
          <w:trHeight w:val="175"/>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Austin, Texas 78758</w:t>
            </w:r>
          </w:p>
        </w:tc>
        <w:tc>
          <w:tcPr>
            <w:tcW w:w="2680" w:type="dxa"/>
            <w:vAlign w:val="bottom"/>
          </w:tcPr>
          <w:p>
            <w:pPr>
              <w:spacing w:after="0"/>
              <w:rPr>
                <w:sz w:val="15"/>
                <w:szCs w:val="15"/>
                <w:color w:val="auto"/>
              </w:rPr>
            </w:pPr>
          </w:p>
        </w:tc>
      </w:tr>
      <w:tr>
        <w:trPr>
          <w:trHeight w:val="350"/>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Notices to CATERPILLAR:</w:t>
            </w: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rPr>
              <w:t>Invoices to CATERPILLAR:</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Caterpillar Inc.</w:t>
            </w:r>
          </w:p>
        </w:tc>
        <w:tc>
          <w:tcPr>
            <w:tcW w:w="1820" w:type="dxa"/>
            <w:vAlign w:val="bottom"/>
          </w:tcPr>
          <w:p>
            <w:pPr>
              <w:spacing w:after="0"/>
              <w:rPr>
                <w:sz w:val="15"/>
                <w:szCs w:val="15"/>
                <w:color w:val="auto"/>
              </w:rPr>
            </w:pP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rPr>
              <w:t>Attn:  Disbursements Div.</w:t>
            </w:r>
          </w:p>
        </w:tc>
      </w:tr>
      <w:tr>
        <w:trPr>
          <w:trHeight w:val="175"/>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Intellectual Property Department</w:t>
            </w:r>
          </w:p>
        </w:tc>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LD235 Mailroom</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Attn:  Licensing</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Division</w:t>
            </w: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rPr>
              <w:t>600 W. Washington Street</w:t>
            </w:r>
          </w:p>
        </w:tc>
      </w:tr>
      <w:tr>
        <w:trPr>
          <w:trHeight w:val="175"/>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100 N.E. Adams Street</w:t>
            </w: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w w:val="99"/>
              </w:rPr>
              <w:t>East Peoria, Illinois 61630</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Peoria, Illinois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61629-6490</w:t>
            </w: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rPr>
              <w:t>Pontiac, Illinois 61764</w:t>
            </w:r>
          </w:p>
        </w:tc>
      </w:tr>
    </w:tbl>
    <w:p>
      <w:pPr>
        <w:spacing w:after="0" w:line="179" w:lineRule="exact"/>
        <w:rPr>
          <w:sz w:val="20"/>
          <w:szCs w:val="20"/>
          <w:color w:val="auto"/>
        </w:rPr>
      </w:pPr>
    </w:p>
    <w:p>
      <w:pPr>
        <w:ind w:left="1267" w:hanging="358"/>
        <w:spacing w:after="0"/>
        <w:tabs>
          <w:tab w:leader="none" w:pos="1267"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9"/>
        <w:spacing w:after="0" w:line="246" w:lineRule="auto"/>
        <w:rPr>
          <w:sz w:val="20"/>
          <w:szCs w:val="20"/>
          <w:color w:val="auto"/>
        </w:rPr>
      </w:pPr>
      <w:r>
        <w:rPr>
          <w:rFonts w:ascii="Courier New" w:cs="Courier New" w:eastAsia="Courier New" w:hAnsi="Courier New"/>
          <w:sz w:val="15"/>
          <w:szCs w:val="15"/>
          <w:color w:val="auto"/>
        </w:rPr>
        <w:t>Each party shall indemnify, defend and hold harmless the other party, its directors, officers, employees and agents, from all third party (including a party's employees) claims, demands, liabilities, loss, damage, and expense, including costs, and reasonable litigation expenses and counsel fees incurred in connection therewith, arising out of injury to or death of any person or damage to property proximately caused by the indemnifying party's gross negligence or willful acts or omissions which arise in connection with the performance of work hereunder while the indemnifying party is on premises of the other party. Such indemnity shall be provided subject to (a) prompt written notifications of any and all such threats, claims, or proceedings related thereto and the other party giving reasonable assistance to the indemnifying party in the defense thereof,</w:t>
      </w:r>
    </w:p>
    <w:p>
      <w:pPr>
        <w:spacing w:after="0" w:line="7" w:lineRule="exact"/>
        <w:rPr>
          <w:sz w:val="20"/>
          <w:szCs w:val="20"/>
          <w:color w:val="auto"/>
        </w:rPr>
      </w:pPr>
    </w:p>
    <w:p>
      <w:pPr>
        <w:ind w:left="7" w:right="3039" w:hanging="7"/>
        <w:spacing w:after="0" w:line="246" w:lineRule="auto"/>
        <w:tabs>
          <w:tab w:leader="none" w:pos="37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party having sole control of the defense and all related settlement negotiations, and (c) such indemnifications shall be limited in the case of real or tangible property to the reduction in value or replacement cost of such property.</w:t>
      </w:r>
    </w:p>
    <w:p>
      <w:pPr>
        <w:spacing w:after="0" w:line="177" w:lineRule="exact"/>
        <w:rPr>
          <w:rFonts w:ascii="Courier New" w:cs="Courier New" w:eastAsia="Courier New" w:hAnsi="Courier New"/>
          <w:sz w:val="15"/>
          <w:szCs w:val="15"/>
          <w:color w:val="auto"/>
        </w:rPr>
      </w:pPr>
    </w:p>
    <w:p>
      <w:pPr>
        <w:ind w:left="1267" w:hanging="358"/>
        <w:spacing w:after="0"/>
        <w:tabs>
          <w:tab w:leader="none" w:pos="1267"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909"/>
        <w:spacing w:after="0" w:line="246" w:lineRule="auto"/>
        <w:rPr>
          <w:sz w:val="20"/>
          <w:szCs w:val="20"/>
          <w:color w:val="auto"/>
        </w:rPr>
      </w:pPr>
      <w:r>
        <w:rPr>
          <w:rFonts w:ascii="Courier New" w:cs="Courier New" w:eastAsia="Courier New" w:hAnsi="Courier New"/>
          <w:sz w:val="15"/>
          <w:szCs w:val="15"/>
          <w:color w:val="auto"/>
        </w:rPr>
        <w:t>Each party warrants its right to enter into this AGREEMENT. Warranties for production units of PHASE II PRODUCTS shall be as set forth in Exhibit B. In addition, any hardware, software or firmware provided by ACTIVE POWER to CATERPILLAR is warranted to accurately process properly formatted date/time data (including, but not limited to, calculating, comparing, and sequencing) from, into, and between the twentieth and twenty-first centuries, and the years 1999 and 2000 and leap year calculations to the extent that other hardware, software or firmware used in combination with the hardware, software or firmware being provided by ACTIVE POWER, properly exchanges properly formatted date/time data with it.</w:t>
      </w:r>
    </w:p>
    <w:p>
      <w:pPr>
        <w:spacing w:after="0" w:line="181" w:lineRule="exact"/>
        <w:rPr>
          <w:sz w:val="20"/>
          <w:szCs w:val="20"/>
          <w:color w:val="auto"/>
        </w:rPr>
      </w:pPr>
    </w:p>
    <w:p>
      <w:pPr>
        <w:ind w:left="1267" w:hanging="358"/>
        <w:spacing w:after="0"/>
        <w:tabs>
          <w:tab w:leader="none" w:pos="1267"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039" w:firstLine="1266"/>
        <w:spacing w:after="0" w:line="247" w:lineRule="auto"/>
        <w:tabs>
          <w:tab w:leader="none" w:pos="1734"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PROGRAM shall become effective on the Effective Date of this Agreement and shall remain in effect unless terminated in writing by both parties.</w:t>
      </w:r>
    </w:p>
    <w:p>
      <w:pPr>
        <w:spacing w:after="0" w:line="174" w:lineRule="exact"/>
        <w:rPr>
          <w:rFonts w:ascii="Courier New" w:cs="Courier New" w:eastAsia="Courier New" w:hAnsi="Courier New"/>
          <w:sz w:val="15"/>
          <w:szCs w:val="15"/>
          <w:color w:val="auto"/>
        </w:rPr>
      </w:pPr>
    </w:p>
    <w:p>
      <w:pPr>
        <w:ind w:left="7" w:right="2959" w:firstLine="1266"/>
        <w:spacing w:after="0" w:line="246" w:lineRule="auto"/>
        <w:tabs>
          <w:tab w:leader="none" w:pos="1734"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may terminate ACTIVE POWER's work under this Agreement by giving ACTIVE POWER ninety (90) days written notice in which event ACTIVE POWER shall be (i) reimbursed only for work performed and expenses reasonably incurred prior to receipt of such notice and (ii) entitled to immediate payment of the amount associated with the next milestone. In no event shall the total amount paid to ACTIVE POWER exceed the price agreed to herein.</w:t>
      </w:r>
    </w:p>
    <w:p>
      <w:pPr>
        <w:spacing w:after="0" w:line="178" w:lineRule="exact"/>
        <w:rPr>
          <w:rFonts w:ascii="Courier New" w:cs="Courier New" w:eastAsia="Courier New" w:hAnsi="Courier New"/>
          <w:sz w:val="15"/>
          <w:szCs w:val="15"/>
          <w:color w:val="auto"/>
        </w:rPr>
      </w:pPr>
    </w:p>
    <w:p>
      <w:pPr>
        <w:ind w:left="7" w:right="3039" w:firstLine="1356"/>
        <w:spacing w:after="0" w:line="247" w:lineRule="auto"/>
        <w:tabs>
          <w:tab w:leader="none" w:pos="1824" w:val="left"/>
        </w:tabs>
        <w:numPr>
          <w:ilvl w:val="2"/>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this Agreement, Paragraphs 4, 5,6,7, 8, 9, 10, 11, 12, 13, and 14, of this Agreement shall survive.</w:t>
      </w:r>
    </w:p>
    <w:p>
      <w:pPr>
        <w:spacing w:after="0" w:line="174" w:lineRule="exact"/>
        <w:rPr>
          <w:rFonts w:ascii="Courier New" w:cs="Courier New" w:eastAsia="Courier New" w:hAnsi="Courier New"/>
          <w:sz w:val="15"/>
          <w:szCs w:val="15"/>
          <w:color w:val="auto"/>
        </w:rPr>
      </w:pPr>
    </w:p>
    <w:p>
      <w:pPr>
        <w:ind w:left="7" w:right="3219" w:firstLine="1356"/>
        <w:spacing w:after="0" w:line="247" w:lineRule="auto"/>
        <w:tabs>
          <w:tab w:leader="none" w:pos="1824" w:val="left"/>
        </w:tabs>
        <w:numPr>
          <w:ilvl w:val="2"/>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Agreement is terminated and upon and in accordance with the written reasonable request of either party (provided such written request is given within a reasonable</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43" w:right="1440" w:bottom="1440" w:gutter="0" w:footer="0" w:header="0"/>
        </w:sectPr>
      </w:pPr>
    </w:p>
    <w:bookmarkStart w:id="140" w:name="page141"/>
    <w:bookmarkEnd w:id="140"/>
    <w:p>
      <w:pPr>
        <w:ind w:right="3139"/>
        <w:spacing w:after="0" w:line="246" w:lineRule="auto"/>
        <w:rPr>
          <w:sz w:val="20"/>
          <w:szCs w:val="20"/>
          <w:color w:val="auto"/>
        </w:rPr>
      </w:pPr>
      <w:r>
        <w:rPr>
          <w:rFonts w:ascii="Courier New" w:cs="Courier New" w:eastAsia="Courier New" w:hAnsi="Courier New"/>
          <w:sz w:val="15"/>
          <w:szCs w:val="15"/>
          <w:color w:val="auto"/>
        </w:rPr>
        <w:t>period of time after such termination), but except for information covered by the rights granted in Paragraph 5, the other party shall promptly return or destroy any tangible information (including all copies thereof except as noted below) provided under the PROGRAM by the requesting party. However the other party's counsel may retain in a secure location one copy each of such tangible information and use them only for ensuring compliance with the obligations of Paragraph 5.</w:t>
      </w:r>
    </w:p>
    <w:p>
      <w:pPr>
        <w:spacing w:after="0" w:line="179" w:lineRule="exact"/>
        <w:rPr>
          <w:sz w:val="20"/>
          <w:szCs w:val="20"/>
          <w:color w:val="auto"/>
        </w:rPr>
      </w:pPr>
    </w:p>
    <w:p>
      <w:pPr>
        <w:ind w:left="1360" w:hanging="458"/>
        <w:spacing w:after="0"/>
        <w:tabs>
          <w:tab w:leader="none" w:pos="136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679" w:firstLine="909"/>
        <w:spacing w:after="0" w:line="247" w:lineRule="auto"/>
        <w:rPr>
          <w:sz w:val="20"/>
          <w:szCs w:val="20"/>
          <w:color w:val="auto"/>
        </w:rPr>
      </w:pPr>
      <w:r>
        <w:rPr>
          <w:rFonts w:ascii="Courier New" w:cs="Courier New" w:eastAsia="Courier New" w:hAnsi="Courier New"/>
          <w:sz w:val="15"/>
          <w:szCs w:val="15"/>
          <w:color w:val="auto"/>
        </w:rPr>
        <w:t>Nothing herein is to imply an agency, joint venture or partner relationship between the parties.</w:t>
      </w:r>
    </w:p>
    <w:p>
      <w:pPr>
        <w:spacing w:after="0" w:line="175" w:lineRule="exact"/>
        <w:rPr>
          <w:sz w:val="20"/>
          <w:szCs w:val="20"/>
          <w:color w:val="auto"/>
        </w:rPr>
      </w:pPr>
    </w:p>
    <w:p>
      <w:pPr>
        <w:ind w:left="1360" w:hanging="458"/>
        <w:spacing w:after="0"/>
        <w:tabs>
          <w:tab w:leader="none" w:pos="136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GOVERNING LAW</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Except to an entity that acquires all or substantially all the business or assets of a party, this Agreement is not assignable by either party without the written consent of the other party, which shall not be unreasonably withheld, and will be governed by and construed in accordance with the laws of the State of New York, without regard to the conflict of laws provisions thereof.</w:t>
      </w:r>
    </w:p>
    <w:p>
      <w:pPr>
        <w:spacing w:after="0" w:line="178" w:lineRule="exact"/>
        <w:rPr>
          <w:sz w:val="20"/>
          <w:szCs w:val="20"/>
          <w:color w:val="auto"/>
        </w:rPr>
      </w:pPr>
    </w:p>
    <w:p>
      <w:pPr>
        <w:ind w:left="1360" w:hanging="458"/>
        <w:spacing w:after="0"/>
        <w:tabs>
          <w:tab w:leader="none" w:pos="136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UNDERSTANDING</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This Agreement and the Exhibits hereto constitute the entire agreement and understanding between the parties with respect to the subject matters herein and therein, and shall supersede and replace any conflicting terms and conditions set forth in any purchase order, prior agreement, quotation, proposal, correspondence, or oral discussion relating to the subject matter hereof. This Agreement may only be amended by a writing signed by both parties which makes specific reference to the provision(s) of this Agreement being modified. Should any provision of this Agreement be held invalid, illegal, or unenforceable, the validity of the remaining provisions shall not be affected by such holding. This AGREEMENT shall be binding upon the heirs, successors, and/or legal representatives of the parties.</w:t>
      </w:r>
    </w:p>
    <w:p>
      <w:pPr>
        <w:spacing w:after="0" w:line="181" w:lineRule="exact"/>
        <w:rPr>
          <w:sz w:val="20"/>
          <w:szCs w:val="20"/>
          <w:color w:val="auto"/>
        </w:rPr>
      </w:pPr>
    </w:p>
    <w:p>
      <w:pPr>
        <w:ind w:left="1360" w:hanging="458"/>
        <w:spacing w:after="0"/>
        <w:tabs>
          <w:tab w:leader="none" w:pos="136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419" w:firstLine="909"/>
        <w:spacing w:after="0" w:line="246" w:lineRule="auto"/>
        <w:rPr>
          <w:sz w:val="20"/>
          <w:szCs w:val="20"/>
          <w:color w:val="auto"/>
        </w:rPr>
      </w:pPr>
      <w:r>
        <w:rPr>
          <w:rFonts w:ascii="Courier New" w:cs="Courier New" w:eastAsia="Courier New" w:hAnsi="Courier New"/>
          <w:sz w:val="15"/>
          <w:szCs w:val="15"/>
          <w:color w:val="auto"/>
        </w:rPr>
        <w:t>NEITHER PARTY SHALL BE LIABLE FOR (I) ANY SPECIAL, INCIDENTAL, INDIRECT OR CONSEQUENTIAL DAMAGES ARISING OUT OF THE SUBJECT MATTER OF THIS AGREEMENT OR (II) CATERPILLAR'S COST OF PROCUREMENT OF SUBSTITUTE GOODS OR SERVICES.</w:t>
      </w:r>
    </w:p>
    <w:p>
      <w:pPr>
        <w:spacing w:after="0" w:line="177" w:lineRule="exact"/>
        <w:rPr>
          <w:sz w:val="20"/>
          <w:szCs w:val="20"/>
          <w:color w:val="auto"/>
        </w:rPr>
      </w:pPr>
    </w:p>
    <w:p>
      <w:pPr>
        <w:ind w:right="3219" w:firstLine="909"/>
        <w:spacing w:after="0" w:line="247" w:lineRule="auto"/>
        <w:rPr>
          <w:sz w:val="20"/>
          <w:szCs w:val="20"/>
          <w:color w:val="auto"/>
        </w:rPr>
      </w:pPr>
      <w:r>
        <w:rPr>
          <w:rFonts w:ascii="Courier New" w:cs="Courier New" w:eastAsia="Courier New" w:hAnsi="Courier New"/>
          <w:sz w:val="15"/>
          <w:szCs w:val="15"/>
          <w:color w:val="auto"/>
        </w:rPr>
        <w:t>The parties have caused this Agreement to be signed in duplicate by their duly authorized representatives on the Effective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ACTIVE POWER, Inc.</w:t>
            </w:r>
          </w:p>
        </w:tc>
        <w:tc>
          <w:tcPr>
            <w:tcW w:w="36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CATERPILLAR INC</w:t>
            </w:r>
          </w:p>
        </w:tc>
      </w:tr>
      <w:tr>
        <w:trPr>
          <w:trHeight w:val="35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274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/s/</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w w:val="96"/>
              </w:rPr>
              <w:t>By:</w:t>
            </w:r>
          </w:p>
        </w:tc>
        <w:tc>
          <w:tcPr>
            <w:tcW w:w="262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/s/</w:t>
            </w:r>
          </w:p>
        </w:tc>
      </w:tr>
      <w:tr>
        <w:trPr>
          <w:trHeight w:val="175"/>
        </w:trPr>
        <w:tc>
          <w:tcPr>
            <w:tcW w:w="260" w:type="dxa"/>
            <w:vAlign w:val="bottom"/>
          </w:tcPr>
          <w:p>
            <w:pPr>
              <w:spacing w:after="0"/>
              <w:rPr>
                <w:sz w:val="15"/>
                <w:szCs w:val="15"/>
                <w:color w:val="auto"/>
              </w:rPr>
            </w:pPr>
          </w:p>
        </w:tc>
        <w:tc>
          <w:tcPr>
            <w:tcW w:w="274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Name:______________________</w:t>
            </w:r>
          </w:p>
        </w:tc>
        <w:tc>
          <w:tcPr>
            <w:tcW w:w="36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Name:___________________________</w:t>
            </w:r>
          </w:p>
        </w:tc>
      </w:tr>
      <w:tr>
        <w:trPr>
          <w:trHeight w:val="350"/>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Title:_____________________</w:t>
            </w:r>
          </w:p>
        </w:tc>
        <w:tc>
          <w:tcPr>
            <w:tcW w:w="36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Title:__________________________</w:t>
            </w:r>
          </w:p>
        </w:tc>
      </w:tr>
      <w:tr>
        <w:trPr>
          <w:trHeight w:val="350"/>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Date:______________________</w:t>
            </w:r>
          </w:p>
        </w:tc>
        <w:tc>
          <w:tcPr>
            <w:tcW w:w="36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Date:___________________________</w:t>
            </w:r>
          </w:p>
        </w:tc>
      </w:tr>
      <w:tr>
        <w:trPr>
          <w:trHeight w:val="524"/>
        </w:trPr>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6</w:t>
            </w:r>
          </w:p>
        </w:tc>
        <w:tc>
          <w:tcPr>
            <w:tcW w:w="262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SPECIFICATIONS FOR PHASE II PRODUCT</w:t>
      </w:r>
    </w:p>
    <w:p>
      <w:pPr>
        <w:spacing w:after="0" w:line="354" w:lineRule="exact"/>
        <w:rPr>
          <w:sz w:val="20"/>
          <w:szCs w:val="20"/>
          <w:color w:val="auto"/>
        </w:rPr>
      </w:pPr>
    </w:p>
    <w:p>
      <w:pPr>
        <w:ind w:left="180" w:right="3139" w:firstLine="273"/>
        <w:spacing w:after="0" w:line="246" w:lineRule="auto"/>
        <w:rPr>
          <w:sz w:val="20"/>
          <w:szCs w:val="20"/>
          <w:color w:val="auto"/>
        </w:rPr>
      </w:pPr>
      <w:r>
        <w:rPr>
          <w:rFonts w:ascii="Courier New" w:cs="Courier New" w:eastAsia="Courier New" w:hAnsi="Courier New"/>
          <w:sz w:val="15"/>
          <w:szCs w:val="15"/>
          <w:color w:val="auto"/>
        </w:rPr>
        <w:t>In the event that ACTIVE POWER has developed and includes a CS2 flywheel and associated components in the Prototype, then the Phase II Product shall comply with the following specification entitled CS2-UPS Specification, otherwise the Phase II Product shall comply with the following specification entitled CS1-UPS Specification.</w:t>
      </w:r>
    </w:p>
    <w:p>
      <w:pPr>
        <w:spacing w:after="0" w:line="35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CS1-UPS Specification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12/14/98</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Definition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CS1-UPS is a line-interactive UPS that employs Active Power's first generation DC to DC flywheel energy storage system (flywheel system described in US patent 5,731,645).</w:t>
      </w:r>
    </w:p>
    <w:p>
      <w:pPr>
        <w:spacing w:after="0" w:line="174" w:lineRule="exact"/>
        <w:rPr>
          <w:sz w:val="20"/>
          <w:szCs w:val="20"/>
          <w:color w:val="auto"/>
        </w:rPr>
      </w:pPr>
    </w:p>
    <w:p>
      <w:pPr>
        <w:ind w:left="2360" w:hanging="549"/>
        <w:spacing w:after="0"/>
        <w:tabs>
          <w:tab w:leader="none" w:pos="236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Ratings</w:t>
      </w:r>
    </w:p>
    <w:p>
      <w:pPr>
        <w:spacing w:after="0" w:line="180" w:lineRule="exact"/>
        <w:rPr>
          <w:sz w:val="20"/>
          <w:szCs w:val="20"/>
          <w:color w:val="auto"/>
        </w:rPr>
      </w:pPr>
    </w:p>
    <w:p>
      <w:pPr>
        <w:ind w:left="440" w:hanging="265"/>
        <w:spacing w:after="0"/>
        <w:tabs>
          <w:tab w:leader="none" w:pos="44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discharge time - 300 seconds</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energy - 3.0 MJ</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delivered power - 250KW for 12.5 seconds</w:t>
      </w:r>
    </w:p>
    <w:p>
      <w:pPr>
        <w:spacing w:after="0" w:line="180" w:lineRule="exact"/>
        <w:rPr>
          <w:sz w:val="20"/>
          <w:szCs w:val="20"/>
          <w:color w:val="auto"/>
        </w:rPr>
      </w:pPr>
    </w:p>
    <w:p>
      <w:pPr>
        <w:ind w:left="2360" w:hanging="549"/>
        <w:spacing w:after="0"/>
        <w:tabs>
          <w:tab w:leader="none" w:pos="236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w:t>
      </w:r>
    </w:p>
    <w:p>
      <w:pPr>
        <w:spacing w:after="0" w:line="180" w:lineRule="exact"/>
        <w:rPr>
          <w:sz w:val="20"/>
          <w:szCs w:val="20"/>
          <w:color w:val="auto"/>
        </w:rPr>
      </w:pPr>
    </w:p>
    <w:p>
      <w:pPr>
        <w:ind w:left="440" w:hanging="265"/>
        <w:spacing w:after="0"/>
        <w:tabs>
          <w:tab w:leader="none" w:pos="44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 voltage - 480Vrms +10%/-20%</w:t>
      </w:r>
    </w:p>
    <w:p>
      <w:pPr>
        <w:spacing w:after="0" w:line="5" w:lineRule="exact"/>
        <w:rPr>
          <w:sz w:val="20"/>
          <w:szCs w:val="20"/>
          <w:color w:val="auto"/>
        </w:rPr>
      </w:pPr>
    </w:p>
    <w:p>
      <w:pPr>
        <w:ind w:left="440" w:hanging="265"/>
        <w:spacing w:after="0"/>
        <w:tabs>
          <w:tab w:leader="none" w:pos="4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Interface - 3 phase, 4 wire (3 phase plus neutral and ground)</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 frequency - 45Hz - 66Hz</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Walk-in time - 1 second minimum, variable to up to 15 seconds</w:t>
      </w:r>
    </w:p>
    <w:p>
      <w:pPr>
        <w:spacing w:after="0" w:line="179" w:lineRule="exact"/>
        <w:rPr>
          <w:rFonts w:ascii="Courier New" w:cs="Courier New" w:eastAsia="Courier New" w:hAnsi="Courier New"/>
          <w:sz w:val="15"/>
          <w:szCs w:val="15"/>
          <w:color w:val="auto"/>
        </w:rPr>
      </w:pPr>
    </w:p>
    <w:p>
      <w:pPr>
        <w:ind w:left="2360" w:hanging="549"/>
        <w:spacing w:after="0"/>
        <w:tabs>
          <w:tab w:leader="none" w:pos="2360"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w:t>
      </w:r>
    </w:p>
    <w:p>
      <w:pPr>
        <w:spacing w:after="0" w:line="180" w:lineRule="exact"/>
        <w:rPr>
          <w:sz w:val="20"/>
          <w:szCs w:val="20"/>
          <w:color w:val="auto"/>
        </w:rPr>
      </w:pPr>
    </w:p>
    <w:p>
      <w:pPr>
        <w:ind w:left="440" w:hanging="265"/>
        <w:spacing w:after="0"/>
        <w:tabs>
          <w:tab w:leader="none" w:pos="44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Nominal output voltage: 480Vrms, matched to utility input  +/- 5%</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Interface - 3 phase, 4 wire (3 phase plus neutral and ground)</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regulation in Flywheel Mode:</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+/- 5 % of input nominal, static balanced</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+/- 5 % of input nominal, static asymmetrical</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+/- 5 % of input nominal, within 80 ms following 100% step load</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harmonic distortion:</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5% THD maximum and 3% any single harmonic with 100% linear load</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10% THD maximum with 100% non-linear load</w:t>
      </w:r>
    </w:p>
    <w:p>
      <w:pPr>
        <w:spacing w:after="0" w:line="180" w:lineRule="exact"/>
        <w:rPr>
          <w:sz w:val="20"/>
          <w:szCs w:val="20"/>
          <w:color w:val="auto"/>
        </w:rPr>
      </w:pPr>
    </w:p>
    <w:p>
      <w:pPr>
        <w:ind w:left="2360" w:hanging="549"/>
        <w:spacing w:after="0"/>
        <w:tabs>
          <w:tab w:leader="none" w:pos="236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Recharge Time</w:t>
      </w:r>
    </w:p>
    <w:p>
      <w:pPr>
        <w:spacing w:after="0" w:line="180" w:lineRule="exact"/>
        <w:rPr>
          <w:sz w:val="20"/>
          <w:szCs w:val="20"/>
          <w:color w:val="auto"/>
        </w:rPr>
      </w:pPr>
    </w:p>
    <w:p>
      <w:pPr>
        <w:ind w:left="440" w:hanging="265"/>
        <w:spacing w:after="0"/>
        <w:tabs>
          <w:tab w:leader="none" w:pos="44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Recharge time - 2.5 minutes maximum</w:t>
      </w:r>
    </w:p>
    <w:p>
      <w:pPr>
        <w:spacing w:after="0" w:line="5" w:lineRule="exact"/>
        <w:rPr>
          <w:sz w:val="20"/>
          <w:szCs w:val="20"/>
          <w:color w:val="auto"/>
        </w:rPr>
      </w:pPr>
    </w:p>
    <w:p>
      <w:pPr>
        <w:ind w:left="440" w:hanging="265"/>
        <w:spacing w:after="0"/>
        <w:tabs>
          <w:tab w:leader="none" w:pos="4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 time from 0 RPM - 7.5 minutes maximum</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Adjustable to avoid overloading source</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Duty Cycle: 10% for 5 discharges</w:t>
      </w:r>
    </w:p>
    <w:p>
      <w:pPr>
        <w:spacing w:after="0" w:line="179" w:lineRule="exact"/>
        <w:rPr>
          <w:rFonts w:ascii="Courier New" w:cs="Courier New" w:eastAsia="Courier New" w:hAnsi="Courier New"/>
          <w:sz w:val="15"/>
          <w:szCs w:val="15"/>
          <w:color w:val="auto"/>
        </w:rPr>
      </w:pPr>
    </w:p>
    <w:p>
      <w:pPr>
        <w:ind w:left="2440" w:hanging="629"/>
        <w:spacing w:after="0"/>
        <w:tabs>
          <w:tab w:leader="none" w:pos="2440"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Standby Losses</w:t>
      </w:r>
    </w:p>
    <w:p>
      <w:pPr>
        <w:spacing w:after="0" w:line="180" w:lineRule="exact"/>
        <w:rPr>
          <w:sz w:val="20"/>
          <w:szCs w:val="20"/>
          <w:color w:val="auto"/>
        </w:rPr>
      </w:pPr>
    </w:p>
    <w:p>
      <w:pPr>
        <w:ind w:left="1080" w:hanging="269"/>
        <w:spacing w:after="0"/>
        <w:tabs>
          <w:tab w:leader="none" w:pos="108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of rated power</w:t>
      </w:r>
    </w:p>
    <w:p>
      <w:pPr>
        <w:spacing w:after="0" w:line="179" w:lineRule="exact"/>
        <w:rPr>
          <w:rFonts w:ascii="Courier New" w:cs="Courier New" w:eastAsia="Courier New" w:hAnsi="Courier New"/>
          <w:sz w:val="15"/>
          <w:szCs w:val="15"/>
          <w:color w:val="auto"/>
        </w:rPr>
      </w:pPr>
    </w:p>
    <w:p>
      <w:pPr>
        <w:ind w:left="2440" w:hanging="629"/>
        <w:spacing w:after="0"/>
        <w:tabs>
          <w:tab w:leader="none" w:pos="2440"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Temperature rating</w:t>
      </w:r>
    </w:p>
    <w:p>
      <w:pPr>
        <w:spacing w:after="0" w:line="180" w:lineRule="exact"/>
        <w:rPr>
          <w:sz w:val="20"/>
          <w:szCs w:val="20"/>
          <w:color w:val="auto"/>
        </w:rPr>
      </w:pPr>
    </w:p>
    <w:p>
      <w:pPr>
        <w:ind w:left="820" w:hanging="372"/>
        <w:spacing w:after="0"/>
        <w:tabs>
          <w:tab w:leader="none" w:pos="82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Start-up - 0 to +40C</w:t>
      </w:r>
    </w:p>
    <w:p>
      <w:pPr>
        <w:spacing w:after="0" w:line="5" w:lineRule="exact"/>
        <w:rPr>
          <w:sz w:val="20"/>
          <w:szCs w:val="20"/>
          <w:color w:val="auto"/>
        </w:rPr>
      </w:pPr>
    </w:p>
    <w:p>
      <w:pPr>
        <w:ind w:left="820" w:hanging="372"/>
        <w:spacing w:after="0"/>
        <w:tabs>
          <w:tab w:leader="none" w:pos="82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 -20 to 40C</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 -25 to +70C</w:t>
      </w:r>
    </w:p>
    <w:p>
      <w:pPr>
        <w:spacing w:after="0" w:line="179" w:lineRule="exact"/>
        <w:rPr>
          <w:rFonts w:ascii="Courier New" w:cs="Courier New" w:eastAsia="Courier New" w:hAnsi="Courier New"/>
          <w:sz w:val="15"/>
          <w:szCs w:val="15"/>
          <w:color w:val="auto"/>
        </w:rPr>
      </w:pPr>
    </w:p>
    <w:p>
      <w:pPr>
        <w:ind w:left="2440" w:hanging="629"/>
        <w:spacing w:after="0"/>
        <w:tabs>
          <w:tab w:leader="none" w:pos="2440"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Humidity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142" w:name="page143"/>
    <w:bookmarkEnd w:id="142"/>
    <w:p>
      <w:pPr>
        <w:ind w:left="372" w:hanging="372"/>
        <w:spacing w:after="0"/>
        <w:tabs>
          <w:tab w:leader="none" w:pos="372"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humidity -  95%, non-condensing</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Barometric Pressure</w:t>
      </w:r>
    </w:p>
    <w:p>
      <w:pPr>
        <w:spacing w:after="0" w:line="180" w:lineRule="exact"/>
        <w:rPr>
          <w:sz w:val="20"/>
          <w:szCs w:val="20"/>
          <w:color w:val="auto"/>
        </w:rPr>
      </w:pPr>
    </w:p>
    <w:p>
      <w:pPr>
        <w:ind w:left="632" w:hanging="269"/>
        <w:spacing w:after="0"/>
        <w:tabs>
          <w:tab w:leader="none" w:pos="632"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rating to 3000  feet; reduced by 5% /1000ft above 4000ft</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Vibration</w:t>
      </w:r>
    </w:p>
    <w:p>
      <w:pPr>
        <w:spacing w:after="0" w:line="180" w:lineRule="exact"/>
        <w:rPr>
          <w:sz w:val="20"/>
          <w:szCs w:val="20"/>
          <w:color w:val="auto"/>
        </w:rPr>
      </w:pPr>
    </w:p>
    <w:p>
      <w:pPr>
        <w:ind w:left="632" w:hanging="269"/>
        <w:spacing w:after="0"/>
        <w:tabs>
          <w:tab w:leader="none" w:pos="63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5g  peak, 30ms pulse duration</w:t>
      </w:r>
    </w:p>
    <w:p>
      <w:pPr>
        <w:spacing w:after="0" w:line="180" w:lineRule="exact"/>
        <w:rPr>
          <w:sz w:val="20"/>
          <w:szCs w:val="20"/>
          <w:color w:val="auto"/>
        </w:rPr>
      </w:pPr>
    </w:p>
    <w:p>
      <w:pPr>
        <w:ind w:left="1992" w:hanging="629"/>
        <w:spacing w:after="0"/>
        <w:tabs>
          <w:tab w:leader="none" w:pos="199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Acoustical Noise</w:t>
      </w:r>
    </w:p>
    <w:p>
      <w:pPr>
        <w:spacing w:after="0" w:line="180" w:lineRule="exact"/>
        <w:rPr>
          <w:sz w:val="20"/>
          <w:szCs w:val="20"/>
          <w:color w:val="auto"/>
        </w:rPr>
      </w:pPr>
    </w:p>
    <w:p>
      <w:pPr>
        <w:ind w:left="632" w:hanging="269"/>
        <w:spacing w:after="0"/>
        <w:tabs>
          <w:tab w:leader="none" w:pos="632"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 dB, "A" weighting, at 3 feet from system</w:t>
      </w:r>
    </w:p>
    <w:p>
      <w:pPr>
        <w:spacing w:after="0" w:line="180" w:lineRule="exact"/>
        <w:rPr>
          <w:sz w:val="20"/>
          <w:szCs w:val="20"/>
          <w:color w:val="auto"/>
        </w:rPr>
      </w:pPr>
    </w:p>
    <w:p>
      <w:pPr>
        <w:ind w:left="1992" w:hanging="629"/>
        <w:spacing w:after="0"/>
        <w:tabs>
          <w:tab w:leader="none" w:pos="199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Dimensions</w:t>
      </w:r>
    </w:p>
    <w:p>
      <w:pPr>
        <w:spacing w:after="0" w:line="180" w:lineRule="exact"/>
        <w:rPr>
          <w:sz w:val="20"/>
          <w:szCs w:val="20"/>
          <w:color w:val="auto"/>
        </w:rPr>
      </w:pPr>
    </w:p>
    <w:p>
      <w:pPr>
        <w:ind w:left="632" w:hanging="269"/>
        <w:spacing w:after="0"/>
        <w:tabs>
          <w:tab w:leader="none" w:pos="632"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Height 79" maximum</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Width 43" maximum</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Depth 36" maximum</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Floor Loading</w:t>
      </w:r>
    </w:p>
    <w:p>
      <w:pPr>
        <w:spacing w:after="0" w:line="179"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325 lbs./sq. ft. maximum</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Features</w:t>
      </w:r>
    </w:p>
    <w:p>
      <w:pPr>
        <w:spacing w:after="0" w:line="180" w:lineRule="exact"/>
        <w:rPr>
          <w:sz w:val="20"/>
          <w:szCs w:val="20"/>
          <w:color w:val="auto"/>
        </w:rPr>
      </w:pPr>
    </w:p>
    <w:p>
      <w:pPr>
        <w:ind w:left="632" w:hanging="269"/>
        <w:spacing w:after="0"/>
        <w:tabs>
          <w:tab w:leader="none" w:pos="632"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Bi-directional Inverters</w:t>
      </w:r>
    </w:p>
    <w:p>
      <w:pPr>
        <w:spacing w:after="0" w:line="5" w:lineRule="exact"/>
        <w:rPr>
          <w:sz w:val="20"/>
          <w:szCs w:val="20"/>
          <w:color w:val="auto"/>
        </w:rPr>
      </w:pPr>
    </w:p>
    <w:p>
      <w:pPr>
        <w:ind w:left="632" w:hanging="269"/>
        <w:spacing w:after="0"/>
        <w:tabs>
          <w:tab w:leader="none" w:pos="632"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Flywheel energy storage for standby power</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Adjustable load walk-in</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self-diagnostics</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Fault event logging</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Preheat capability</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Monitoring and Control</w:t>
      </w:r>
    </w:p>
    <w:p>
      <w:pPr>
        <w:spacing w:after="0" w:line="180" w:lineRule="exact"/>
        <w:rPr>
          <w:sz w:val="20"/>
          <w:szCs w:val="20"/>
          <w:color w:val="auto"/>
        </w:rPr>
      </w:pPr>
    </w:p>
    <w:p>
      <w:pPr>
        <w:ind w:left="632" w:hanging="269"/>
        <w:spacing w:after="0"/>
        <w:tabs>
          <w:tab w:leader="none" w:pos="632"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switch for system control</w:t>
      </w:r>
    </w:p>
    <w:p>
      <w:pPr>
        <w:spacing w:after="0" w:line="5" w:lineRule="exact"/>
        <w:rPr>
          <w:sz w:val="20"/>
          <w:szCs w:val="20"/>
          <w:color w:val="auto"/>
        </w:rPr>
      </w:pPr>
    </w:p>
    <w:p>
      <w:pPr>
        <w:ind w:left="632" w:hanging="269"/>
        <w:spacing w:after="0"/>
        <w:tabs>
          <w:tab w:leader="none" w:pos="632"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EPO (Emergency Power Off)</w:t>
      </w:r>
    </w:p>
    <w:p>
      <w:pPr>
        <w:spacing w:after="0" w:line="5" w:lineRule="exact"/>
        <w:rPr>
          <w:sz w:val="20"/>
          <w:szCs w:val="20"/>
          <w:color w:val="auto"/>
        </w:rPr>
      </w:pPr>
    </w:p>
    <w:p>
      <w:pPr>
        <w:ind w:left="632" w:hanging="269"/>
        <w:spacing w:after="0"/>
        <w:tabs>
          <w:tab w:leader="none" w:pos="632"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LCD display - reports alarms &amp; system state</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&amp; alarms on critical components</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Programmable setup parameters</w:t>
      </w:r>
    </w:p>
    <w:p>
      <w:pPr>
        <w:spacing w:after="0" w:line="4" w:lineRule="exact"/>
        <w:rPr>
          <w:rFonts w:ascii="Courier New" w:cs="Courier New" w:eastAsia="Courier New" w:hAnsi="Courier New"/>
          <w:sz w:val="15"/>
          <w:szCs w:val="15"/>
          <w:color w:val="auto"/>
        </w:rPr>
      </w:pPr>
    </w:p>
    <w:p>
      <w:pPr>
        <w:ind w:left="632" w:right="3039" w:hanging="269"/>
        <w:spacing w:after="0" w:line="246" w:lineRule="auto"/>
        <w:tabs>
          <w:tab w:leader="none" w:pos="632"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External customer contacts (A-Type) dry contacts {six (6) input and six (6) output</w:t>
      </w:r>
    </w:p>
    <w:p>
      <w:pPr>
        <w:spacing w:after="0" w:line="1"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RS232 or RS485 Serial Connection</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Ethernet Interface</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Options</w:t>
      </w:r>
    </w:p>
    <w:p>
      <w:pPr>
        <w:spacing w:after="0" w:line="180" w:lineRule="exact"/>
        <w:rPr>
          <w:sz w:val="20"/>
          <w:szCs w:val="20"/>
          <w:color w:val="auto"/>
        </w:rPr>
      </w:pPr>
    </w:p>
    <w:p>
      <w:pPr>
        <w:ind w:left="632" w:hanging="269"/>
        <w:spacing w:after="0"/>
        <w:tabs>
          <w:tab w:leader="none" w:pos="632"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bypass</w:t>
      </w:r>
    </w:p>
    <w:p>
      <w:pPr>
        <w:spacing w:after="0" w:line="5" w:lineRule="exact"/>
        <w:rPr>
          <w:sz w:val="20"/>
          <w:szCs w:val="20"/>
          <w:color w:val="auto"/>
        </w:rPr>
      </w:pPr>
    </w:p>
    <w:p>
      <w:pPr>
        <w:ind w:left="632" w:hanging="269"/>
        <w:spacing w:after="0"/>
        <w:tabs>
          <w:tab w:leader="none" w:pos="632"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restart following depletion of stored-energy and</w:t>
      </w:r>
    </w:p>
    <w:p>
      <w:pPr>
        <w:spacing w:after="0" w:line="5" w:lineRule="exact"/>
        <w:rPr>
          <w:sz w:val="20"/>
          <w:szCs w:val="20"/>
          <w:color w:val="auto"/>
        </w:rPr>
      </w:pPr>
    </w:p>
    <w:p>
      <w:pPr>
        <w:ind w:left="632"/>
        <w:spacing w:after="0"/>
        <w:rPr>
          <w:sz w:val="20"/>
          <w:szCs w:val="20"/>
          <w:color w:val="auto"/>
        </w:rPr>
      </w:pPr>
      <w:r>
        <w:rPr>
          <w:rFonts w:ascii="Courier New" w:cs="Courier New" w:eastAsia="Courier New" w:hAnsi="Courier New"/>
          <w:sz w:val="15"/>
          <w:szCs w:val="15"/>
          <w:color w:val="auto"/>
        </w:rPr>
        <w:t>restoration of AC source</w:t>
      </w:r>
    </w:p>
    <w:p>
      <w:pPr>
        <w:spacing w:after="0" w:line="5" w:lineRule="exact"/>
        <w:rPr>
          <w:sz w:val="20"/>
          <w:szCs w:val="20"/>
          <w:color w:val="auto"/>
        </w:rPr>
      </w:pPr>
    </w:p>
    <w:p>
      <w:pPr>
        <w:ind w:left="632" w:hanging="269"/>
        <w:spacing w:after="0"/>
        <w:tabs>
          <w:tab w:leader="none" w:pos="6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Remote monitoring capability</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modem</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Remote EPO (Emergency Power Off)</w:t>
      </w:r>
    </w:p>
    <w:p>
      <w:pPr>
        <w:spacing w:after="0" w:line="4" w:lineRule="exact"/>
        <w:rPr>
          <w:rFonts w:ascii="Courier New" w:cs="Courier New" w:eastAsia="Courier New" w:hAnsi="Courier New"/>
          <w:sz w:val="15"/>
          <w:szCs w:val="15"/>
          <w:color w:val="auto"/>
        </w:rPr>
      </w:pPr>
    </w:p>
    <w:p>
      <w:pPr>
        <w:ind w:left="632" w:right="3039" w:hanging="269"/>
        <w:spacing w:after="0" w:line="246" w:lineRule="auto"/>
        <w:tabs>
          <w:tab w:leader="none" w:pos="6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 voltage other than 480VAC using optional external transformer cabinet</w:t>
      </w:r>
    </w:p>
    <w:p>
      <w:pPr>
        <w:spacing w:after="0" w:line="1" w:lineRule="exact"/>
        <w:rPr>
          <w:rFonts w:ascii="Courier New" w:cs="Courier New" w:eastAsia="Courier New" w:hAnsi="Courier New"/>
          <w:sz w:val="15"/>
          <w:szCs w:val="15"/>
          <w:color w:val="auto"/>
        </w:rPr>
      </w:pPr>
    </w:p>
    <w:p>
      <w:pPr>
        <w:ind w:left="632" w:right="2959" w:hanging="269"/>
        <w:spacing w:after="0" w:line="247" w:lineRule="auto"/>
        <w:tabs>
          <w:tab w:leader="none" w:pos="6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other than 480VAC using optional external transformer cabinet</w:t>
      </w:r>
    </w:p>
    <w:p>
      <w:pPr>
        <w:spacing w:after="0" w:line="174"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Reliability</w:t>
      </w:r>
    </w:p>
    <w:p>
      <w:pPr>
        <w:spacing w:after="0" w:line="180" w:lineRule="exact"/>
        <w:rPr>
          <w:sz w:val="20"/>
          <w:szCs w:val="20"/>
          <w:color w:val="auto"/>
        </w:rPr>
      </w:pPr>
    </w:p>
    <w:p>
      <w:pPr>
        <w:ind w:left="372" w:right="2959"/>
        <w:spacing w:after="0" w:line="247" w:lineRule="auto"/>
        <w:rPr>
          <w:sz w:val="20"/>
          <w:szCs w:val="20"/>
          <w:color w:val="auto"/>
        </w:rPr>
      </w:pPr>
      <w:r>
        <w:rPr>
          <w:rFonts w:ascii="Courier New" w:cs="Courier New" w:eastAsia="Courier New" w:hAnsi="Courier New"/>
          <w:sz w:val="15"/>
          <w:szCs w:val="15"/>
          <w:color w:val="auto"/>
        </w:rPr>
        <w:t>The reliability target of .039 failures per 100 hours is to be met with a 75% confidence.</w:t>
      </w:r>
    </w:p>
    <w:p>
      <w:pPr>
        <w:spacing w:after="0" w:line="175"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72"/>
          </w:cols>
          <w:pgMar w:left="688" w:top="642" w:right="1440" w:bottom="1440" w:gutter="0" w:footer="0" w:header="0"/>
        </w:sectPr>
      </w:pPr>
    </w:p>
    <w:bookmarkStart w:id="143" w:name="page144"/>
    <w:bookmarkEnd w:id="143"/>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817" w:right="1440" w:bottom="1440" w:gutter="0" w:footer="0" w:header="0"/>
        </w:sectPr>
      </w:pPr>
    </w:p>
    <w:bookmarkStart w:id="144" w:name="page145"/>
    <w:bookmarkEnd w:id="144"/>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2" w:right="1440" w:bottom="1440" w:gutter="0" w:footer="0" w:header="0"/>
        </w:sectPr>
      </w:pPr>
    </w:p>
    <w:bookmarkStart w:id="145" w:name="page146"/>
    <w:bookmarkEnd w:id="145"/>
    <w:p>
      <w:pPr>
        <w:jc w:val="center"/>
        <w:ind w:right="305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PURCHASE OF PHASE II PRODUCT TERMS AND CONDITIONS</w:t>
      </w:r>
    </w:p>
    <w:p>
      <w:pPr>
        <w:spacing w:after="0" w:line="180" w:lineRule="exact"/>
        <w:rPr>
          <w:sz w:val="20"/>
          <w:szCs w:val="20"/>
          <w:color w:val="auto"/>
        </w:rPr>
      </w:pPr>
    </w:p>
    <w:p>
      <w:pPr>
        <w:ind w:right="3599" w:firstLine="909"/>
        <w:spacing w:after="0" w:line="247" w:lineRule="auto"/>
        <w:rPr>
          <w:sz w:val="20"/>
          <w:szCs w:val="20"/>
          <w:color w:val="auto"/>
        </w:rPr>
      </w:pPr>
      <w:r>
        <w:rPr>
          <w:rFonts w:ascii="Courier New" w:cs="Courier New" w:eastAsia="Courier New" w:hAnsi="Courier New"/>
          <w:sz w:val="15"/>
          <w:szCs w:val="15"/>
          <w:color w:val="auto"/>
        </w:rPr>
        <w:t>The terms and conditions of the Phase II Purchase Agreement are attached hereto and shall be incorporated herein by reference.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2" w:right="1440" w:bottom="1440" w:gutter="0" w:footer="0" w:header="0"/>
        </w:sectPr>
      </w:pPr>
    </w:p>
    <w:bookmarkStart w:id="146" w:name="page147"/>
    <w:bookmarkEnd w:id="146"/>
    <w:p>
      <w:pPr>
        <w:ind w:left="2360"/>
        <w:spacing w:after="0"/>
        <w:rPr>
          <w:sz w:val="20"/>
          <w:szCs w:val="20"/>
          <w:color w:val="auto"/>
        </w:rPr>
      </w:pPr>
      <w:r>
        <w:rPr>
          <w:rFonts w:ascii="Courier New" w:cs="Courier New" w:eastAsia="Courier New" w:hAnsi="Courier New"/>
          <w:sz w:val="15"/>
          <w:szCs w:val="15"/>
          <w:color w:val="auto"/>
        </w:rPr>
        <w:t>PHASE II PURCHASE AGREEMENT</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448"/>
        <w:spacing w:after="0" w:line="247" w:lineRule="auto"/>
        <w:tabs>
          <w:tab w:leader="none" w:pos="818"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Covered by Agreement. This Agreement concerns the purchase and sale of the PHASE II PRODUCT (hereinafter called "Product"), manufactured to the Specifications.</w:t>
      </w:r>
    </w:p>
    <w:p>
      <w:pPr>
        <w:spacing w:after="0" w:line="174"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and Sale of Product. Subject to the terms and conditions of this Agreement, Seller will, to the extent properly and accurately forecasted and ordered by Buyer as provided in the next paragraph, use commercially reasonable efforts to supply the Products to Buyer and Buyer agrees to purchase ninety percent (90%) of Buyer's and its Affiliates ("Affiliate" means any company of which Buyer holds a greater than fifty percent (50%) ownership interest) requirements for an AC to AC flywheel-based UPS product for generator set applications. Seller understands that Buyer makes no guarantee as to the quantity of Product it will require, however, Buyer agrees that it will undertake the Phase II activities set forth on Exhibit A ("Phase II Activities").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Buyer's initial forecasted annual requirements will be attached hereto as Exhibit B as of the Effective Date of this Phase II Purchase Agreement. Buyer agrees to update the annual forecast on a (Four (4) quarters) quarterly basis. Such forecast of such requirements provided to Seller by Buyer shall be non-binding and Seller acknowledges that it shall not be entitled to and shall not rely on such forecasts/estimates as binding commitments unless they are expressly stated as such by Buyer in writing. Seller shall not be obligated to supply Buyer with more than one hundred fifty percent (150%) of the initial projection for a particular quarter, unless agreed to in writing. Buyer's forecasts and orders shall reflect its good-faith expectations of customer demand and Buyer shall act in a commercially reasonable manner to schedule orders to avoid creating production capacity problems for Seller.</w:t>
      </w:r>
    </w:p>
    <w:p>
      <w:pPr>
        <w:spacing w:after="0" w:line="182" w:lineRule="exact"/>
        <w:rPr>
          <w:sz w:val="20"/>
          <w:szCs w:val="20"/>
          <w:color w:val="auto"/>
        </w:rPr>
      </w:pPr>
    </w:p>
    <w:p>
      <w:pPr>
        <w:ind w:right="2959" w:firstLine="448"/>
        <w:spacing w:after="0" w:line="246" w:lineRule="auto"/>
        <w:tabs>
          <w:tab w:leader="none" w:pos="81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Caterpillar Rights. For a period of five years from the Effective Date of this Phase II Purchase Agreement, and provided this Phase II Purchase Agreement has not been terminated, ACTIVE POWER agrees not to license any PROGRAM INTELLECTUAL PROPERTY nor ACTIVE POWER's BACKGROUND INTELLECTUAL PROPERTY that is solely developed for a PHASE II PRODUCT, to any entity set forth in Exhibit C ("CATERPILLAR's Competitor List") that is manufacturing, selling, using, or distributing equipment or components therefor within CATERPILLAR's FIELD OF USE for the purposes of creating a product that is an AC to AC flywheel-based UPS system. Before the end of such five-year period, ACTIVE POWER will, at CATERPILLAR's option, discuss the possibility of a mutually agreeable extension of such FIELD OF USE exclusivity. During such five year period, if any, and provided this Agreement has not been terminated, ACTIVE POWER shall, at CATERPILLAR's option and provided that CATERPILLAR meets the Minimum Purchase Commitment as defined in Exhibit D, not sell PHASE II PRODUCTS, to any entity on CATERPILLAR's Competitor List that is within CATERPILLAR's FIELD OF USE. However, nothing contained in this Agreement, shall restrict ACTIVE POWER with respect to making, using, selling, marketing, licensing or exploiting its flywheel energy storage systems or technologies.</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during any six (6) month period (as measured from the Effective Date of this Agreement and every six (6) months thereafter), CATERPILLAR fails to meet the agreed to Minimum Purchase Commitment, and does not, within the immediately following six (6) month period or twelve (12) month period, make up the difference and also meet the Minimum Purchase Commitments for that 6 or 12 month period, then CATERPILLAR's exclusive rights shall be subject to renegotiation. If Buyer exceeds the Minimum Purchase Commitment during any six (6) month period, Buyer may carry such excess purchase(s) backwards and /or forward and may apply such excess purchase(s) to Minimum Purchase Commitment(s) during the immediately previous and/or subsequent six (6) month period(s). If ACTIVE POWER or CATERPILLAR is not satisfied with the results of such negotiation within thirty (30) days,</w:t>
      </w:r>
    </w:p>
    <w:p>
      <w:pPr>
        <w:spacing w:after="0" w:line="1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42" w:right="1440" w:bottom="1440" w:gutter="0" w:footer="0" w:header="0"/>
        </w:sectPr>
      </w:pPr>
    </w:p>
    <w:bookmarkStart w:id="147" w:name="page148"/>
    <w:bookmarkEnd w:id="147"/>
    <w:p>
      <w:pPr>
        <w:ind w:left="7" w:right="2959"/>
        <w:spacing w:after="0" w:line="247" w:lineRule="auto"/>
        <w:rPr>
          <w:sz w:val="20"/>
          <w:szCs w:val="20"/>
          <w:color w:val="auto"/>
        </w:rPr>
      </w:pPr>
      <w:r>
        <w:rPr>
          <w:rFonts w:ascii="Courier New" w:cs="Courier New" w:eastAsia="Courier New" w:hAnsi="Courier New"/>
          <w:sz w:val="15"/>
          <w:szCs w:val="15"/>
          <w:color w:val="auto"/>
        </w:rPr>
        <w:t>then the exclusive rights set forth in this Agreement shall become non-exclusive and the restrictions set forth in the above paragraph shall terminate.</w:t>
      </w:r>
    </w:p>
    <w:p>
      <w:pPr>
        <w:spacing w:after="0" w:line="175" w:lineRule="exact"/>
        <w:rPr>
          <w:sz w:val="20"/>
          <w:szCs w:val="20"/>
          <w:color w:val="auto"/>
        </w:rPr>
      </w:pPr>
    </w:p>
    <w:p>
      <w:pPr>
        <w:ind w:left="7" w:right="2959" w:firstLine="448"/>
        <w:spacing w:after="0" w:line="246" w:lineRule="auto"/>
        <w:tabs>
          <w:tab w:leader="none" w:pos="825"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Containment. Both Seller and Buyer are committed to controlling and reducing costs, and both recognize that effective cost control is of the essence to this Agreement, While this Agreement is in effect, Seller will maintain a cost control and reduction program with respect to Product, and will review costs on a regular basis for progress toward the objective of maintaining or reducing Seller's prices to Buyer. A constant interaction between Buyer's and Seller's engineering personnel is essential. All documented mutually agreed cost savings, through the efforts of Buyer or Seller, will be shared on a 50-50 basis. Any cost savings gained without the efforts of Buyer and not mutually agreed to in writing will be owned by Seller. Any cost increases must be documented and approved by Buyer.</w:t>
      </w:r>
    </w:p>
    <w:p>
      <w:pPr>
        <w:spacing w:after="0" w:line="181"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Prices. The OEM Prices and volume earned discounts are as shown in Exhibit E. [****] Seller and Buyer agree to renegotiate prices and discounts as necessary or appropriate to respond to market conditions. After eighteen months from the Effective date of this Agreement, Exhibit E may be modified from time to time upon sixty (60) days written notice from the Seller; provided, however, that Buyer may terminate this Agreement within thirty (30) days after receipt of notice of such price increase if such increase is unacceptable to Buyer. Seller agrees and acknowledges that should such prices exceed the lowest Product prices provided to any other customer of Seller purchasing Product at similar (or reduced) volume levels and making only similar or reduced commitments (including, but not limited to time commitments), such prices to Buyer shall be automatically adjusted to reflect any lower pricing provided to such other customers.</w:t>
      </w:r>
    </w:p>
    <w:p>
      <w:pPr>
        <w:spacing w:after="0" w:line="182" w:lineRule="exact"/>
        <w:rPr>
          <w:rFonts w:ascii="Courier New" w:cs="Courier New" w:eastAsia="Courier New" w:hAnsi="Courier New"/>
          <w:sz w:val="15"/>
          <w:szCs w:val="15"/>
          <w:color w:val="auto"/>
        </w:rPr>
      </w:pPr>
    </w:p>
    <w:p>
      <w:pPr>
        <w:ind w:left="827" w:hanging="372"/>
        <w:spacing w:after="0"/>
        <w:tabs>
          <w:tab w:leader="none" w:pos="827"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Training and Support.</w:t>
      </w:r>
    </w:p>
    <w:p>
      <w:pPr>
        <w:spacing w:after="0" w:line="179"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2"/>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provide sufficient warranty support for the Product, Buyer's service training personnel will successfully complete Seller's certified training course in order to become competent to a level equivalent to Seller's certified service technicians. Seller shall provide such training for up to five</w:t>
      </w:r>
    </w:p>
    <w:p>
      <w:pPr>
        <w:spacing w:after="0" w:line="2"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classes and for a maximum of ten (10) students per class. Such</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training shall be given at Seller's facilities free of charge for the first five scheduled classes of the term of this Agreement and at Seller's published prices for any remaining training. Buyer shall be responsible for its own travel expenses as incurred for such training at Seller's facilities.</w:t>
      </w:r>
    </w:p>
    <w:p>
      <w:pPr>
        <w:spacing w:after="0" w:line="177" w:lineRule="exact"/>
        <w:rPr>
          <w:rFonts w:ascii="Courier New" w:cs="Courier New" w:eastAsia="Courier New" w:hAnsi="Courier New"/>
          <w:sz w:val="15"/>
          <w:szCs w:val="15"/>
          <w:color w:val="auto"/>
        </w:rPr>
      </w:pPr>
    </w:p>
    <w:p>
      <w:pPr>
        <w:jc w:val="both"/>
        <w:ind w:left="7" w:right="3499" w:firstLine="811"/>
        <w:spacing w:after="0" w:line="247" w:lineRule="auto"/>
        <w:tabs>
          <w:tab w:leader="none" w:pos="1097" w:val="left"/>
        </w:tabs>
        <w:numPr>
          <w:ilvl w:val="2"/>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provide sales and marketing support to Buyer's key dealers, as requested and identified by Buyer and agreed to by the Seller.</w:t>
      </w:r>
    </w:p>
    <w:p>
      <w:pPr>
        <w:spacing w:after="0" w:line="174" w:lineRule="exact"/>
        <w:rPr>
          <w:rFonts w:ascii="Courier New" w:cs="Courier New" w:eastAsia="Courier New" w:hAnsi="Courier New"/>
          <w:sz w:val="15"/>
          <w:szCs w:val="15"/>
          <w:color w:val="auto"/>
        </w:rPr>
      </w:pPr>
    </w:p>
    <w:p>
      <w:pPr>
        <w:ind w:left="7" w:right="3139" w:firstLine="448"/>
        <w:spacing w:after="0" w:line="246" w:lineRule="auto"/>
        <w:tabs>
          <w:tab w:leader="none" w:pos="825"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initial term of this Agreement shall be Five (5) years, commencing as of January 1, 2000 (the "Effective Date"). This Agreement shall automatically be extended for additional terms of six (6) months each unless either party gives written notice to terminate at least three (3) months prior to the end of the initial term or any additional term, or unless otherwise terminated pursuant to the provisions hereof.</w:t>
      </w:r>
    </w:p>
    <w:p>
      <w:pPr>
        <w:spacing w:after="0" w:line="178" w:lineRule="exact"/>
        <w:rPr>
          <w:rFonts w:ascii="Courier New" w:cs="Courier New" w:eastAsia="Courier New" w:hAnsi="Courier New"/>
          <w:sz w:val="15"/>
          <w:szCs w:val="15"/>
          <w:color w:val="auto"/>
        </w:rPr>
      </w:pPr>
    </w:p>
    <w:p>
      <w:pPr>
        <w:ind w:left="827" w:hanging="372"/>
        <w:spacing w:after="0"/>
        <w:tabs>
          <w:tab w:leader="none" w:pos="82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w:t>
      </w:r>
    </w:p>
    <w:p>
      <w:pPr>
        <w:spacing w:after="0" w:line="179" w:lineRule="exact"/>
        <w:rPr>
          <w:rFonts w:ascii="Courier New" w:cs="Courier New" w:eastAsia="Courier New" w:hAnsi="Courier New"/>
          <w:sz w:val="15"/>
          <w:szCs w:val="15"/>
          <w:color w:val="auto"/>
        </w:rPr>
      </w:pPr>
    </w:p>
    <w:p>
      <w:pPr>
        <w:ind w:left="1087" w:hanging="269"/>
        <w:spacing w:after="0"/>
        <w:tabs>
          <w:tab w:leader="none" w:pos="1087" w:val="left"/>
        </w:tabs>
        <w:numPr>
          <w:ilvl w:val="2"/>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warrants that each Product shall be in conformity with</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Specifications and shall be free from defects in material and workmanship. In addition, any hardware, software or firmware provided by Seller to Buyer is warranted to accurately process properly formatted date/time data (including, but not limited to, calculating, comparing, and sequencing) from, into, and between the twentieth and twenty-first centuries, and the years 1999 and 2000 and leap year calculations to the extent</w:t>
      </w:r>
    </w:p>
    <w:p>
      <w:pPr>
        <w:spacing w:after="0" w:line="178"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B-2</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26"/>
          </w:cols>
          <w:pgMar w:left="233" w:top="643" w:right="1440" w:bottom="1440" w:gutter="0" w:footer="0" w:header="0"/>
        </w:sectPr>
      </w:pPr>
    </w:p>
    <w:bookmarkStart w:id="148" w:name="page149"/>
    <w:bookmarkEnd w:id="148"/>
    <w:p>
      <w:pPr>
        <w:ind w:right="2959"/>
        <w:spacing w:after="0" w:line="247" w:lineRule="auto"/>
        <w:rPr>
          <w:sz w:val="20"/>
          <w:szCs w:val="20"/>
          <w:color w:val="auto"/>
        </w:rPr>
      </w:pPr>
      <w:r>
        <w:rPr>
          <w:rFonts w:ascii="Courier New" w:cs="Courier New" w:eastAsia="Courier New" w:hAnsi="Courier New"/>
          <w:sz w:val="15"/>
          <w:szCs w:val="15"/>
          <w:color w:val="auto"/>
        </w:rPr>
        <w:t>that other hardware, software or firmware used in combination with the hardware, software or firmware being provided by Seller, properly exchanges properly formatted date/time data with it.</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b. Except as provided below, Seller will provide Buyer with the same warranty, under the same terms and conditions (including without limitation, disclaimers), as Buyer provides to its customers procuring electric power generation products (as attached as Exhibit G); provided, however, that Seller's warranty to Buyer shall be for a one year period from the date of delivery to the end-user, notwithstanding any longer warranty period in Buyer's warranty. If Buyer performs travel labor (up to four hours), Seller shall reimburse such documented, customary and reasonable expenses incurred by Buyer on behalf of the Product provided such labor is performed by an employee of Buyer or one of its dealers that has been competently trained with respect to the Product. A quarterly written statement of Buyer's actual costs for providing warranty services to its customers, including notice of specific Product failures, and summary information on the causes of such failure, will be sent by Buyer to Seller.</w:t>
      </w:r>
    </w:p>
    <w:p>
      <w:pPr>
        <w:spacing w:after="0" w:line="183"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c. Within twelve (12) months from the Effective Date of this Agreement, Buyer shall inventory and maintain appropriate spares to provide its standard level of service.</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d. Claims for Buyer's "Product Improvement Programs" (PIP), "Product Support Programs" (PSP), "Extended Warranty" and other policy actions are to be negotiated on a case-by-case basis by both parties and documented in writing as signed by both parties. Participation in these programs will be based on an amount mutually agreed to by Seller and Buyer.</w:t>
      </w:r>
    </w:p>
    <w:p>
      <w:pPr>
        <w:spacing w:after="0" w:line="178"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FOREGOING WARRANTIES SHALL BE SELLER'S SOLE LIABILITY WITH REGARD TO THE PRODUCTS.</w:t>
      </w:r>
    </w:p>
    <w:p>
      <w:pPr>
        <w:spacing w:after="0" w:line="175" w:lineRule="exact"/>
        <w:rPr>
          <w:sz w:val="20"/>
          <w:szCs w:val="20"/>
          <w:color w:val="auto"/>
        </w:rPr>
      </w:pPr>
    </w:p>
    <w:p>
      <w:pPr>
        <w:ind w:right="2959" w:firstLine="448"/>
        <w:spacing w:after="0" w:line="246" w:lineRule="auto"/>
        <w:tabs>
          <w:tab w:leader="none" w:pos="818"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Except to the extent covered by the indemnity from Buyer below, Seller agrees to indemnify, defend, and hold Buyer harmless against and from all claims, demands, liabilities, loss, damage, cost, and expense, of whatsoever nature paid to a third party or incurred in the defense (i) arising from a claim that the Product infringes an intellectual property right of a third party or (ii) arising from the injury or death of any person or loss or damage to property directly due to, any defect of design, material, or workmanship of Product or failure of Product to conform with the Specifications, provided Seller is promptly notified of any and all such threats, claims or proceedings related thereto and given reasonable assistance and the opportunity to assume sole control over defense and settlement; Seller shall not be responsible for any settlement it does not approve of in writing. The indemnity provided in this Section shall be Buyer's sole and exclusive remedy for any claim of infringement related to the Product. Buyer agrees to indemnify, defend, and hold Seller harmless against and from all claims, demands, liabilities, loss, damage, cost, and expense, of whatsoever nature paid to a third party or incurred in the defense of a claim arising on account of Buyer's (i) misrepresentation of the Product or providing unauthorized representations or warranties to its customers, (ii) modifications to the Product or (iii) negligence or other fault of products or services of Buyer.</w:t>
      </w:r>
    </w:p>
    <w:p>
      <w:pPr>
        <w:spacing w:after="0" w:line="186"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Restrictions. SELLER MAKES NO WARRANTY OR REPRESENTATION WITH RESPECT TO, (a) determining whether the Product will achieve the results desired by Buyer or any third person, (b) selecting, procuring, installing, operating and maintaining complementary equipment to insure correct operation of the Product, and (c) ensuring the accuracy of any configuration design or implementation that utilizes the Product. In the event of any alteration or attachment to the Product not authorized by Seller, Seller shall have no liability or responsibility to Buyer for: (a) any hardware, software, equipment, or services provided by any persons other than Seller; (b) the proper functioning of the Product if the alteration or attachment is the cause of the malfunction; or (c) damage caused by any alteration or attachment to the Product.</w:t>
      </w:r>
    </w:p>
    <w:p>
      <w:pPr>
        <w:spacing w:after="0" w:line="1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42" w:right="1440" w:bottom="1440" w:gutter="0" w:footer="0" w:header="0"/>
        </w:sectPr>
      </w:pPr>
    </w:p>
    <w:bookmarkStart w:id="149" w:name="page150"/>
    <w:bookmarkEnd w:id="149"/>
    <w:p>
      <w:pPr>
        <w:ind w:right="2959" w:firstLine="448"/>
        <w:spacing w:after="0" w:line="246" w:lineRule="auto"/>
        <w:tabs>
          <w:tab w:leader="none" w:pos="909"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Seller agrees to keep in full force and effect, at its sole expense, during the term of this Agreement and for a period of ten (10) years thereafter, at least the insurance coverage described below with insurance companies acceptable to Buyer. The limits set forth are minimum limits and shall not be construed to limit Seller's liability. All cost and deductible amounts shall be for the sole account of Seller. All policies required by Buyer pursuant to this Agreement shall name Buyer as an additional insured (per ISO Endorsement #CG 2026 or its equivalent) and waive subrogation rights in favor of Caterpillar. All policies required shall also be designated as primary coverage to any similar coverage carried by Caterpillar.</w:t>
      </w:r>
    </w:p>
    <w:p>
      <w:pPr>
        <w:spacing w:after="0" w:line="181"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Seller shall not provide Product hereunder until all insurance as required hereunder has been obtained, and certificates have been submitted to and accepted by Buyer.</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required coverage shall be: Commercial General Liability Insurance (Occurrence Coverage) including products, completed operations, contractual liability coverage of indemnities contained in this contract, with a minimum combined single limit of liability of $5,000,000 for each occurrence for bodily injury and property damage. Such policy shall contain provisions that provide at least thirty (30) days prior written notice of any cancellation, non-renewal, or reduction in coverage to Buyer. Seller shall deliver Certificates of Insurance in a form satisfactory to Buyer evidencing the existence of such policy.</w:t>
      </w:r>
    </w:p>
    <w:p>
      <w:pPr>
        <w:spacing w:after="0" w:line="349" w:lineRule="exact"/>
        <w:rPr>
          <w:sz w:val="20"/>
          <w:szCs w:val="20"/>
          <w:color w:val="auto"/>
        </w:rPr>
      </w:pPr>
    </w:p>
    <w:p>
      <w:pPr>
        <w:ind w:right="2959" w:firstLine="448"/>
        <w:spacing w:after="0" w:line="247" w:lineRule="auto"/>
        <w:tabs>
          <w:tab w:leader="none" w:pos="909"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Buyer. Buyer may terminate this Agreement at any time, in the event:</w:t>
      </w:r>
    </w:p>
    <w:p>
      <w:pPr>
        <w:spacing w:after="0" w:line="174" w:lineRule="exact"/>
        <w:rPr>
          <w:rFonts w:ascii="Courier New" w:cs="Courier New" w:eastAsia="Courier New" w:hAnsi="Courier New"/>
          <w:sz w:val="15"/>
          <w:szCs w:val="15"/>
          <w:color w:val="auto"/>
        </w:rPr>
      </w:pPr>
    </w:p>
    <w:p>
      <w:pPr>
        <w:ind w:right="3039" w:firstLine="811"/>
        <w:spacing w:after="0" w:line="246" w:lineRule="auto"/>
        <w:tabs>
          <w:tab w:leader="none" w:pos="1091"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 Products consistently and materially fail to meet the Specifications as defined herein or as hereafter agreed to by Buyer and Seller, or fails to achieve status as a Caterpillar certified supplier within twenty-four (24) months of the Effective Date of this Agreement.</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 Seller is substantially and continuously failing to meet Buyer's Firm Orders with respect to mutually agreed shipment dates. Seller shall provide to Buyer a written schedule of Seller's standard lead times for delivery of Products from the date Orders are accepted by Seller. Such schedule for lead times shall be updated by Seller on a regular basis to reflect any modifications thereto.</w:t>
      </w:r>
    </w:p>
    <w:p>
      <w:pPr>
        <w:spacing w:after="0" w:line="178" w:lineRule="exact"/>
        <w:rPr>
          <w:rFonts w:ascii="Courier New" w:cs="Courier New" w:eastAsia="Courier New" w:hAnsi="Courier New"/>
          <w:sz w:val="15"/>
          <w:szCs w:val="15"/>
          <w:color w:val="auto"/>
        </w:rPr>
      </w:pPr>
    </w:p>
    <w:p>
      <w:pPr>
        <w:ind w:right="2959" w:firstLine="811"/>
        <w:spacing w:after="0" w:line="247" w:lineRule="auto"/>
        <w:tabs>
          <w:tab w:leader="none" w:pos="1091"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Competitiveness - Seller fails to be responsive to the market place or fails to remain competitive on a world-wide basis with other manufacturers of comparable parts in terms of price.</w:t>
      </w:r>
    </w:p>
    <w:p>
      <w:pPr>
        <w:spacing w:after="0" w:line="174" w:lineRule="exact"/>
        <w:rPr>
          <w:rFonts w:ascii="Courier New" w:cs="Courier New" w:eastAsia="Courier New" w:hAnsi="Courier New"/>
          <w:sz w:val="15"/>
          <w:szCs w:val="15"/>
          <w:color w:val="auto"/>
        </w:rPr>
      </w:pPr>
    </w:p>
    <w:p>
      <w:pPr>
        <w:ind w:right="3499" w:firstLine="811"/>
        <w:spacing w:after="0" w:line="247" w:lineRule="auto"/>
        <w:tabs>
          <w:tab w:leader="none" w:pos="1091"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Generally - Material default by Seller in any material obligation hereunder owed by Seller to Buyer.</w:t>
      </w:r>
    </w:p>
    <w:p>
      <w:pPr>
        <w:spacing w:after="0" w:line="175"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Notwithstanding the above, Buyer may terminate pursuant to Subsections (a), (b), (c) or (d) above only if Seller has failed to cure such default within sixty (60) days after written notice thereof has been received by Seller.</w:t>
      </w:r>
    </w:p>
    <w:p>
      <w:pPr>
        <w:spacing w:after="0" w:line="174" w:lineRule="exact"/>
        <w:rPr>
          <w:sz w:val="20"/>
          <w:szCs w:val="20"/>
          <w:color w:val="auto"/>
        </w:rPr>
      </w:pPr>
    </w:p>
    <w:p>
      <w:pPr>
        <w:jc w:val="both"/>
        <w:ind w:right="3039" w:firstLine="448"/>
        <w:spacing w:after="0" w:line="246" w:lineRule="auto"/>
        <w:tabs>
          <w:tab w:leader="none" w:pos="909"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Seller. Seller may terminate this Agreement at any time in the event Buyer breaches the Agreement and fails to cure such breach within sixty (60) (or ten days in the case of non-payment) after written notice thereof has been received by Buyer.</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As between the parties, Seller shall own all right, title and interest in and to the Product except as otherwise provided in the "Phase II Development and Phase III Feasibility Study Agreement.". In the event that this Agreement is terminated by Buyer pursuant to Section 12(b) and only while Buyer remains in full compliance with the provisions of this Agreement prior to termination and</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642" w:right="1440" w:bottom="1440" w:gutter="0" w:footer="0" w:header="0"/>
        </w:sectPr>
      </w:pPr>
    </w:p>
    <w:bookmarkStart w:id="150" w:name="page151"/>
    <w:bookmarkEnd w:id="150"/>
    <w:p>
      <w:pPr>
        <w:ind w:right="2959" w:firstLine="91"/>
        <w:spacing w:after="0" w:line="246" w:lineRule="auto"/>
        <w:rPr>
          <w:sz w:val="20"/>
          <w:szCs w:val="20"/>
          <w:color w:val="auto"/>
        </w:rPr>
      </w:pPr>
      <w:r>
        <w:rPr>
          <w:rFonts w:ascii="Courier New" w:cs="Courier New" w:eastAsia="Courier New" w:hAnsi="Courier New"/>
          <w:sz w:val="15"/>
          <w:szCs w:val="15"/>
          <w:color w:val="auto"/>
        </w:rPr>
        <w:t>following termination as such surviving provisions shall apply, Seller hereby grants to Buyer, effective as of such termination date, a nonexclusive, worldwide, royalty bearing license (including the right to sublicense to Buyer's Affiliates) to make, have made, use and/or sell Product. The foregoing license shall only be effective for the 18 months beginning with the date of termination and Buyer shall pay a royalty of one thousand two hundred fifty dollars ($1,250) per delivered megajoule per published rating by Seller for each Product.</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Each of Buyer and Seller grant to the other party an irrevocable, perpetual, nonexclusive, worldwide, royalty free license (including the right to sublicense to such other party's Affiliates) to make, have made, use, sell and otherwise exploit during the term of this Agreement any modifications, improvements, inventions, know how, ideas or suggestions made with respect to the other party's Confidential Information by such party's employees who have had access to such Confidential Information. If something ceases to be considered Confidential Information, licenses granted with respect thereto while such information was deemed Confidential Information will be unaffected.</w:t>
      </w:r>
    </w:p>
    <w:p>
      <w:pPr>
        <w:spacing w:after="0" w:line="180" w:lineRule="exact"/>
        <w:rPr>
          <w:sz w:val="20"/>
          <w:szCs w:val="20"/>
          <w:color w:val="auto"/>
        </w:rPr>
      </w:pPr>
    </w:p>
    <w:p>
      <w:pPr>
        <w:ind w:right="2959" w:firstLine="448"/>
        <w:spacing w:after="0" w:line="246" w:lineRule="auto"/>
        <w:tabs>
          <w:tab w:leader="none" w:pos="909"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Parts Support. During the term of this Agreement or following any termination hereof, other than termination by Seller due to a breach by Buyer, Seller shall provide, or at its option cause to be provided, such quantities of parts to Buyer as Buyer may request from time to time for a period of five (5) years from the date of the last customer shipment made by Seller under this Agreement of the applicable Product release, at a price not to exceed Seller's then-current prices provided to other customers under similar terms and conditions, provided such parts are reasonably and commercially available to Seller. If for any reason Seller is unable to provide parts to Buyer pursuant to its obligations under this section 14, Seller grants to Buyer a nonexclusive, perpetual, worldwide royalty bearing license to make, have made, use and/or sell such parts utilizing Seller's proprietary designs. The foregoing license is subject to a royalty of 6% of the applicable price set forth in Seller's most current Catalog Spares Pricing list.</w:t>
      </w:r>
    </w:p>
    <w:p>
      <w:pPr>
        <w:spacing w:after="0" w:line="183" w:lineRule="exact"/>
        <w:rPr>
          <w:rFonts w:ascii="Courier New" w:cs="Courier New" w:eastAsia="Courier New" w:hAnsi="Courier New"/>
          <w:sz w:val="15"/>
          <w:szCs w:val="15"/>
          <w:color w:val="auto"/>
        </w:rPr>
      </w:pPr>
    </w:p>
    <w:p>
      <w:pPr>
        <w:ind w:right="3039" w:firstLine="448"/>
        <w:spacing w:after="0" w:line="246" w:lineRule="auto"/>
        <w:tabs>
          <w:tab w:leader="none" w:pos="909"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Other Supply Sources. Nothing in this Agreement shall prevent Buyer from seeking other sources for alternatives to the Product to the extent Seller's production capacity continuously and substantially fails to meet Buyer's Firm Orders.</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Ownership and Control. During the life of this Agreement, if there is a change in the ownership and control of either party, the other party shall have the option of terminating this Agreement immediately by giving written notice thereof within ten days of being notified of the occurrence of such change of control; provided that if a party provides advance notice of a bona fide proposed change of control (including the identity of the principal owners after such change of control occurs) the other party will within ten days provide written notification to the first party as to whether it will exercise such termination right if the change of control occurs. For purposes of this Section 17, a change in the ownership and control of either Buyer or Seller or a parent company of either party shall be deemed to have occurred if and only if and when any one or more persons (excluding existing investors) acting in concert individually or jointly is or becomes a beneficial owner, directly or indirectly, of securities representing more than fifty percent (50%) of the combined voting power of all then outstanding securities of Seller or Buyer or the parent company of either party.</w:t>
      </w:r>
    </w:p>
    <w:p>
      <w:pPr>
        <w:spacing w:after="0" w:line="184"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Shipping Instructions/Terms and Conditions. Orders will be placed under Buyer's blanket purchase order(s). This agreement shall supersede Buyers standard purchase order terms (other than the terms under the following sections: "Work on Buyer's Premises" and "Property Furnished to Seller by Buyer", which terms shall be deemed to be incorporated herein by reference and made a part hereof) or any terms stated in any acknowledgment forms or other forms utilized by Seller or Buyer. Such orders shall specify the quantity, part number and description, unit price, requested ship date, destination, and Buyer's freight carrier and account number with the carrier. Orders shall be subject to acceptance by Seller ("Firm Orders"). No modification to this Agreement will be stated on an order. All</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643" w:right="1440" w:bottom="1440" w:gutter="0" w:footer="0" w:header="0"/>
        </w:sectPr>
      </w:pPr>
    </w:p>
    <w:bookmarkStart w:id="151" w:name="page152"/>
    <w:bookmarkEnd w:id="151"/>
    <w:p>
      <w:pPr>
        <w:ind w:right="2959"/>
        <w:spacing w:after="0" w:line="246" w:lineRule="auto"/>
        <w:rPr>
          <w:sz w:val="20"/>
          <w:szCs w:val="20"/>
          <w:color w:val="auto"/>
        </w:rPr>
      </w:pPr>
      <w:r>
        <w:rPr>
          <w:rFonts w:ascii="Courier New" w:cs="Courier New" w:eastAsia="Courier New" w:hAnsi="Courier New"/>
          <w:sz w:val="15"/>
          <w:szCs w:val="15"/>
          <w:color w:val="auto"/>
        </w:rPr>
        <w:t>Products shall be shipped F.O.B. Seller's facility in Austin, Texas. Title and risk of loss to Product shall pass to Buyer upon delivery to the carrier at the F.O.B. point. Buyer shall designate a carrier. Any special freight charges shall be Seller's responsibility if necessary to meet not more than 115% of Buyer's projected quarterly requirements.</w:t>
      </w:r>
    </w:p>
    <w:p>
      <w:pPr>
        <w:spacing w:after="0" w:line="178" w:lineRule="exact"/>
        <w:rPr>
          <w:sz w:val="20"/>
          <w:szCs w:val="20"/>
          <w:color w:val="auto"/>
        </w:rPr>
      </w:pPr>
    </w:p>
    <w:p>
      <w:pPr>
        <w:ind w:right="3039" w:firstLine="448"/>
        <w:spacing w:after="0" w:line="246" w:lineRule="auto"/>
        <w:tabs>
          <w:tab w:leader="none" w:pos="90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Product is subject to Buyer's inspection, testing and approval. Buyer, at its option, may reject or refuse to accept any Product which does not meet the requirements of the warranty set forth herein. Buyer's right to reject shall expire one (1) year after the date of shipment. Prior to returning any Product, Buyer shall notify Seller of its intent to reject, and Seller may within thirty (30) days correct any such defect. Items rejected by Buyer will be returned to Seller at Seller's expense, and Seller agrees to refund to Buyer any payments (including but not limited to shipment expense) made by Buyer for such Product. Payment by Buyer for any Product shall not be deemed an acceptance thereof. Acceptance of any Product shall not relieve Seller from any of its obligations, representations or warranties hereunder or with respect thereto.</w:t>
      </w:r>
    </w:p>
    <w:p>
      <w:pPr>
        <w:spacing w:after="0" w:line="182"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and Payments. Prices set forth in Exhibit E do not include installation, freight and handling charges, or applicable taxes, and Buyer shall be responsible for all such charges and taxes with respect to the Products and the shipment thereof. All payments shall be made by Buyer in accordance with the terms of Buyer's then-current standard settlement schedule. All payments due hereunder shall be paid to Seller in United States dollars in the United States. Unless Buyer furnishes a proper exemption certificate, Buyer shall be charged for all taxes, however, designated, levied or based on this Agreement or the Product.</w:t>
      </w:r>
    </w:p>
    <w:p>
      <w:pPr>
        <w:spacing w:after="0" w:line="180"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 Neither Buyer nor Seller shall be liable for any delay in or failure of performance of their respective obligations hereunder if such performance is rendered impossible or impracticable by reason of fire, explosion, earthquake, accident, breakdown, strike, drought, embargo, war, riot, act of God or public enemy, an act of governmental authority, agency or entity, shortage of raw materials, or other contingency, delay, failure or cause, beyond the reasonable control of the party whose performance is affected, irrespective of whether such contingency is specified herein or is presently occurring or anticipated by either party. Upon the occurrence of any event covered by this provision, Seller and Buyer shall make every effort to continue to maintain as much as possible the supplier-customer relationship established under this Agreement. However, in the event Buyer or Seller is unable to meet its obligations hereunder because of the conditions described above and such inability continued for a period of two (2) months, the other party shall have the right to terminate this Agreement upon thirty (30) days prior written notice.</w:t>
      </w:r>
    </w:p>
    <w:p>
      <w:pPr>
        <w:spacing w:after="0" w:line="184" w:lineRule="exact"/>
        <w:rPr>
          <w:rFonts w:ascii="Courier New" w:cs="Courier New" w:eastAsia="Courier New" w:hAnsi="Courier New"/>
          <w:sz w:val="15"/>
          <w:szCs w:val="15"/>
          <w:color w:val="auto"/>
        </w:rPr>
      </w:pPr>
    </w:p>
    <w:p>
      <w:pPr>
        <w:ind w:right="3139" w:firstLine="448"/>
        <w:spacing w:after="0" w:line="246" w:lineRule="auto"/>
        <w:tabs>
          <w:tab w:leader="none" w:pos="90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Assignment/Applicable Law. Except to an entity that acquires all or substantially all the business or assets of a party, this Agreement is not assignable by either party without the written consent of the other party and will be governed by and construed in accordance with the laws of the State of New York without regard to the conflict of laws provisions thereof.</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Exhibits hereto constitute the entire agreement and understanding between the parties with respect to the subject matters herein and therein, and supersede and replace any prior agreements and understandings whether oral or written, between them with respect to such matters. Without limiting the generality of the foregoing, it is understood that this Agreement supersedes and replaces the Phase II Purchase Agreement Terms and Conditions attached as Exhibit B to the Phase II Development and Phase III Feasibility Study Agreement dated as of January 22, 1999. Any additional or different terms of any related purchase order, confirmation, acknowledgment, shipping instruction form or similar form of Buyer or Seller even if signed by the parties after the date hereof, shall have no force or effect.</w:t>
      </w:r>
    </w:p>
    <w:p>
      <w:pPr>
        <w:spacing w:after="0" w:line="1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642" w:right="1440" w:bottom="1440" w:gutter="0" w:footer="0" w:header="0"/>
        </w:sectPr>
      </w:pPr>
    </w:p>
    <w:bookmarkStart w:id="152" w:name="page153"/>
    <w:bookmarkEnd w:id="152"/>
    <w:p>
      <w:pPr>
        <w:ind w:left="-448" w:right="2959" w:firstLine="448"/>
        <w:spacing w:after="0" w:line="246" w:lineRule="auto"/>
        <w:tabs>
          <w:tab w:leader="none" w:pos="46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The provisions of this Agreement may waived, altered, amended, or repealed in whole or in part upon the written consent of all parties to this Agreement The waiver by party of any breach of this Agreement shall not be deemed or construed as a waiver of any other breach, whether prior, subsequent or contemporaneous, of this Agreement.</w:t>
      </w:r>
    </w:p>
    <w:p>
      <w:pPr>
        <w:spacing w:after="0" w:line="177" w:lineRule="exact"/>
        <w:rPr>
          <w:rFonts w:ascii="Courier New" w:cs="Courier New" w:eastAsia="Courier New" w:hAnsi="Courier New"/>
          <w:sz w:val="15"/>
          <w:szCs w:val="15"/>
          <w:color w:val="auto"/>
        </w:rPr>
      </w:pPr>
    </w:p>
    <w:p>
      <w:pPr>
        <w:ind w:left="-448" w:right="2959" w:firstLine="448"/>
        <w:spacing w:after="0" w:line="246" w:lineRule="auto"/>
        <w:tabs>
          <w:tab w:leader="none" w:pos="46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Invalidation of any of the provisions contained herein, or the application of such invalidation of thereof to any person, by legislation, judgment or court order shall in no way affect any of the other provisions hereof or the application thereof to any other person, and the same shall remain in full force and effect, unless enforcement as so modified would be unreasonable or grossly inequitable under all the circumstances or would frustrate the purposes hereof.</w:t>
      </w:r>
    </w:p>
    <w:p>
      <w:pPr>
        <w:spacing w:after="0" w:line="179" w:lineRule="exact"/>
        <w:rPr>
          <w:rFonts w:ascii="Courier New" w:cs="Courier New" w:eastAsia="Courier New" w:hAnsi="Courier New"/>
          <w:sz w:val="15"/>
          <w:szCs w:val="15"/>
          <w:color w:val="auto"/>
        </w:rPr>
      </w:pPr>
    </w:p>
    <w:p>
      <w:pPr>
        <w:ind w:left="-448" w:right="2959" w:firstLine="448"/>
        <w:spacing w:after="0" w:line="247" w:lineRule="auto"/>
        <w:tabs>
          <w:tab w:leader="none" w:pos="46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Section headings contained herein are for ease of reference only and shall not be given substantive effect. This Agreement may be signed in one or more counterparts, each to be effective as an original.</w:t>
      </w:r>
    </w:p>
    <w:p>
      <w:pPr>
        <w:spacing w:after="0" w:line="174" w:lineRule="exact"/>
        <w:rPr>
          <w:rFonts w:ascii="Courier New" w:cs="Courier New" w:eastAsia="Courier New" w:hAnsi="Courier New"/>
          <w:sz w:val="15"/>
          <w:szCs w:val="15"/>
          <w:color w:val="auto"/>
        </w:rPr>
      </w:pPr>
    </w:p>
    <w:p>
      <w:pPr>
        <w:jc w:val="both"/>
        <w:ind w:left="-448" w:right="3139" w:firstLine="448"/>
        <w:spacing w:after="0" w:line="246" w:lineRule="auto"/>
        <w:tabs>
          <w:tab w:leader="none" w:pos="46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 NEITHER PARTY SHALL BE LIABLE FOR ANY SPECIAL, INCIDENTAL, INDIRECT OR CONSEQUENTIAL DAMAGES ARISING OUT OF THE SUBJECT MATTER OF THIS AGREEMENT, OR BUYER'S COST OF PROCUREMENT OF SUBSTITUTE GOODS OR SERVICES.</w:t>
      </w:r>
    </w:p>
    <w:p>
      <w:pPr>
        <w:spacing w:after="0" w:line="177" w:lineRule="exact"/>
        <w:rPr>
          <w:rFonts w:ascii="Courier New" w:cs="Courier New" w:eastAsia="Courier New" w:hAnsi="Courier New"/>
          <w:sz w:val="15"/>
          <w:szCs w:val="15"/>
          <w:color w:val="auto"/>
        </w:rPr>
      </w:pPr>
    </w:p>
    <w:p>
      <w:pPr>
        <w:ind w:left="452" w:hanging="452"/>
        <w:spacing w:after="0"/>
        <w:tabs>
          <w:tab w:leader="none" w:pos="452"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179" w:lineRule="exact"/>
        <w:rPr>
          <w:rFonts w:ascii="Courier New" w:cs="Courier New" w:eastAsia="Courier New" w:hAnsi="Courier New"/>
          <w:sz w:val="15"/>
          <w:szCs w:val="15"/>
          <w:color w:val="auto"/>
        </w:rPr>
      </w:pPr>
    </w:p>
    <w:p>
      <w:pPr>
        <w:ind w:left="-448" w:right="2959" w:firstLine="902"/>
        <w:spacing w:after="0" w:line="246" w:lineRule="auto"/>
        <w:tabs>
          <w:tab w:leader="none" w:pos="825"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work under this Agreement, a party ("TRANSMITTING PARTY") may deliver PROPRIETARY INFORMATION relating directly to the business or technology of the other party ("RECEIVING PARTY"). The RECEIVING PARTY may not use PROPRIETARY INFORMATION except as necessary to perform its obligations under this Agreement, will protect the confidentiality of the PROPRIETARY INFORMATION with at least the same degree of care as it protects its own confidential information and will not disclose any such PROPRIETARY INFORMATION, without the express written consent of the TRANSMITTING PARTY. "PROPRIETARY INFORMATION" includes any process, system, formula, pattern, model, device compilation, or information: (i) not known by the RECEIVING PARTY prior to this Agreement or known by the RECEIVING PARTY prior to this Agreement but having restriction on its use or disclosure; and (ii) not generally known by others (unless so know through some fault of the RECEIVING PARTY). PROPRIETARY INFORMATION does not include knowledge, skills or information which is generally known in Seller's or Buyer's trade or profession.</w:t>
      </w:r>
    </w:p>
    <w:p>
      <w:pPr>
        <w:spacing w:after="0" w:line="183" w:lineRule="exact"/>
        <w:rPr>
          <w:rFonts w:ascii="Courier New" w:cs="Courier New" w:eastAsia="Courier New" w:hAnsi="Courier New"/>
          <w:sz w:val="15"/>
          <w:szCs w:val="15"/>
          <w:color w:val="auto"/>
        </w:rPr>
      </w:pPr>
    </w:p>
    <w:p>
      <w:pPr>
        <w:ind w:left="-448" w:right="2959" w:firstLine="902"/>
        <w:spacing w:after="0" w:line="246" w:lineRule="auto"/>
        <w:tabs>
          <w:tab w:leader="none" w:pos="825"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agrees that it will neither (i) disclose to the other party or any of its employees information in confidence belonging to a third party; nor (ii) knowingly in the performance of the work hereunder produce anything that embodies information under confidential restriction, or is covered by a patent, patent application, copyright, trade secret, or other intellectual property right owned by a third party.</w:t>
      </w:r>
    </w:p>
    <w:p>
      <w:pPr>
        <w:spacing w:after="0" w:line="178" w:lineRule="exact"/>
        <w:rPr>
          <w:rFonts w:ascii="Courier New" w:cs="Courier New" w:eastAsia="Courier New" w:hAnsi="Courier New"/>
          <w:sz w:val="15"/>
          <w:szCs w:val="15"/>
          <w:color w:val="auto"/>
        </w:rPr>
      </w:pPr>
    </w:p>
    <w:p>
      <w:pPr>
        <w:ind w:left="-448" w:right="2959" w:firstLine="902"/>
        <w:spacing w:after="0" w:line="247" w:lineRule="auto"/>
        <w:tabs>
          <w:tab w:leader="none" w:pos="825"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be construed as preventing either party from independent development, provided that the PROPRIETARY INFORMATION is handled in accordance with paragraph 28(a).</w:t>
      </w:r>
    </w:p>
    <w:p>
      <w:pPr>
        <w:spacing w:after="0" w:line="174" w:lineRule="exact"/>
        <w:rPr>
          <w:rFonts w:ascii="Courier New" w:cs="Courier New" w:eastAsia="Courier New" w:hAnsi="Courier New"/>
          <w:sz w:val="15"/>
          <w:szCs w:val="15"/>
          <w:color w:val="auto"/>
        </w:rPr>
      </w:pPr>
    </w:p>
    <w:p>
      <w:pPr>
        <w:ind w:left="-448" w:right="2959" w:firstLine="902"/>
        <w:spacing w:after="0" w:line="246" w:lineRule="auto"/>
        <w:tabs>
          <w:tab w:leader="none" w:pos="825"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RECEIVING PARTY be required to disclose PROPRIETARY INFORMATION by governmental or judicial order, the RECEIVING PARTY will give the TRANSMITTING PARTY prompt notice of any such order and will comply with any protective order imposed on such disclosure.</w:t>
      </w:r>
    </w:p>
    <w:p>
      <w:pPr>
        <w:spacing w:after="0" w:line="177"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9772"/>
          </w:cols>
          <w:pgMar w:left="688" w:top="643" w:right="1440" w:bottom="1440" w:gutter="0" w:footer="0" w:header="0"/>
        </w:sectPr>
      </w:pPr>
    </w:p>
    <w:bookmarkStart w:id="153" w:name="page154"/>
    <w:bookmarkEnd w:id="153"/>
    <w:p>
      <w:pPr>
        <w:ind w:right="2959" w:firstLine="448"/>
        <w:spacing w:after="0" w:line="246" w:lineRule="auto"/>
        <w:tabs>
          <w:tab w:leader="none" w:pos="909"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Both parties represent that they have complied, and during the performance of this Agreement will continue to comply, with the provisions of all applicable laws and regulations from which liability may accrue to the other party for any violation thereof.</w:t>
      </w:r>
    </w:p>
    <w:p>
      <w:pPr>
        <w:spacing w:after="0" w:line="177" w:lineRule="exact"/>
        <w:rPr>
          <w:rFonts w:ascii="Courier New" w:cs="Courier New" w:eastAsia="Courier New" w:hAnsi="Courier New"/>
          <w:sz w:val="15"/>
          <w:szCs w:val="15"/>
          <w:color w:val="auto"/>
        </w:rPr>
      </w:pPr>
    </w:p>
    <w:p>
      <w:pPr>
        <w:jc w:val="both"/>
        <w:ind w:right="3219" w:firstLine="448"/>
        <w:spacing w:after="0" w:line="246" w:lineRule="auto"/>
        <w:tabs>
          <w:tab w:leader="none" w:pos="909"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Except with respect to potential investors and/or acquirers, the terms of this Agreement as well as its existence shall be kept confidential and not disclosed by either party without the express written consent of the other party.</w:t>
      </w:r>
    </w:p>
    <w:p>
      <w:pPr>
        <w:sectPr>
          <w:pgSz w:w="11900" w:h="16838" w:orient="portrait"/>
          <w:cols w:equalWidth="0" w:num="1">
            <w:col w:w="10219"/>
          </w:cols>
          <w:pgMar w:left="240" w:top="643" w:right="1440" w:bottom="1440" w:gutter="0" w:footer="0" w:header="0"/>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Caterpillar, Inc.</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ectPr>
          <w:pgSz w:w="11900" w:h="16838" w:orient="portrait"/>
          <w:cols w:equalWidth="0" w:num="2">
            <w:col w:w="2900" w:space="720"/>
            <w:col w:w="6599"/>
          </w:cols>
          <w:pgMar w:left="240" w:top="643"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tabs>
          <w:tab w:leader="none" w:pos="9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Title:</w:t>
      </w:r>
    </w:p>
    <w:p>
      <w:pPr>
        <w:spacing w:after="0" w:line="180" w:lineRule="exact"/>
        <w:rPr>
          <w:sz w:val="20"/>
          <w:szCs w:val="20"/>
          <w:color w:val="auto"/>
        </w:rPr>
      </w:pPr>
    </w:p>
    <w:p>
      <w:pPr>
        <w:sectPr>
          <w:pgSz w:w="11900" w:h="16838" w:orient="portrait"/>
          <w:cols w:equalWidth="0" w:num="2">
            <w:col w:w="2900" w:space="720"/>
            <w:col w:w="6599"/>
          </w:cols>
          <w:pgMar w:left="240" w:top="643" w:right="1440" w:bottom="1440" w:gutter="0" w:footer="0" w:header="0"/>
          <w:type w:val="continuous"/>
        </w:sectPr>
      </w:pPr>
    </w:p>
    <w:p>
      <w:pPr>
        <w:ind w:left="34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643" w:right="1440" w:bottom="1440" w:gutter="0" w:footer="0" w:header="0"/>
          <w:type w:val="continuous"/>
        </w:sectPr>
      </w:pPr>
    </w:p>
    <w:bookmarkStart w:id="154" w:name="page155"/>
    <w:bookmarkEnd w:id="154"/>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PHASE II MARKETING ACTIVITIES</w:t>
      </w:r>
    </w:p>
    <w:p>
      <w:pPr>
        <w:spacing w:after="0" w:line="354" w:lineRule="exact"/>
        <w:rPr>
          <w:sz w:val="20"/>
          <w:szCs w:val="20"/>
          <w:color w:val="auto"/>
        </w:rPr>
      </w:pPr>
    </w:p>
    <w:p>
      <w:pPr>
        <w:ind w:left="180" w:right="3039" w:hanging="176"/>
        <w:spacing w:after="0" w:line="246" w:lineRule="auto"/>
        <w:tabs>
          <w:tab w:leader="none" w:pos="271"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conduct a product launch with appropriate marketing subsidiaries and dealers.</w:t>
      </w:r>
    </w:p>
    <w:p>
      <w:pPr>
        <w:spacing w:after="0" w:line="1" w:lineRule="exact"/>
        <w:rPr>
          <w:sz w:val="20"/>
          <w:szCs w:val="20"/>
          <w:color w:val="auto"/>
        </w:rPr>
      </w:pPr>
    </w:p>
    <w:p>
      <w:pPr>
        <w:ind w:left="280" w:hanging="276"/>
        <w:spacing w:after="0"/>
        <w:tabs>
          <w:tab w:leader="none" w:pos="28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create appropriate sales binder for above training or launch.</w:t>
      </w:r>
    </w:p>
    <w:p>
      <w:pPr>
        <w:spacing w:after="0" w:line="5" w:lineRule="exact"/>
        <w:rPr>
          <w:sz w:val="20"/>
          <w:szCs w:val="20"/>
          <w:color w:val="auto"/>
        </w:rPr>
      </w:pPr>
    </w:p>
    <w:p>
      <w:pPr>
        <w:ind w:left="180" w:right="3039" w:hanging="176"/>
        <w:spacing w:after="0" w:line="246" w:lineRule="auto"/>
        <w:tabs>
          <w:tab w:leader="none" w:pos="271"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effect pricing and price list literature for the program for all appropriate worldwide marketing subsidiaries and dealers.</w:t>
      </w:r>
    </w:p>
    <w:p>
      <w:pPr>
        <w:spacing w:after="0" w:line="1" w:lineRule="exact"/>
        <w:rPr>
          <w:sz w:val="20"/>
          <w:szCs w:val="20"/>
          <w:color w:val="auto"/>
        </w:rPr>
      </w:pPr>
    </w:p>
    <w:p>
      <w:pPr>
        <w:ind w:left="280" w:hanging="276"/>
        <w:spacing w:after="0"/>
        <w:tabs>
          <w:tab w:leader="none" w:pos="28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announce product to dealers.</w:t>
      </w:r>
    </w:p>
    <w:p>
      <w:pPr>
        <w:spacing w:after="0" w:line="5" w:lineRule="exact"/>
        <w:rPr>
          <w:sz w:val="20"/>
          <w:szCs w:val="20"/>
          <w:color w:val="auto"/>
        </w:rPr>
      </w:pPr>
    </w:p>
    <w:p>
      <w:pPr>
        <w:ind w:left="280" w:hanging="276"/>
        <w:spacing w:after="0"/>
        <w:tabs>
          <w:tab w:leader="none" w:pos="28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effect a Caterpillar Product News announcement.</w:t>
      </w:r>
    </w:p>
    <w:p>
      <w:pPr>
        <w:spacing w:after="0" w:line="4"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create product brochures for product promotion.</w:t>
      </w:r>
    </w:p>
    <w:p>
      <w:pPr>
        <w:spacing w:after="0" w:line="4"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create product specification sheets.</w:t>
      </w:r>
    </w:p>
    <w:p>
      <w:pPr>
        <w:spacing w:after="0" w:line="4" w:lineRule="exact"/>
        <w:rPr>
          <w:rFonts w:ascii="Courier New" w:cs="Courier New" w:eastAsia="Courier New" w:hAnsi="Courier New"/>
          <w:sz w:val="15"/>
          <w:szCs w:val="15"/>
          <w:color w:val="auto"/>
        </w:rPr>
      </w:pPr>
    </w:p>
    <w:p>
      <w:pPr>
        <w:ind w:left="180" w:right="3039" w:hanging="176"/>
        <w:spacing w:after="0" w:line="246" w:lineRule="auto"/>
        <w:tabs>
          <w:tab w:leader="none" w:pos="271"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enter appropriate performance and specifications into its online Technical Marketing Information (TMI) systems.</w:t>
      </w:r>
    </w:p>
    <w:p>
      <w:pPr>
        <w:spacing w:after="0" w:line="1"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make adequate technical drawings available to its dealers.</w:t>
      </w:r>
    </w:p>
    <w:p>
      <w:pPr>
        <w:spacing w:after="0" w:line="4" w:lineRule="exact"/>
        <w:rPr>
          <w:rFonts w:ascii="Courier New" w:cs="Courier New" w:eastAsia="Courier New" w:hAnsi="Courier New"/>
          <w:sz w:val="15"/>
          <w:szCs w:val="15"/>
          <w:color w:val="auto"/>
        </w:rPr>
      </w:pPr>
    </w:p>
    <w:p>
      <w:pPr>
        <w:ind w:left="180" w:right="2959" w:hanging="176"/>
        <w:spacing w:after="0" w:line="246" w:lineRule="auto"/>
        <w:tabs>
          <w:tab w:leader="none" w:pos="271"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effect a public product announcement of the phase II product that will include reference to the new Caterpillar UPS product and its use of the Active Power flywheel energy storage system.</w:t>
      </w:r>
    </w:p>
    <w:p>
      <w:pPr>
        <w:spacing w:after="0" w:line="1"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create a product promotional video.</w:t>
      </w:r>
    </w:p>
    <w:p>
      <w:pPr>
        <w:spacing w:after="0" w:line="4" w:lineRule="exact"/>
        <w:rPr>
          <w:rFonts w:ascii="Courier New" w:cs="Courier New" w:eastAsia="Courier New" w:hAnsi="Courier New"/>
          <w:sz w:val="15"/>
          <w:szCs w:val="15"/>
          <w:color w:val="auto"/>
        </w:rPr>
      </w:pPr>
    </w:p>
    <w:p>
      <w:pPr>
        <w:ind w:left="180" w:right="4859" w:hanging="176"/>
        <w:spacing w:after="0" w:line="246" w:lineRule="auto"/>
        <w:tabs>
          <w:tab w:leader="none" w:pos="271"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include the product where appropriate in its marketing/specification software.</w:t>
      </w:r>
    </w:p>
    <w:p>
      <w:pPr>
        <w:spacing w:after="0" w:line="1" w:lineRule="exact"/>
        <w:rPr>
          <w:rFonts w:ascii="Courier New" w:cs="Courier New" w:eastAsia="Courier New" w:hAnsi="Courier New"/>
          <w:sz w:val="15"/>
          <w:szCs w:val="15"/>
          <w:color w:val="auto"/>
        </w:rPr>
      </w:pPr>
    </w:p>
    <w:p>
      <w:pPr>
        <w:ind w:left="180" w:right="3679" w:hanging="176"/>
        <w:spacing w:after="0" w:line="246" w:lineRule="auto"/>
        <w:tabs>
          <w:tab w:leader="none" w:pos="271"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promote the product internally to its worldwide marketing subsidiaries.</w:t>
      </w:r>
    </w:p>
    <w:p>
      <w:pPr>
        <w:spacing w:after="0" w:line="1"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effect the above in all languages deemed appropriate by Buyer.</w:t>
      </w:r>
    </w:p>
    <w:p>
      <w:pPr>
        <w:spacing w:after="0" w:line="180" w:lineRule="exact"/>
        <w:rPr>
          <w:sz w:val="20"/>
          <w:szCs w:val="20"/>
          <w:color w:val="auto"/>
        </w:rPr>
      </w:pPr>
    </w:p>
    <w:p>
      <w:pPr>
        <w:ind w:left="180" w:right="3039"/>
        <w:spacing w:after="0" w:line="247" w:lineRule="auto"/>
        <w:rPr>
          <w:sz w:val="20"/>
          <w:szCs w:val="20"/>
          <w:color w:val="auto"/>
        </w:rPr>
      </w:pPr>
      <w:r>
        <w:rPr>
          <w:rFonts w:ascii="Courier New" w:cs="Courier New" w:eastAsia="Courier New" w:hAnsi="Courier New"/>
          <w:sz w:val="15"/>
          <w:szCs w:val="15"/>
          <w:color w:val="auto"/>
        </w:rPr>
        <w:t>Implementation of the foregoing Marketing Activities is dependent upon Buyer receiving adequate product and technical information from Seller</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139"/>
          </w:cols>
          <w:pgMar w:left="320" w:top="643" w:right="1440" w:bottom="1440" w:gutter="0" w:footer="0" w:header="0"/>
        </w:sectPr>
      </w:pPr>
    </w:p>
    <w:bookmarkStart w:id="155" w:name="page156"/>
    <w:bookmarkEnd w:id="155"/>
    <w:p>
      <w:pPr>
        <w:ind w:left="1880"/>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FORECAST</w:t>
      </w:r>
    </w:p>
    <w:p>
      <w:pPr>
        <w:spacing w:after="0" w:line="18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(to be provided as of the Effective Date)</w:t>
      </w:r>
    </w:p>
    <w:p>
      <w:pPr>
        <w:spacing w:after="0" w:line="18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9019"/>
          </w:cols>
          <w:pgMar w:left="1440" w:top="643" w:right="1440" w:bottom="1440" w:gutter="0" w:footer="0" w:header="0"/>
        </w:sectPr>
      </w:pPr>
    </w:p>
    <w:bookmarkStart w:id="156" w:name="page157"/>
    <w:bookmarkEnd w:id="156"/>
    <w:p>
      <w:pPr>
        <w:ind w:left="3080"/>
        <w:spacing w:after="0"/>
        <w:rPr>
          <w:sz w:val="20"/>
          <w:szCs w:val="20"/>
          <w:color w:val="auto"/>
        </w:rPr>
      </w:pPr>
      <w:r>
        <w:rPr>
          <w:rFonts w:ascii="Courier New" w:cs="Courier New" w:eastAsia="Courier New" w:hAnsi="Courier New"/>
          <w:sz w:val="15"/>
          <w:szCs w:val="15"/>
          <w:color w:val="auto"/>
        </w:rPr>
        <w:t>EXHIBIT "C"</w:t>
      </w:r>
    </w:p>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BUYER'S COMPETITOR LIST</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B-11</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157" w:name="page158"/>
    <w:bookmarkEnd w:id="157"/>
    <w:p>
      <w:pPr>
        <w:jc w:val="center"/>
        <w:ind w:right="3039"/>
        <w:spacing w:after="0"/>
        <w:rPr>
          <w:sz w:val="20"/>
          <w:szCs w:val="20"/>
          <w:color w:val="auto"/>
        </w:rPr>
      </w:pPr>
      <w:r>
        <w:rPr>
          <w:rFonts w:ascii="Courier New" w:cs="Courier New" w:eastAsia="Courier New" w:hAnsi="Courier New"/>
          <w:sz w:val="15"/>
          <w:szCs w:val="15"/>
          <w:color w:val="auto"/>
        </w:rPr>
        <w:t>EXHIBIT "D"</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MINIMUM PURCHASE COMMITMENT OVER FIVE YEARS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B-12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158" w:name="page159"/>
    <w:bookmarkEnd w:id="158"/>
    <w:p>
      <w:pPr>
        <w:ind w:left="3080"/>
        <w:spacing w:after="0"/>
        <w:rPr>
          <w:sz w:val="20"/>
          <w:szCs w:val="20"/>
          <w:color w:val="auto"/>
        </w:rPr>
      </w:pPr>
      <w:r>
        <w:rPr>
          <w:rFonts w:ascii="Courier New" w:cs="Courier New" w:eastAsia="Courier New" w:hAnsi="Courier New"/>
          <w:sz w:val="15"/>
          <w:szCs w:val="15"/>
          <w:color w:val="auto"/>
        </w:rPr>
        <w:t>EXHIBIT "E"</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B-13</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159" w:name="page160"/>
    <w:bookmarkEnd w:id="159"/>
    <w:p>
      <w:pPr>
        <w:jc w:val="center"/>
        <w:ind w:right="3039"/>
        <w:spacing w:after="0"/>
        <w:rPr>
          <w:sz w:val="20"/>
          <w:szCs w:val="20"/>
          <w:color w:val="auto"/>
        </w:rPr>
      </w:pPr>
      <w:r>
        <w:rPr>
          <w:rFonts w:ascii="Courier New" w:cs="Courier New" w:eastAsia="Courier New" w:hAnsi="Courier New"/>
          <w:sz w:val="15"/>
          <w:szCs w:val="15"/>
          <w:color w:val="auto"/>
        </w:rPr>
        <w:t>EXHIBIT G</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Effective with sales to the first user on or after January 1, 2000</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CATERPILLAR LIMITED WARRANTY</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INDUSTRIAL ENGINE PRODUCTS AND</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ELECTRIC POWER GENERATION PRODUCTS</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WORLDWIDE*</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(*excluding the Commonwealth of Independent States)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Caterpillar Inc. or any of its subsidiaries ("Caterpillar") warrants new and Remanufactured engines and electric power generation products sold by it (including any products of other manufacturers packaged and sold by Caterpillar) and operating outside the Commonwealth of Independent States (formerly USSR), to be free from defects in material and workmanship.</w:t>
      </w:r>
    </w:p>
    <w:p>
      <w:pPr>
        <w:spacing w:after="0" w:line="178"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 different warranty statement applies to product operating in the Commonwealth of Independent States. Copies of this warranty may be obtained by writing Caterpillar Inc., 100 N.E. Adams St., Peoria, IL USA 61629-9260.</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warranty does not apply to CM product, engines sold for use in on-highway vehicle or marine applications, engines in machines manufactured by or for Caterpillar, 3500 and 3600 Family engines used in locomotive applications, 3000 Family engines, or Caterpillar brand batteries. These products are covered by other Caterpillar warranties.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warranty is subject to the following: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PERIOD</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warranty period for new engines, Uninterruptible Power Systems (UPS systems), and electric power generation products is 12 months (24 months for mobile agricultural and standby electric power generation applications) after date of delivery to the first user.</w:t>
      </w:r>
    </w:p>
    <w:p>
      <w:pPr>
        <w:spacing w:after="0" w:line="177"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The warranty period for all Remanufactured engines is 6 months (12 months for mobile agricultural and standby electric power generation applications) after date of delivery to the first user.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CATERPILLAR RESPONSIBILITIES</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If a defect in material or workmanship is found during the warranty period, Caterpillar will, during normal working hours and through a place of business of a Caterpillar dealer or other source approved by Caterpillar:</w:t>
      </w:r>
    </w:p>
    <w:p>
      <w:pPr>
        <w:spacing w:after="0" w:line="174" w:lineRule="exact"/>
        <w:rPr>
          <w:sz w:val="20"/>
          <w:szCs w:val="20"/>
          <w:color w:val="auto"/>
        </w:rPr>
      </w:pPr>
    </w:p>
    <w:p>
      <w:pPr>
        <w:ind w:left="180" w:right="2959" w:hanging="96"/>
        <w:spacing w:after="0" w:line="247" w:lineRule="auto"/>
        <w:tabs>
          <w:tab w:leader="none" w:pos="27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(at Caterpillar's choice) new, Remanufactured or Caterpillar-approved repaired parts or assembled components needed to correct the defect.</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Note:</w:t>
        <w:tab/>
        <w:t>Items replaced under this warranty become the property of Caterpillar.</w:t>
      </w:r>
    </w:p>
    <w:p>
      <w:pPr>
        <w:spacing w:after="0" w:line="180" w:lineRule="exact"/>
        <w:rPr>
          <w:sz w:val="20"/>
          <w:szCs w:val="20"/>
          <w:color w:val="auto"/>
        </w:rPr>
      </w:pPr>
    </w:p>
    <w:p>
      <w:pPr>
        <w:ind w:left="180" w:right="3599" w:hanging="96"/>
        <w:spacing w:after="0" w:line="247" w:lineRule="auto"/>
        <w:tabs>
          <w:tab w:leader="none" w:pos="271"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 lubricating oil, filters, coolant and other service items made unusable by the defect.</w:t>
      </w:r>
    </w:p>
    <w:p>
      <w:pPr>
        <w:spacing w:after="0" w:line="175" w:lineRule="exact"/>
        <w:rPr>
          <w:sz w:val="20"/>
          <w:szCs w:val="20"/>
          <w:color w:val="auto"/>
        </w:rPr>
      </w:pPr>
    </w:p>
    <w:p>
      <w:pPr>
        <w:jc w:val="both"/>
        <w:ind w:left="180" w:right="2959" w:hanging="96"/>
        <w:spacing w:after="0" w:line="247" w:lineRule="auto"/>
        <w:tabs>
          <w:tab w:leader="none" w:pos="271"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reasonable or customary labor needed to correct the defect, including labor to disconnect the product from and reconnect the product to its attached equipment, mounting, and support systems, if required.</w:t>
      </w:r>
    </w:p>
    <w:p>
      <w:pPr>
        <w:spacing w:after="0" w:line="174"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For new 3114, 3116 and 3126 engines and electric power generation products (including any new products of other manufacturers packaged and sold by Caterpillar):</w:t>
      </w:r>
    </w:p>
    <w:p>
      <w:pPr>
        <w:spacing w:after="0" w:line="174" w:lineRule="exact"/>
        <w:rPr>
          <w:sz w:val="20"/>
          <w:szCs w:val="20"/>
          <w:color w:val="auto"/>
        </w:rPr>
      </w:pPr>
    </w:p>
    <w:p>
      <w:pPr>
        <w:ind w:left="180" w:right="3419" w:hanging="96"/>
        <w:spacing w:after="0" w:line="246" w:lineRule="auto"/>
        <w:tabs>
          <w:tab w:leader="none" w:pos="271"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travel labor, up to four hours round trip if, in the opinion of Caterpillar, the product cannot reasonably be transported to a place of business of a Caterpillar dealer or other source approved by Caterpillar (travel labor in excess of four hours round trip, and any meals, mileage, lodging, etc. is the user's responsibility).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other products:</w:t>
      </w:r>
    </w:p>
    <w:p>
      <w:pPr>
        <w:spacing w:after="0" w:line="180" w:lineRule="exact"/>
        <w:rPr>
          <w:sz w:val="20"/>
          <w:szCs w:val="20"/>
          <w:color w:val="auto"/>
        </w:rPr>
      </w:pPr>
    </w:p>
    <w:p>
      <w:pPr>
        <w:ind w:left="180" w:right="2959" w:hanging="96"/>
        <w:spacing w:after="0" w:line="247" w:lineRule="auto"/>
        <w:tabs>
          <w:tab w:leader="none" w:pos="271"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reasonable travel expenses for authorized mechanics, including meals, mileage, and lodging, when Caterpillar chooses to make the repair on-site.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USER RESPONSIBILITIES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user is responsible for:</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Providing proof of the delivery date to the first user.</w:t>
      </w:r>
    </w:p>
    <w:p>
      <w:pPr>
        <w:spacing w:after="0" w:line="180" w:lineRule="exact"/>
        <w:rPr>
          <w:sz w:val="20"/>
          <w:szCs w:val="20"/>
          <w:color w:val="auto"/>
        </w:rPr>
      </w:pPr>
    </w:p>
    <w:p>
      <w:pPr>
        <w:ind w:left="180" w:right="2959" w:hanging="96"/>
        <w:spacing w:after="0" w:line="247" w:lineRule="auto"/>
        <w:tabs>
          <w:tab w:leader="none" w:pos="271"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costs, except as stated under "Caterpillar Responsibilities", including costs beyond those required to disconnect the product from and reconnect the product to its attached equipment, mounting and support systems.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Travel expenses not covered under "Caterpillar Responsibilities".</w:t>
      </w:r>
    </w:p>
    <w:p>
      <w:pPr>
        <w:spacing w:after="0" w:line="180" w:lineRule="exact"/>
        <w:rPr>
          <w:sz w:val="20"/>
          <w:szCs w:val="20"/>
          <w:color w:val="auto"/>
        </w:rPr>
      </w:pPr>
    </w:p>
    <w:p>
      <w:pPr>
        <w:ind w:left="180" w:right="3139" w:hanging="96"/>
        <w:spacing w:after="0" w:line="247" w:lineRule="auto"/>
        <w:tabs>
          <w:tab w:leader="none" w:pos="271"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associated with transporting the product to and from the place of business of a Caterpillar dealer or other source approved by Caterpillar.</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Premium or overtime labor costs.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Parts shipping charges in excess of those which are usual and customary.</w:t>
      </w:r>
    </w:p>
    <w:p>
      <w:pPr>
        <w:sectPr>
          <w:pgSz w:w="11900" w:h="16838" w:orient="portrait"/>
          <w:cols w:equalWidth="0" w:num="1">
            <w:col w:w="10219"/>
          </w:cols>
          <w:pgMar w:left="240" w:top="643" w:right="1440" w:bottom="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 Local taxes, if applicable.</w:t>
      </w:r>
    </w:p>
    <w:p>
      <w:pPr>
        <w:spacing w:after="0" w:line="180" w:lineRule="exact"/>
        <w:rPr>
          <w:sz w:val="20"/>
          <w:szCs w:val="20"/>
          <w:color w:val="auto"/>
        </w:rPr>
      </w:pPr>
    </w:p>
    <w:p>
      <w:pPr>
        <w:ind w:left="100" w:right="3039" w:hanging="96"/>
        <w:spacing w:after="0" w:line="247" w:lineRule="auto"/>
        <w:tabs>
          <w:tab w:leader="none" w:pos="191"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to investigate complaints, unless the problem is caused by a defect in Caterpillar material or workmanship.</w:t>
      </w:r>
    </w:p>
    <w:p>
      <w:pPr>
        <w:spacing w:after="0" w:line="175" w:lineRule="exact"/>
        <w:rPr>
          <w:sz w:val="20"/>
          <w:szCs w:val="20"/>
          <w:color w:val="auto"/>
        </w:rPr>
      </w:pPr>
    </w:p>
    <w:p>
      <w:pPr>
        <w:ind w:left="100" w:right="2959" w:hanging="96"/>
        <w:spacing w:after="0" w:line="247" w:lineRule="auto"/>
        <w:tabs>
          <w:tab w:leader="none" w:pos="191"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Giving timely notice of a warrantable failure and promptly making the product available for repair.</w:t>
      </w:r>
    </w:p>
    <w:p>
      <w:pPr>
        <w:spacing w:after="0" w:line="175" w:lineRule="exact"/>
        <w:rPr>
          <w:sz w:val="20"/>
          <w:szCs w:val="20"/>
          <w:color w:val="auto"/>
        </w:rPr>
      </w:pPr>
    </w:p>
    <w:p>
      <w:pPr>
        <w:ind w:left="100" w:right="3139" w:hanging="96"/>
        <w:spacing w:after="0" w:line="247" w:lineRule="auto"/>
        <w:tabs>
          <w:tab w:leader="none" w:pos="191"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the required maintenance (including use of proper fuel, oil, lubricants and coolant) and items replaced due to normal wear and tear.</w:t>
      </w:r>
    </w:p>
    <w:p>
      <w:pPr>
        <w:spacing w:after="0" w:line="175" w:lineRule="exact"/>
        <w:rPr>
          <w:sz w:val="20"/>
          <w:szCs w:val="20"/>
          <w:color w:val="auto"/>
        </w:rPr>
      </w:pPr>
    </w:p>
    <w:p>
      <w:pPr>
        <w:ind w:left="3540" w:right="3859" w:hanging="3536"/>
        <w:spacing w:after="0" w:line="494" w:lineRule="auto"/>
        <w:tabs>
          <w:tab w:leader="none" w:pos="177"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Allowing Caterpillar access to all electronically stored data. (continued on reverse side...)</w:t>
      </w:r>
    </w:p>
    <w:p>
      <w:pPr>
        <w:sectPr>
          <w:pgSz w:w="11900" w:h="16838" w:orient="portrait"/>
          <w:cols w:equalWidth="0" w:num="1">
            <w:col w:w="10139"/>
          </w:cols>
          <w:pgMar w:left="320" w:top="316" w:right="1440" w:bottom="1440" w:gutter="0" w:footer="0" w:header="0"/>
        </w:sectPr>
      </w:pPr>
    </w:p>
    <w:bookmarkStart w:id="161" w:name="page162"/>
    <w:bookmarkEnd w:id="161"/>
    <w:p>
      <w:pPr>
        <w:ind w:left="3187"/>
        <w:spacing w:after="0"/>
        <w:rPr>
          <w:sz w:val="20"/>
          <w:szCs w:val="20"/>
          <w:color w:val="auto"/>
        </w:rPr>
      </w:pPr>
      <w:r>
        <w:rPr>
          <w:rFonts w:ascii="Courier New" w:cs="Courier New" w:eastAsia="Courier New" w:hAnsi="Courier New"/>
          <w:sz w:val="15"/>
          <w:szCs w:val="15"/>
          <w:color w:val="auto"/>
        </w:rPr>
        <w:t>EXHIBIT 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LIMITATIONS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Caterpillar is not responsible for:</w:t>
      </w:r>
    </w:p>
    <w:p>
      <w:pPr>
        <w:spacing w:after="0" w:line="180" w:lineRule="exact"/>
        <w:rPr>
          <w:sz w:val="20"/>
          <w:szCs w:val="20"/>
          <w:color w:val="auto"/>
        </w:rPr>
      </w:pPr>
    </w:p>
    <w:p>
      <w:pPr>
        <w:ind w:left="187" w:right="3419" w:hanging="96"/>
        <w:spacing w:after="0" w:line="247" w:lineRule="auto"/>
        <w:tabs>
          <w:tab w:leader="none" w:pos="278"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Failures resulting from any use or installation which Caterpillar judges improper.</w:t>
      </w:r>
    </w:p>
    <w:p>
      <w:pPr>
        <w:spacing w:after="0" w:line="175" w:lineRule="exact"/>
        <w:rPr>
          <w:sz w:val="20"/>
          <w:szCs w:val="20"/>
          <w:color w:val="auto"/>
        </w:rPr>
      </w:pPr>
    </w:p>
    <w:p>
      <w:pPr>
        <w:ind w:left="187" w:right="3219" w:hanging="96"/>
        <w:spacing w:after="0" w:line="247" w:lineRule="auto"/>
        <w:tabs>
          <w:tab w:leader="none" w:pos="27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Failures resulting from attachments, accessory items and parts not sold or approved by Caterpillar.</w:t>
      </w:r>
    </w:p>
    <w:p>
      <w:pPr>
        <w:spacing w:after="0" w:line="17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Failures resulting from abuse, neglect and/or improper repair.</w:t>
      </w:r>
    </w:p>
    <w:p>
      <w:pPr>
        <w:spacing w:after="0" w:line="180" w:lineRule="exact"/>
        <w:rPr>
          <w:sz w:val="20"/>
          <w:szCs w:val="20"/>
          <w:color w:val="auto"/>
        </w:rPr>
      </w:pPr>
    </w:p>
    <w:p>
      <w:pPr>
        <w:ind w:left="187" w:right="3219" w:hanging="96"/>
        <w:spacing w:after="0" w:line="247" w:lineRule="auto"/>
        <w:tabs>
          <w:tab w:leader="none" w:pos="278"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Failures resulting from user's delay in making the product available after being notified of a potential product problem.</w:t>
      </w:r>
    </w:p>
    <w:p>
      <w:pPr>
        <w:spacing w:after="0" w:line="175" w:lineRule="exact"/>
        <w:rPr>
          <w:sz w:val="20"/>
          <w:szCs w:val="20"/>
          <w:color w:val="auto"/>
        </w:rPr>
      </w:pPr>
    </w:p>
    <w:p>
      <w:pPr>
        <w:ind w:left="187" w:right="3039" w:hanging="96"/>
        <w:spacing w:after="0" w:line="247" w:lineRule="auto"/>
        <w:tabs>
          <w:tab w:leader="none" w:pos="278"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Failures resulting from unauthorized repair or adjustments, and unauthorized fuel setting changes.</w:t>
      </w:r>
    </w:p>
    <w:p>
      <w:pPr>
        <w:spacing w:after="0" w:line="175" w:lineRule="exact"/>
        <w:rPr>
          <w:sz w:val="20"/>
          <w:szCs w:val="20"/>
          <w:color w:val="auto"/>
        </w:rPr>
      </w:pPr>
    </w:p>
    <w:p>
      <w:pPr>
        <w:ind w:left="187" w:right="2959" w:hanging="96"/>
        <w:spacing w:after="0" w:line="247" w:lineRule="auto"/>
        <w:tabs>
          <w:tab w:leader="none" w:pos="27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to parts, fixtures, housings, attachments, and accessory items which are not part of the engine or electric power generation product (including any products of other manufacturers packaged and sold by Caterpillar).</w:t>
      </w:r>
    </w:p>
    <w:p>
      <w:pPr>
        <w:spacing w:after="0" w:line="174" w:lineRule="exact"/>
        <w:rPr>
          <w:sz w:val="20"/>
          <w:szCs w:val="20"/>
          <w:color w:val="auto"/>
        </w:rPr>
      </w:pPr>
    </w:p>
    <w:p>
      <w:pPr>
        <w:ind w:left="187" w:right="3139" w:hanging="96"/>
        <w:spacing w:after="0" w:line="246" w:lineRule="auto"/>
        <w:tabs>
          <w:tab w:leader="none" w:pos="278"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Repair of components sold by Caterpillar that are warranted directly to the user by their respective manufacturer. Depending on type of application, certain exclusions may apply. Consult your Caterpillar dealer for more information.</w:t>
      </w:r>
    </w:p>
    <w:p>
      <w:pPr>
        <w:spacing w:after="0" w:line="177"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For products operating outside of Australia, Fiji, Nauru, New Caledonia, New Zealand, Papua New Guinea, the Solomon Islands and Tahiti, the following is applicable:</w:t>
      </w:r>
    </w:p>
    <w:p>
      <w:pPr>
        <w:spacing w:after="0" w:line="174"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NEITHER THE FOREGOING EXPRESS WARRANTY NOR ANY OTHER WARRANTY BY CATERPILLAR, EXPRESS OR IMPLIED, IS APPLICABLE TO ANY ITEM CATERPILLAR SELLS WHICH IS WARRANTED DIRECTLY TO THE USER BY ITS MANUFACTURER.</w:t>
      </w:r>
    </w:p>
    <w:p>
      <w:pPr>
        <w:spacing w:after="0" w:line="17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THIS WARRANTY IS EXPRESSLY IN LIEU OF ANY OTHER WARRANTIES, EXPRESS OR IMPLIED, INCLUDING ANY WARRANTY OF MERCHANTABILITY OR FITNESS FOR A PARTICULAR PURPOSE, EXCEPT CATERPILLAR EMISSION-RELATED COMPONENTS WARRANTIES FOR NEW ENGINES, WHERE APPLICABLE. REMEDIES UNDER THIS WARRANTY ARE LIMITED TO THE PROVISION OF MATERIAL AND SERVICES, AS SPECIFIED HEREIN. CATERPILLAR IS NOT RESPONSIBLE FOR INCIDENTAL OR CONSEQUENTIAL DAMAGES.</w:t>
      </w:r>
    </w:p>
    <w:p>
      <w:pPr>
        <w:spacing w:after="0" w:line="178"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CATERPILLAR EXCLUDES ALL LIABILITY FOR OR ARISING FROM ANY NEGLIGENCE ON ITS PART OR ON THE PART OF ANY OF ITS EMPLOYEES, AGENTS OR REPRESENTATIVES IN RESPECT OF THE MANUFACTURE OR SUPPLY OF GOODS OR THE PROVISION OF SERVICES RELATING TO THE GOODS.</w:t>
      </w:r>
    </w:p>
    <w:p>
      <w:pPr>
        <w:spacing w:after="0" w:line="177"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IF OTHERWISE APPLICABLE, THE VIENNA CONVENTION (CONTRACTS FOR THE INTERNATIONAL SALE OF GOODS) IS EXCLUDED IN ITS ENTIRETY.</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For electric power generation products sold for personal or family use, operating in the USA, its territories and possessions, some states do not allow limitations on how long an implied warranty may last nor allow the exclusion or limitation of incidental or consequential damages. Therefore, the previously expressed exclusion may not apply to you. This warranty gives you specific legal rights and you may also have other rights which vary by jurisdiction. To find the location of the nearest Caterpillar dealer or other authorized repair facility, call (800) 447-4986. If you have questions concerning this warranty or its applications, call or write:</w:t>
      </w:r>
    </w:p>
    <w:p>
      <w:pPr>
        <w:spacing w:after="0" w:line="180" w:lineRule="exact"/>
        <w:rPr>
          <w:sz w:val="20"/>
          <w:szCs w:val="20"/>
          <w:color w:val="auto"/>
        </w:rPr>
      </w:pPr>
    </w:p>
    <w:p>
      <w:pPr>
        <w:ind w:left="7"/>
        <w:spacing w:after="0"/>
        <w:tabs>
          <w:tab w:leader="none" w:pos="1806" w:val="left"/>
        </w:tabs>
        <w:rPr>
          <w:sz w:val="20"/>
          <w:szCs w:val="20"/>
          <w:color w:val="auto"/>
        </w:rPr>
      </w:pPr>
      <w:r>
        <w:rPr>
          <w:rFonts w:ascii="Courier New" w:cs="Courier New" w:eastAsia="Courier New" w:hAnsi="Courier New"/>
          <w:sz w:val="15"/>
          <w:szCs w:val="15"/>
          <w:color w:val="auto"/>
        </w:rPr>
        <w:t>In USA and Canada:</w:t>
        <w:tab/>
        <w:t>Caterpillar Inc., Engine Division, P.O. Box 610, Mossville,</w:t>
      </w:r>
    </w:p>
    <w:p>
      <w:pPr>
        <w:spacing w:after="0" w:line="5" w:lineRule="exact"/>
        <w:rPr>
          <w:sz w:val="20"/>
          <w:szCs w:val="20"/>
          <w:color w:val="auto"/>
        </w:rPr>
      </w:pPr>
    </w:p>
    <w:p>
      <w:pPr>
        <w:ind w:left="7"/>
        <w:spacing w:after="0"/>
        <w:tabs>
          <w:tab w:leader="none" w:pos="2426" w:val="left"/>
        </w:tabs>
        <w:rPr>
          <w:sz w:val="20"/>
          <w:szCs w:val="20"/>
          <w:color w:val="auto"/>
        </w:rPr>
      </w:pPr>
      <w:r>
        <w:rPr>
          <w:rFonts w:ascii="Courier New" w:cs="Courier New" w:eastAsia="Courier New" w:hAnsi="Courier New"/>
          <w:sz w:val="15"/>
          <w:szCs w:val="15"/>
          <w:color w:val="auto"/>
        </w:rPr>
        <w:t>IL 61552-0610, Attention:</w:t>
        <w:tab/>
        <w:t>Customer Service Manager, Telephone (800) 447-4986.</w:t>
      </w:r>
    </w:p>
    <w:p>
      <w:pPr>
        <w:spacing w:after="0" w:line="5" w:lineRule="exact"/>
        <w:rPr>
          <w:sz w:val="20"/>
          <w:szCs w:val="20"/>
          <w:color w:val="auto"/>
        </w:rPr>
      </w:pPr>
    </w:p>
    <w:p>
      <w:pPr>
        <w:ind w:left="7"/>
        <w:spacing w:after="0"/>
        <w:tabs>
          <w:tab w:leader="none" w:pos="2606" w:val="left"/>
        </w:tabs>
        <w:rPr>
          <w:sz w:val="20"/>
          <w:szCs w:val="20"/>
          <w:color w:val="auto"/>
        </w:rPr>
      </w:pPr>
      <w:r>
        <w:rPr>
          <w:rFonts w:ascii="Courier New" w:cs="Courier New" w:eastAsia="Courier New" w:hAnsi="Courier New"/>
          <w:sz w:val="15"/>
          <w:szCs w:val="15"/>
          <w:color w:val="auto"/>
        </w:rPr>
        <w:t>Outside the USA and Canada:</w:t>
        <w:tab/>
        <w:t>Contact your Caterpillar dealer.</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For products operating in Australia, Fiji, Nauru, New Caledonia, New Zealand, Papua New Guinea, the Solomon Islands and Tahiti, the following is applicable:</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THIS WARRANTY IS IN ADDITION TO WARRANTIES AND CONDITIONS IMPLIED BY STATUTE AND OTHER STATUTORY RIGHTS AND OBLIGATIONS THAT BY ANY APPLICABLE LAW CANNOT BE EXCLUDED, RESTRICTED OR MODIFIED ("MANDATORY RIGHTS"). ALL OTHER WARRANTIES OR CONDITIONS, EXPRESS OR IMPLIED (BY STATUTE OR OTHERWISE), ARE EXCLUDED.</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NEITHER THIS WARRANTY NOR ANY OTHER CONDITION OR WARRANTY BY CATERPILLAR, EXPRESS OR IMPLIED (SUBJECT ONLY TO THE MANDATORY RIGHTS), IS APPLICABLE TO ANY ITEM CATERPILLAR SELLS WHICH IS WARRANTED DIRECTLY TO THE USER BY ITS MANUFACTURER.</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TO THE EXTENT PERMITTED UNDER THE MANDATORY RIGHTS, IF CATERPILLAR IS THE SUPPLIER TO THE USER, CATERPILLAR'S LIABILITY SHALL BE LIMITED AT ITS OPTION TO</w:t>
      </w:r>
    </w:p>
    <w:p>
      <w:pPr>
        <w:spacing w:after="0" w:line="1" w:lineRule="exact"/>
        <w:rPr>
          <w:sz w:val="20"/>
          <w:szCs w:val="20"/>
          <w:color w:val="auto"/>
        </w:rPr>
      </w:pPr>
    </w:p>
    <w:p>
      <w:pPr>
        <w:ind w:left="7" w:right="3039" w:hanging="7"/>
        <w:spacing w:after="0" w:line="246" w:lineRule="auto"/>
        <w:tabs>
          <w:tab w:leader="none" w:pos="37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SERVICES, THE SUPPLY OF THE SERVICES AGAIN OR THE PAYMENT OF THE COST OF HAVING THE SERVICES SUPPLIED AGAIN, AND (b) IN THE CASE OF GOODS, THE REPAIR OR REPLACEMENT OF THE GOODS, THE SUPPLY OF EQUIVALENT GOODS, THE PAYMENT OF THE COST OF SUCH REPAIR OR REPLACEMENT OR THE ACQUISITION OF EQUIVALENT GOODS.</w:t>
      </w:r>
    </w:p>
    <w:p>
      <w:pPr>
        <w:spacing w:after="0" w:line="178"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CATERPILLAR EXCLUDES ALL LIABILITY FOR OR ARISING FROM ANY NEGLIGENCE ON ITS PART OR ON THE PART OF ANY OF ITS EMPLOYEES, AGENTS OR REPRESENTATIVES IN RESPECT OF THE MANUFACTURE OR SUPPLY OF GOODS OR THE PROVISION OF SERVICES RELATING TO THE GOODS.</w:t>
      </w:r>
    </w:p>
    <w:p>
      <w:pPr>
        <w:sectPr>
          <w:pgSz w:w="11900" w:h="16838" w:orient="portrait"/>
          <w:cols w:equalWidth="0" w:num="1">
            <w:col w:w="10226"/>
          </w:cols>
          <w:pgMar w:left="233" w:top="642" w:right="1440" w:bottom="0" w:gutter="0" w:footer="0" w:header="0"/>
        </w:sectPr>
      </w:pPr>
    </w:p>
    <w:bookmarkStart w:id="162" w:name="page163"/>
    <w:bookmarkEnd w:id="162"/>
    <w:p>
      <w:pPr>
        <w:ind w:right="2959"/>
        <w:spacing w:after="0" w:line="247" w:lineRule="auto"/>
        <w:rPr>
          <w:sz w:val="20"/>
          <w:szCs w:val="20"/>
          <w:color w:val="auto"/>
        </w:rPr>
      </w:pPr>
      <w:r>
        <w:rPr>
          <w:rFonts w:ascii="Courier New" w:cs="Courier New" w:eastAsia="Courier New" w:hAnsi="Courier New"/>
          <w:sz w:val="15"/>
          <w:szCs w:val="15"/>
          <w:color w:val="auto"/>
        </w:rPr>
        <w:t>CATERPILLAR IS NOT LIABLE FOR INCIDENTAL OR CONSEQUENTIAL DAMAGES UNLESS IMPOSED UNDER MANDATORY RIGHTS.</w:t>
      </w:r>
    </w:p>
    <w:p>
      <w:pPr>
        <w:spacing w:after="0" w:line="17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IF OTHERWISE APPLICABLE, THE VIENNA CONVENTION (CONTRACTS FOR THE INTERNATIONAL SALE OF GOODS) IS EXCLUDED IN ITS ENTIRETY.</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warranty covers every major component of the products. Claims under this warranty should be submitted to a place of business of a Caterpillar dealer or other source approved by Caterpillar. For further information concerning either the location to submit claims or Caterpillar as the issuer of this warranty, write Caterpillar Inc., 100 N. E. Adams St., Peoria, IL USA 61629-9260, or its subsidiary, Caterpillar of Australia Ltd., 1 Caterpillar Drive, Private Mail Bag 4, Tullamarine, Victoria 3043, Australia.</w:t>
      </w:r>
    </w:p>
    <w:p>
      <w:pPr>
        <w:sectPr>
          <w:pgSz w:w="11900" w:h="16838" w:orient="portrait"/>
          <w:cols w:equalWidth="0" w:num="1">
            <w:col w:w="10219"/>
          </w:cols>
          <w:pgMar w:left="240" w:top="316" w:right="1440" w:bottom="1440" w:gutter="0" w:footer="0" w:header="0"/>
        </w:sectPr>
      </w:pPr>
    </w:p>
    <w:bookmarkStart w:id="163" w:name="page164"/>
    <w:bookmarkEnd w:id="163"/>
    <w:p>
      <w:pPr>
        <w:ind w:left="3087"/>
        <w:spacing w:after="0"/>
        <w:rPr>
          <w:sz w:val="20"/>
          <w:szCs w:val="20"/>
          <w:color w:val="auto"/>
        </w:rPr>
      </w:pPr>
      <w:r>
        <w:rPr>
          <w:rFonts w:ascii="Courier New" w:cs="Courier New" w:eastAsia="Courier New" w:hAnsi="Courier New"/>
          <w:sz w:val="15"/>
          <w:szCs w:val="15"/>
          <w:color w:val="auto"/>
        </w:rPr>
        <w:t>EXHIBIT "C"</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PAYMENT MILESTONES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367"/>
        <w:spacing w:after="0"/>
        <w:tabs>
          <w:tab w:leader="none" w:pos="5526" w:val="left"/>
          <w:tab w:leader="none" w:pos="8066" w:val="left"/>
        </w:tabs>
        <w:rPr>
          <w:sz w:val="20"/>
          <w:szCs w:val="20"/>
          <w:color w:val="auto"/>
        </w:rPr>
      </w:pPr>
      <w:r>
        <w:rPr>
          <w:rFonts w:ascii="Courier New" w:cs="Courier New" w:eastAsia="Courier New" w:hAnsi="Courier New"/>
          <w:sz w:val="15"/>
          <w:szCs w:val="15"/>
          <w:color w:val="auto"/>
        </w:rPr>
        <w:t>MILESTONE</w:t>
      </w:r>
      <w:r>
        <w:rPr>
          <w:sz w:val="20"/>
          <w:szCs w:val="20"/>
          <w:color w:val="auto"/>
        </w:rPr>
        <w:tab/>
      </w:r>
      <w:r>
        <w:rPr>
          <w:rFonts w:ascii="Courier New" w:cs="Courier New" w:eastAsia="Courier New" w:hAnsi="Courier New"/>
          <w:sz w:val="15"/>
          <w:szCs w:val="15"/>
          <w:color w:val="auto"/>
        </w:rPr>
        <w:t>PAYMENT</w:t>
      </w:r>
      <w:r>
        <w:rPr>
          <w:sz w:val="20"/>
          <w:szCs w:val="20"/>
          <w:color w:val="auto"/>
        </w:rPr>
        <w:tab/>
      </w:r>
      <w:r>
        <w:rPr>
          <w:rFonts w:ascii="Courier New" w:cs="Courier New" w:eastAsia="Courier New" w:hAnsi="Courier New"/>
          <w:sz w:val="15"/>
          <w:szCs w:val="15"/>
          <w:color w:val="auto"/>
        </w:rPr>
        <w:t>ESTIMATED</w:t>
      </w:r>
    </w:p>
    <w:p>
      <w:pPr>
        <w:spacing w:after="0" w:line="5" w:lineRule="exact"/>
        <w:rPr>
          <w:sz w:val="20"/>
          <w:szCs w:val="20"/>
          <w:color w:val="auto"/>
        </w:rPr>
      </w:pPr>
    </w:p>
    <w:p>
      <w:pPr>
        <w:ind w:left="1367"/>
        <w:spacing w:after="0"/>
        <w:tabs>
          <w:tab w:leader="none" w:pos="5526" w:val="left"/>
          <w:tab w:leader="none" w:pos="8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COMPLETION</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367"/>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8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346" w:val="left"/>
          <w:tab w:leader="none" w:pos="5706" w:val="left"/>
          <w:tab w:leader="none" w:pos="8426" w:val="left"/>
        </w:tabs>
        <w:rPr>
          <w:sz w:val="20"/>
          <w:szCs w:val="20"/>
          <w:color w:val="auto"/>
        </w:rPr>
      </w:pPr>
      <w:r>
        <w:rPr>
          <w:rFonts w:ascii="Courier New" w:cs="Courier New" w:eastAsia="Courier New" w:hAnsi="Courier New"/>
          <w:sz w:val="15"/>
          <w:szCs w:val="15"/>
          <w:color w:val="auto"/>
        </w:rPr>
        <w:t>1.</w:t>
        <w:tab/>
        <w:t>Phase II agreement signed</w:t>
      </w:r>
      <w:r>
        <w:rPr>
          <w:sz w:val="20"/>
          <w:szCs w:val="20"/>
          <w:color w:val="auto"/>
        </w:rPr>
        <w:tab/>
      </w:r>
      <w:r>
        <w:rPr>
          <w:rFonts w:ascii="Courier New" w:cs="Courier New" w:eastAsia="Courier New" w:hAnsi="Courier New"/>
          <w:sz w:val="15"/>
          <w:szCs w:val="15"/>
          <w:color w:val="auto"/>
        </w:rPr>
        <w:t>$ .5 million</w:t>
      </w:r>
      <w:r>
        <w:rPr>
          <w:sz w:val="20"/>
          <w:szCs w:val="20"/>
          <w:color w:val="auto"/>
        </w:rPr>
        <w:tab/>
      </w:r>
      <w:r>
        <w:rPr>
          <w:rFonts w:ascii="Courier New" w:cs="Courier New" w:eastAsia="Courier New" w:hAnsi="Courier New"/>
          <w:sz w:val="15"/>
          <w:szCs w:val="15"/>
          <w:color w:val="auto"/>
        </w:rPr>
        <w:t>4Q98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1.  CS-UPS bench demo at Active Power's</w:t>
            </w:r>
          </w:p>
        </w:tc>
        <w:tc>
          <w:tcPr>
            <w:tcW w:w="29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Austin facility that meets following</w:t>
            </w:r>
          </w:p>
        </w:tc>
        <w:tc>
          <w:tcPr>
            <w:tcW w:w="2940" w:type="dxa"/>
            <w:vAlign w:val="bottom"/>
          </w:tcPr>
          <w:p>
            <w:pPr>
              <w:ind w:left="1040"/>
              <w:spacing w:after="0"/>
              <w:rPr>
                <w:sz w:val="20"/>
                <w:szCs w:val="20"/>
                <w:color w:val="auto"/>
              </w:rPr>
            </w:pPr>
            <w:r>
              <w:rPr>
                <w:rFonts w:ascii="Courier New" w:cs="Courier New" w:eastAsia="Courier New" w:hAnsi="Courier New"/>
                <w:sz w:val="15"/>
                <w:szCs w:val="15"/>
                <w:color w:val="auto"/>
              </w:rPr>
              <w:t>$1.0 million</w:t>
            </w: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w w:val="94"/>
              </w:rPr>
              <w:t>1Q99</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performance objectives:</w:t>
            </w:r>
          </w:p>
        </w:tc>
        <w:tc>
          <w:tcPr>
            <w:tcW w:w="294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179"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30 second discharge at 50 kW</w:t>
      </w:r>
    </w:p>
    <w:p>
      <w:pPr>
        <w:spacing w:after="0" w:line="5" w:lineRule="exact"/>
        <w:rPr>
          <w:sz w:val="20"/>
          <w:szCs w:val="20"/>
          <w:color w:val="auto"/>
        </w:rPr>
      </w:pPr>
    </w:p>
    <w:p>
      <w:pPr>
        <w:ind w:left="267" w:hanging="176"/>
        <w:spacing w:after="0"/>
        <w:tabs>
          <w:tab w:leader="none" w:pos="267"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flywheel recharges in less than 20 minutes</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15% THD on input &amp; output</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regulation plus or minus 10%</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right="1419" w:hanging="359"/>
        <w:spacing w:after="0" w:line="243" w:lineRule="auto"/>
        <w:tabs>
          <w:tab w:leader="none" w:pos="346" w:val="left"/>
        </w:tabs>
        <w:rPr>
          <w:sz w:val="20"/>
          <w:szCs w:val="20"/>
          <w:color w:val="auto"/>
        </w:rPr>
      </w:pPr>
      <w:r>
        <w:rPr>
          <w:rFonts w:ascii="Courier New" w:cs="Courier New" w:eastAsia="Courier New" w:hAnsi="Courier New"/>
          <w:sz w:val="15"/>
          <w:szCs w:val="15"/>
          <w:color w:val="auto"/>
        </w:rPr>
        <w:t>3.</w:t>
        <w:tab/>
        <w:t>CS-UPS bench demo at Active Power's $1.5 million 1Q99 Austin facility that meets following</w:t>
      </w:r>
    </w:p>
    <w:p>
      <w:pPr>
        <w:spacing w:after="0" w:line="177"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performance objectives:</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20 second discharge at 100 kW</w:t>
      </w:r>
    </w:p>
    <w:p>
      <w:pPr>
        <w:spacing w:after="0" w:line="5" w:lineRule="exact"/>
        <w:rPr>
          <w:sz w:val="20"/>
          <w:szCs w:val="20"/>
          <w:color w:val="auto"/>
        </w:rPr>
      </w:pPr>
    </w:p>
    <w:p>
      <w:pPr>
        <w:ind w:left="267" w:hanging="176"/>
        <w:spacing w:after="0"/>
        <w:tabs>
          <w:tab w:leader="none" w:pos="267"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flywheel recharges in less than 10 minutes</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THD on input &amp; output</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regulation plus or minus 5%</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right="1419" w:hanging="359"/>
        <w:spacing w:after="0" w:line="243" w:lineRule="auto"/>
        <w:tabs>
          <w:tab w:leader="none" w:pos="346" w:val="left"/>
        </w:tabs>
        <w:rPr>
          <w:sz w:val="20"/>
          <w:szCs w:val="20"/>
          <w:color w:val="auto"/>
        </w:rPr>
      </w:pPr>
      <w:r>
        <w:rPr>
          <w:rFonts w:ascii="Courier New" w:cs="Courier New" w:eastAsia="Courier New" w:hAnsi="Courier New"/>
          <w:sz w:val="15"/>
          <w:szCs w:val="15"/>
          <w:color w:val="auto"/>
        </w:rPr>
        <w:t>4.</w:t>
        <w:tab/>
        <w:t>CS-UPS bench demo at Active Power's $1 million 2Q99 Austin facility that meets following</w:t>
      </w:r>
    </w:p>
    <w:p>
      <w:pPr>
        <w:spacing w:after="0" w:line="177"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performance objectives:</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will use production components</w:t>
      </w:r>
    </w:p>
    <w:p>
      <w:pPr>
        <w:spacing w:after="0" w:line="5" w:lineRule="exact"/>
        <w:rPr>
          <w:sz w:val="20"/>
          <w:szCs w:val="20"/>
          <w:color w:val="auto"/>
        </w:rPr>
      </w:pPr>
    </w:p>
    <w:p>
      <w:pPr>
        <w:ind w:left="267" w:hanging="176"/>
        <w:spacing w:after="0"/>
        <w:tabs>
          <w:tab w:leader="none" w:pos="267"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single board controller for flywheel &amp; UPS</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static switch &amp; contactors operational</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second discharge at 250 kW</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flywheel recharges in less than 5 minutes</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 THD on input &amp; output</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regulation plus or minus 2%</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5.  Phase II product meets Exhibit</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2680" w:type="dxa"/>
            <w:vAlign w:val="bottom"/>
          </w:tcPr>
          <w:p>
            <w:pPr>
              <w:ind w:left="860"/>
              <w:spacing w:after="0"/>
              <w:rPr>
                <w:sz w:val="20"/>
                <w:szCs w:val="20"/>
                <w:color w:val="auto"/>
              </w:rPr>
            </w:pPr>
            <w:r>
              <w:rPr>
                <w:rFonts w:ascii="Courier New" w:cs="Courier New" w:eastAsia="Courier New" w:hAnsi="Courier New"/>
                <w:sz w:val="15"/>
                <w:szCs w:val="15"/>
                <w:color w:val="auto"/>
              </w:rPr>
              <w:t>$1  million</w:t>
            </w: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w w:val="94"/>
              </w:rPr>
              <w:t>3Q99</w:t>
            </w:r>
          </w:p>
        </w:tc>
      </w:tr>
      <w:tr>
        <w:trPr>
          <w:trHeight w:val="175"/>
        </w:trPr>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specifications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and first Phase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II unit</w:t>
            </w:r>
          </w:p>
        </w:tc>
        <w:tc>
          <w:tcPr>
            <w:tcW w:w="26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shipped, along</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with associated</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production</w:t>
            </w:r>
          </w:p>
        </w:tc>
        <w:tc>
          <w:tcPr>
            <w:tcW w:w="268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drawings, to Caterpillar.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817" w:right="1440" w:bottom="1440" w:gutter="0" w:footer="0" w:header="0"/>
        </w:sectPr>
      </w:pPr>
    </w:p>
    <w:bookmarkStart w:id="164" w:name="page165"/>
    <w:bookmarkEnd w:id="164"/>
    <w:p>
      <w:pPr>
        <w:jc w:val="center"/>
        <w:ind w:right="3039"/>
        <w:spacing w:after="0"/>
        <w:rPr>
          <w:sz w:val="20"/>
          <w:szCs w:val="20"/>
          <w:color w:val="auto"/>
        </w:rPr>
      </w:pPr>
      <w:r>
        <w:rPr>
          <w:rFonts w:ascii="Courier New" w:cs="Courier New" w:eastAsia="Courier New" w:hAnsi="Courier New"/>
          <w:sz w:val="15"/>
          <w:szCs w:val="15"/>
          <w:color w:val="auto"/>
        </w:rPr>
        <w:t>EXHIBIT "D"</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CATERPILLAR'S COMPETITOR LIST</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817" w:right="1440" w:bottom="1440" w:gutter="0" w:footer="0" w:header="0"/>
        </w:sectPr>
      </w:pPr>
    </w:p>
    <w:bookmarkStart w:id="165" w:name="page166"/>
    <w:bookmarkEnd w:id="165"/>
    <w:p>
      <w:pPr>
        <w:jc w:val="center"/>
        <w:ind w:right="3039"/>
        <w:spacing w:after="0"/>
        <w:rPr>
          <w:sz w:val="20"/>
          <w:szCs w:val="20"/>
          <w:color w:val="auto"/>
        </w:rPr>
      </w:pPr>
      <w:r>
        <w:rPr>
          <w:rFonts w:ascii="Courier New" w:cs="Courier New" w:eastAsia="Courier New" w:hAnsi="Courier New"/>
          <w:sz w:val="15"/>
          <w:szCs w:val="15"/>
          <w:color w:val="auto"/>
        </w:rPr>
        <w:t>EXHIBIT "E"</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PICTORIAL DESCRIPTION OF PROGRAM INTELLECTUAL PROPERTY</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PHASE II SCHEMATIC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[Graphic of Schematic]</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[Description of graphic: The schematic depicts the elements of each party's intellectual property divided between "flywheel and flywheel electronics" and "UPS electronics."]</w:t>
      </w:r>
    </w:p>
    <w:p>
      <w:pPr>
        <w:spacing w:after="0" w:line="17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For the avoidance of doubt, PROGRAM INTELLECTUAL PROPERTY does not include INTELLECTUAL PROPERTY with respect to the fly wheel, fly wheel electronics or flywheel packaging.</w:t>
      </w:r>
    </w:p>
    <w:p>
      <w:pPr>
        <w:sectPr>
          <w:pgSz w:w="11900" w:h="16838" w:orient="portrait"/>
          <w:cols w:equalWidth="0" w:num="1">
            <w:col w:w="10219"/>
          </w:cols>
          <w:pgMar w:left="240" w:top="817" w:right="1440" w:bottom="1440" w:gutter="0" w:footer="0" w:header="0"/>
        </w:sectPr>
      </w:pPr>
    </w:p>
    <w:bookmarkStart w:id="166" w:name="page167"/>
    <w:bookmarkEnd w:id="166"/>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February 26, 2000 (except for the first paragraph of Note 12, as to which the date is March 31, 2000 and the second paragraph of Note 12 as to which the date is July 13, 2000) in the Registration Statement (Form S-1 No. 333-36946) and related Prospectus of Active Power, Inc. for the registration of 8,000,000 shares of its common stock.</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13, 2000</w:t>
      </w:r>
    </w:p>
    <w:sectPr>
      <w:pgSz w:w="11900" w:h="16838" w:orient="portrait"/>
      <w:cols w:equalWidth="0" w:num="1">
        <w:col w:w="10219"/>
      </w:cols>
      <w:pgMar w:left="24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
      <w:numFmt w:val="bullet"/>
      <w:start w:val="1"/>
    </w:lvl>
  </w:abstractNum>
  <w:abstractNum w:abstractNumId="2">
    <w:nsid w:val="F856867"/>
    <w:multiLevelType w:val="hybridMultilevel"/>
    <w:lvl w:ilvl="0">
      <w:lvlJc w:val="left"/>
      <w:lvlText w:val="."/>
      <w:numFmt w:val="bullet"/>
      <w:start w:val="1"/>
    </w:lvl>
  </w:abstractNum>
  <w:abstractNum w:abstractNumId="3">
    <w:nsid w:val="11B1CC33"/>
    <w:multiLevelType w:val="hybridMultilevel"/>
    <w:lvl w:ilvl="0">
      <w:lvlJc w:val="left"/>
      <w:lvlText w:val="."/>
      <w:numFmt w:val="bullet"/>
      <w:start w:val="1"/>
    </w:lvl>
  </w:abstractNum>
  <w:abstractNum w:abstractNumId="4">
    <w:nsid w:val="2E22FBB7"/>
    <w:multiLevelType w:val="hybridMultilevel"/>
    <w:lvl w:ilvl="0">
      <w:lvlJc w:val="left"/>
      <w:lvlText w:val="."/>
      <w:numFmt w:val="bullet"/>
      <w:start w:val="1"/>
    </w:lvl>
  </w:abstractNum>
  <w:abstractNum w:abstractNumId="5">
    <w:nsid w:val="29934699"/>
    <w:multiLevelType w:val="hybridMultilevel"/>
    <w:lvl w:ilvl="0">
      <w:lvlJc w:val="left"/>
      <w:lvlText w:val="."/>
      <w:numFmt w:val="bullet"/>
      <w:start w:val="1"/>
    </w:lvl>
  </w:abstractNum>
  <w:abstractNum w:abstractNumId="6">
    <w:nsid w:val="77485850"/>
    <w:multiLevelType w:val="hybridMultilevel"/>
    <w:lvl w:ilvl="0">
      <w:lvlJc w:val="left"/>
      <w:lvlText w:val="."/>
      <w:numFmt w:val="bullet"/>
      <w:start w:val="1"/>
    </w:lvl>
  </w:abstractNum>
  <w:abstractNum w:abstractNumId="7">
    <w:nsid w:val="744939A3"/>
    <w:multiLevelType w:val="hybridMultilevel"/>
    <w:lvl w:ilvl="0">
      <w:lvlJc w:val="left"/>
      <w:lvlText w:val="."/>
      <w:numFmt w:val="bullet"/>
      <w:start w:val="1"/>
    </w:lvl>
  </w:abstractNum>
  <w:abstractNum w:abstractNumId="8">
    <w:nsid w:val="4FA0D2E3"/>
    <w:multiLevelType w:val="hybridMultilevel"/>
    <w:lvl w:ilvl="0">
      <w:lvlJc w:val="left"/>
      <w:lvlText w:val="."/>
      <w:numFmt w:val="bullet"/>
      <w:start w:val="1"/>
    </w:lvl>
  </w:abstractNum>
  <w:abstractNum w:abstractNumId="9">
    <w:nsid w:val="6B1D2C14"/>
    <w:multiLevelType w:val="hybridMultilevel"/>
    <w:lvl w:ilvl="0">
      <w:lvlJc w:val="left"/>
      <w:lvlText w:val="."/>
      <w:numFmt w:val="bullet"/>
      <w:start w:val="1"/>
    </w:lvl>
  </w:abstractNum>
  <w:abstractNum w:abstractNumId="10">
    <w:nsid w:val="68B867D3"/>
    <w:multiLevelType w:val="hybridMultilevel"/>
    <w:lvl w:ilvl="0">
      <w:lvlJc w:val="left"/>
      <w:lvlText w:val="."/>
      <w:numFmt w:val="bullet"/>
      <w:start w:val="1"/>
    </w:lvl>
  </w:abstractNum>
  <w:abstractNum w:abstractNumId="11">
    <w:nsid w:val="3F7F5DD9"/>
    <w:multiLevelType w:val="hybridMultilevel"/>
    <w:lvl w:ilvl="0">
      <w:lvlJc w:val="left"/>
      <w:lvlText w:val="."/>
      <w:numFmt w:val="bullet"/>
      <w:start w:val="1"/>
    </w:lvl>
  </w:abstractNum>
  <w:abstractNum w:abstractNumId="12">
    <w:nsid w:val="2AE05A34"/>
    <w:multiLevelType w:val="hybridMultilevel"/>
    <w:lvl w:ilvl="0">
      <w:lvlJc w:val="left"/>
      <w:lvlText w:val="."/>
      <w:numFmt w:val="bullet"/>
      <w:start w:val="1"/>
    </w:lvl>
  </w:abstractNum>
  <w:abstractNum w:abstractNumId="13">
    <w:nsid w:val="32794FF7"/>
    <w:multiLevelType w:val="hybridMultilevel"/>
    <w:lvl w:ilvl="0">
      <w:lvlJc w:val="left"/>
      <w:lvlText w:val="."/>
      <w:numFmt w:val="bullet"/>
      <w:start w:val="1"/>
    </w:lvl>
  </w:abstractNum>
  <w:abstractNum w:abstractNumId="14">
    <w:nsid w:val="5454945E"/>
    <w:multiLevelType w:val="hybridMultilevel"/>
    <w:lvl w:ilvl="0">
      <w:lvlJc w:val="left"/>
      <w:lvlText w:val="."/>
      <w:numFmt w:val="bullet"/>
      <w:start w:val="1"/>
    </w:lvl>
  </w:abstractNum>
  <w:abstractNum w:abstractNumId="15">
    <w:nsid w:val="4DEFDFA0"/>
    <w:multiLevelType w:val="hybridMultilevel"/>
    <w:lvl w:ilvl="0">
      <w:lvlJc w:val="left"/>
      <w:lvlText w:val="."/>
      <w:numFmt w:val="bullet"/>
      <w:start w:val="1"/>
    </w:lvl>
  </w:abstractNum>
  <w:abstractNum w:abstractNumId="16">
    <w:nsid w:val="2123D5F2"/>
    <w:multiLevelType w:val="hybridMultilevel"/>
    <w:lvl w:ilvl="0">
      <w:lvlJc w:val="left"/>
      <w:lvlText w:val="."/>
      <w:numFmt w:val="bullet"/>
      <w:start w:val="1"/>
    </w:lvl>
  </w:abstractNum>
  <w:abstractNum w:abstractNumId="17">
    <w:nsid w:val="135B8110"/>
    <w:multiLevelType w:val="hybridMultilevel"/>
    <w:lvl w:ilvl="0">
      <w:lvlJc w:val="left"/>
      <w:lvlText w:val="."/>
      <w:numFmt w:val="bullet"/>
      <w:start w:val="1"/>
    </w:lvl>
  </w:abstractNum>
  <w:abstractNum w:abstractNumId="18">
    <w:nsid w:val="94927A8"/>
    <w:multiLevelType w:val="hybridMultilevel"/>
    <w:lvl w:ilvl="0">
      <w:lvlJc w:val="left"/>
      <w:lvlText w:val="."/>
      <w:numFmt w:val="bullet"/>
      <w:start w:val="1"/>
    </w:lvl>
  </w:abstractNum>
  <w:abstractNum w:abstractNumId="19">
    <w:nsid w:val="DCDF8F6"/>
    <w:multiLevelType w:val="hybridMultilevel"/>
    <w:lvl w:ilvl="0">
      <w:lvlJc w:val="left"/>
      <w:lvlText w:val="."/>
      <w:numFmt w:val="bullet"/>
      <w:start w:val="1"/>
    </w:lvl>
  </w:abstractNum>
  <w:abstractNum w:abstractNumId="20">
    <w:nsid w:val="52D7B105"/>
    <w:multiLevelType w:val="hybridMultilevel"/>
    <w:lvl w:ilvl="0">
      <w:lvlJc w:val="left"/>
      <w:lvlText w:val="."/>
      <w:numFmt w:val="bullet"/>
      <w:start w:val="1"/>
    </w:lvl>
  </w:abstractNum>
  <w:abstractNum w:abstractNumId="21">
    <w:nsid w:val="2E8A6394"/>
    <w:multiLevelType w:val="hybridMultilevel"/>
    <w:lvl w:ilvl="0">
      <w:lvlJc w:val="left"/>
      <w:lvlText w:val="."/>
      <w:numFmt w:val="bullet"/>
      <w:start w:val="1"/>
    </w:lvl>
  </w:abstractNum>
  <w:abstractNum w:abstractNumId="22">
    <w:nsid w:val="24E60401"/>
    <w:multiLevelType w:val="hybridMultilevel"/>
    <w:lvl w:ilvl="0">
      <w:lvlJc w:val="left"/>
      <w:lvlText w:val="."/>
      <w:numFmt w:val="bullet"/>
      <w:start w:val="1"/>
    </w:lvl>
  </w:abstractNum>
  <w:abstractNum w:abstractNumId="23">
    <w:nsid w:val="2A6AD9BE"/>
    <w:multiLevelType w:val="hybridMultilevel"/>
    <w:lvl w:ilvl="0">
      <w:lvlJc w:val="left"/>
      <w:lvlText w:val="."/>
      <w:numFmt w:val="bullet"/>
      <w:start w:val="1"/>
    </w:lvl>
  </w:abstractNum>
  <w:abstractNum w:abstractNumId="24">
    <w:nsid w:val="BAAC1B4"/>
    <w:multiLevelType w:val="hybridMultilevel"/>
    <w:lvl w:ilvl="0">
      <w:lvlJc w:val="left"/>
      <w:lvlText w:val="."/>
      <w:numFmt w:val="bullet"/>
      <w:start w:val="1"/>
    </w:lvl>
  </w:abstractNum>
  <w:abstractNum w:abstractNumId="25">
    <w:nsid w:val="36B2ACBC"/>
    <w:multiLevelType w:val="hybridMultilevel"/>
    <w:lvl w:ilvl="0">
      <w:lvlJc w:val="left"/>
      <w:lvlText w:val="."/>
      <w:numFmt w:val="bullet"/>
      <w:start w:val="1"/>
    </w:lvl>
  </w:abstractNum>
  <w:abstractNum w:abstractNumId="26">
    <w:nsid w:val="779D8544"/>
    <w:multiLevelType w:val="hybridMultilevel"/>
    <w:lvl w:ilvl="0">
      <w:lvlJc w:val="left"/>
      <w:lvlText w:val="."/>
      <w:numFmt w:val="bullet"/>
      <w:start w:val="1"/>
    </w:lvl>
  </w:abstractNum>
  <w:abstractNum w:abstractNumId="27">
    <w:nsid w:val="4AB26E78"/>
    <w:multiLevelType w:val="hybridMultilevel"/>
    <w:lvl w:ilvl="0">
      <w:lvlJc w:val="left"/>
      <w:lvlText w:val="."/>
      <w:numFmt w:val="bullet"/>
      <w:start w:val="1"/>
    </w:lvl>
  </w:abstractNum>
  <w:abstractNum w:abstractNumId="28">
    <w:nsid w:val="21FAA2FA"/>
    <w:multiLevelType w:val="hybridMultilevel"/>
    <w:lvl w:ilvl="0">
      <w:lvlJc w:val="left"/>
      <w:lvlText w:val="."/>
      <w:numFmt w:val="bullet"/>
      <w:start w:val="1"/>
    </w:lvl>
  </w:abstractNum>
  <w:abstractNum w:abstractNumId="29">
    <w:nsid w:val="5451CF49"/>
    <w:multiLevelType w:val="hybridMultilevel"/>
    <w:lvl w:ilvl="0">
      <w:lvlJc w:val="left"/>
      <w:lvlText w:val="."/>
      <w:numFmt w:val="bullet"/>
      <w:start w:val="1"/>
    </w:lvl>
  </w:abstractNum>
  <w:abstractNum w:abstractNumId="30">
    <w:nsid w:val="6181EF69"/>
    <w:multiLevelType w:val="hybridMultilevel"/>
    <w:lvl w:ilvl="0">
      <w:lvlJc w:val="left"/>
      <w:lvlText w:val="."/>
      <w:numFmt w:val="bullet"/>
      <w:start w:val="1"/>
    </w:lvl>
  </w:abstractNum>
  <w:abstractNum w:abstractNumId="31">
    <w:nsid w:val="3E6400E6"/>
    <w:multiLevelType w:val="hybridMultilevel"/>
    <w:lvl w:ilvl="0">
      <w:lvlJc w:val="left"/>
      <w:lvlText w:val="."/>
      <w:numFmt w:val="bullet"/>
      <w:start w:val="1"/>
    </w:lvl>
  </w:abstractNum>
  <w:abstractNum w:abstractNumId="32">
    <w:nsid w:val="14217E23"/>
    <w:multiLevelType w:val="hybridMultilevel"/>
    <w:lvl w:ilvl="0">
      <w:lvlJc w:val="left"/>
      <w:lvlText w:val="."/>
      <w:numFmt w:val="bullet"/>
      <w:start w:val="1"/>
    </w:lvl>
  </w:abstractNum>
  <w:abstractNum w:abstractNumId="33">
    <w:nsid w:val="710757D0"/>
    <w:multiLevelType w:val="hybridMultilevel"/>
    <w:lvl w:ilvl="0">
      <w:lvlJc w:val="left"/>
      <w:lvlText w:val="."/>
      <w:numFmt w:val="bullet"/>
      <w:start w:val="1"/>
    </w:lvl>
  </w:abstractNum>
  <w:abstractNum w:abstractNumId="34">
    <w:nsid w:val="5015CD1A"/>
    <w:multiLevelType w:val="hybridMultilevel"/>
    <w:lvl w:ilvl="0">
      <w:lvlJc w:val="left"/>
      <w:lvlText w:val="."/>
      <w:numFmt w:val="bullet"/>
      <w:start w:val="1"/>
    </w:lvl>
  </w:abstractNum>
  <w:abstractNum w:abstractNumId="35">
    <w:nsid w:val="424479DA"/>
    <w:multiLevelType w:val="hybridMultilevel"/>
    <w:lvl w:ilvl="0">
      <w:lvlJc w:val="left"/>
      <w:lvlText w:val="."/>
      <w:numFmt w:val="bullet"/>
      <w:start w:val="1"/>
    </w:lvl>
  </w:abstractNum>
  <w:abstractNum w:abstractNumId="36">
    <w:nsid w:val="1A9A9E69"/>
    <w:multiLevelType w:val="hybridMultilevel"/>
    <w:lvl w:ilvl="0">
      <w:lvlJc w:val="left"/>
      <w:lvlText w:val="."/>
      <w:numFmt w:val="bullet"/>
      <w:start w:val="1"/>
    </w:lvl>
  </w:abstractNum>
  <w:abstractNum w:abstractNumId="37">
    <w:nsid w:val="475E256A"/>
    <w:multiLevelType w:val="hybridMultilevel"/>
    <w:lvl w:ilvl="0">
      <w:lvlJc w:val="left"/>
      <w:lvlText w:val="."/>
      <w:numFmt w:val="bullet"/>
      <w:start w:val="1"/>
    </w:lvl>
  </w:abstractNum>
  <w:abstractNum w:abstractNumId="38">
    <w:nsid w:val="368DB37E"/>
    <w:multiLevelType w:val="hybridMultilevel"/>
    <w:lvl w:ilvl="0">
      <w:lvlJc w:val="left"/>
      <w:lvlText w:val="."/>
      <w:numFmt w:val="bullet"/>
      <w:start w:val="1"/>
    </w:lvl>
  </w:abstractNum>
  <w:abstractNum w:abstractNumId="39">
    <w:nsid w:val="6A3B714C"/>
    <w:multiLevelType w:val="hybridMultilevel"/>
    <w:lvl w:ilvl="0">
      <w:lvlJc w:val="left"/>
      <w:lvlText w:val="."/>
      <w:numFmt w:val="bullet"/>
      <w:start w:val="1"/>
    </w:lvl>
  </w:abstractNum>
  <w:abstractNum w:abstractNumId="40">
    <w:nsid w:val="327B517E"/>
    <w:multiLevelType w:val="hybridMultilevel"/>
    <w:lvl w:ilvl="0">
      <w:lvlJc w:val="left"/>
      <w:lvlText w:val="."/>
      <w:numFmt w:val="bullet"/>
      <w:start w:val="1"/>
    </w:lvl>
  </w:abstractNum>
  <w:abstractNum w:abstractNumId="41">
    <w:nsid w:val="1F461B51"/>
    <w:multiLevelType w:val="hybridMultilevel"/>
    <w:lvl w:ilvl="0">
      <w:lvlJc w:val="left"/>
      <w:lvlText w:val="."/>
      <w:numFmt w:val="bullet"/>
      <w:start w:val="1"/>
    </w:lvl>
  </w:abstractNum>
  <w:abstractNum w:abstractNumId="42">
    <w:nsid w:val="29BACF25"/>
    <w:multiLevelType w:val="hybridMultilevel"/>
    <w:lvl w:ilvl="0">
      <w:lvlJc w:val="left"/>
      <w:lvlText w:val="."/>
      <w:numFmt w:val="bullet"/>
      <w:start w:val="1"/>
    </w:lvl>
  </w:abstractNum>
  <w:abstractNum w:abstractNumId="43">
    <w:nsid w:val="5D5BABB3"/>
    <w:multiLevelType w:val="hybridMultilevel"/>
    <w:lvl w:ilvl="0">
      <w:lvlJc w:val="left"/>
      <w:lvlText w:val="."/>
      <w:numFmt w:val="bullet"/>
      <w:start w:val="1"/>
    </w:lvl>
  </w:abstractNum>
  <w:abstractNum w:abstractNumId="44">
    <w:nsid w:val="51BF6B48"/>
    <w:multiLevelType w:val="hybridMultilevel"/>
    <w:lvl w:ilvl="0">
      <w:lvlJc w:val="left"/>
      <w:lvlText w:val="."/>
      <w:numFmt w:val="bullet"/>
      <w:start w:val="1"/>
    </w:lvl>
  </w:abstractNum>
  <w:abstractNum w:abstractNumId="45">
    <w:nsid w:val="7E0F6384"/>
    <w:multiLevelType w:val="hybridMultilevel"/>
    <w:lvl w:ilvl="0">
      <w:lvlJc w:val="left"/>
      <w:lvlText w:val="."/>
      <w:numFmt w:val="bullet"/>
      <w:start w:val="1"/>
    </w:lvl>
  </w:abstractNum>
  <w:abstractNum w:abstractNumId="46">
    <w:nsid w:val="2B4B8B53"/>
    <w:multiLevelType w:val="hybridMultilevel"/>
    <w:lvl w:ilvl="0">
      <w:lvlJc w:val="left"/>
      <w:lvlText w:val="."/>
      <w:numFmt w:val="bullet"/>
      <w:start w:val="1"/>
    </w:lvl>
  </w:abstractNum>
  <w:abstractNum w:abstractNumId="47">
    <w:nsid w:val="72E3413A"/>
    <w:multiLevelType w:val="hybridMultilevel"/>
    <w:lvl w:ilvl="0">
      <w:lvlJc w:val="left"/>
      <w:lvlText w:val="."/>
      <w:numFmt w:val="bullet"/>
      <w:start w:val="1"/>
    </w:lvl>
  </w:abstractNum>
  <w:abstractNum w:abstractNumId="48">
    <w:nsid w:val="116AE494"/>
    <w:multiLevelType w:val="hybridMultilevel"/>
    <w:lvl w:ilvl="0">
      <w:lvlJc w:val="left"/>
      <w:lvlText w:val="."/>
      <w:numFmt w:val="bullet"/>
      <w:start w:val="1"/>
    </w:lvl>
  </w:abstractNum>
  <w:abstractNum w:abstractNumId="49">
    <w:nsid w:val="3494B2FB"/>
    <w:multiLevelType w:val="hybridMultilevel"/>
    <w:lvl w:ilvl="0">
      <w:lvlJc w:val="left"/>
      <w:lvlText w:val="."/>
      <w:numFmt w:val="bullet"/>
      <w:start w:val="1"/>
    </w:lvl>
  </w:abstractNum>
  <w:abstractNum w:abstractNumId="50">
    <w:nsid w:val="B13A31"/>
    <w:multiLevelType w:val="hybridMultilevel"/>
    <w:lvl w:ilvl="0">
      <w:lvlJc w:val="left"/>
      <w:lvlText w:val="."/>
      <w:numFmt w:val="bullet"/>
      <w:start w:val="1"/>
    </w:lvl>
  </w:abstractNum>
  <w:abstractNum w:abstractNumId="51">
    <w:nsid w:val="64429599"/>
    <w:multiLevelType w:val="hybridMultilevel"/>
    <w:lvl w:ilvl="0">
      <w:lvlJc w:val="left"/>
      <w:lvlText w:val="."/>
      <w:numFmt w:val="bullet"/>
      <w:start w:val="1"/>
    </w:lvl>
  </w:abstractNum>
  <w:abstractNum w:abstractNumId="52">
    <w:nsid w:val="631F1690"/>
    <w:multiLevelType w:val="hybridMultilevel"/>
    <w:lvl w:ilvl="0">
      <w:lvlJc w:val="left"/>
      <w:lvlText w:val="."/>
      <w:numFmt w:val="bullet"/>
      <w:start w:val="1"/>
    </w:lvl>
  </w:abstractNum>
  <w:abstractNum w:abstractNumId="53">
    <w:nsid w:val="25973E32"/>
    <w:multiLevelType w:val="hybridMultilevel"/>
    <w:lvl w:ilvl="0">
      <w:lvlJc w:val="left"/>
      <w:lvlText w:val="."/>
      <w:numFmt w:val="bullet"/>
      <w:start w:val="1"/>
    </w:lvl>
  </w:abstractNum>
  <w:abstractNum w:abstractNumId="54">
    <w:nsid w:val="EAD6F57"/>
    <w:multiLevelType w:val="hybridMultilevel"/>
    <w:lvl w:ilvl="0">
      <w:lvlJc w:val="left"/>
      <w:lvlText w:val="."/>
      <w:numFmt w:val="bullet"/>
      <w:start w:val="1"/>
    </w:lvl>
  </w:abstractNum>
  <w:abstractNum w:abstractNumId="55">
    <w:nsid w:val="6EC9D844"/>
    <w:multiLevelType w:val="hybridMultilevel"/>
    <w:lvl w:ilvl="0">
      <w:lvlJc w:val="left"/>
      <w:lvlText w:val="(%1)"/>
      <w:numFmt w:val="decimal"/>
      <w:start w:val="2"/>
    </w:lvl>
  </w:abstractNum>
  <w:abstractNum w:abstractNumId="56">
    <w:nsid w:val="5C49EAEE"/>
    <w:multiLevelType w:val="hybridMultilevel"/>
    <w:lvl w:ilvl="0">
      <w:lvlJc w:val="left"/>
      <w:lvlText w:val="."/>
      <w:numFmt w:val="bullet"/>
      <w:start w:val="1"/>
    </w:lvl>
  </w:abstractNum>
  <w:abstractNum w:abstractNumId="57">
    <w:nsid w:val="64AF49B"/>
    <w:multiLevelType w:val="hybridMultilevel"/>
    <w:lvl w:ilvl="0">
      <w:lvlJc w:val="left"/>
      <w:lvlText w:val="."/>
      <w:numFmt w:val="bullet"/>
      <w:start w:val="1"/>
    </w:lvl>
  </w:abstractNum>
  <w:abstractNum w:abstractNumId="58">
    <w:nsid w:val="397C46BC"/>
    <w:multiLevelType w:val="hybridMultilevel"/>
    <w:lvl w:ilvl="0">
      <w:lvlJc w:val="left"/>
      <w:lvlText w:val="."/>
      <w:numFmt w:val="bullet"/>
      <w:start w:val="1"/>
    </w:lvl>
  </w:abstractNum>
  <w:abstractNum w:abstractNumId="59">
    <w:nsid w:val="7E448DE9"/>
    <w:multiLevelType w:val="hybridMultilevel"/>
    <w:lvl w:ilvl="0">
      <w:lvlJc w:val="left"/>
      <w:lvlText w:val="."/>
      <w:numFmt w:val="bullet"/>
      <w:start w:val="1"/>
    </w:lvl>
  </w:abstractNum>
  <w:abstractNum w:abstractNumId="60">
    <w:nsid w:val="5A9CC3E5"/>
    <w:multiLevelType w:val="hybridMultilevel"/>
    <w:lvl w:ilvl="0">
      <w:lvlJc w:val="left"/>
      <w:lvlText w:val="."/>
      <w:numFmt w:val="bullet"/>
      <w:start w:val="1"/>
    </w:lvl>
  </w:abstractNum>
  <w:abstractNum w:abstractNumId="61">
    <w:nsid w:val="1AFE3625"/>
    <w:multiLevelType w:val="hybridMultilevel"/>
    <w:lvl w:ilvl="0">
      <w:lvlJc w:val="left"/>
      <w:lvlText w:val="."/>
      <w:numFmt w:val="bullet"/>
      <w:start w:val="1"/>
    </w:lvl>
  </w:abstractNum>
  <w:abstractNum w:abstractNumId="62">
    <w:nsid w:val="3CA88ECF"/>
    <w:multiLevelType w:val="hybridMultilevel"/>
    <w:lvl w:ilvl="0">
      <w:lvlJc w:val="left"/>
      <w:lvlText w:val="."/>
      <w:numFmt w:val="bullet"/>
      <w:start w:val="1"/>
    </w:lvl>
  </w:abstractNum>
  <w:abstractNum w:abstractNumId="63">
    <w:nsid w:val="6EBE4208"/>
    <w:multiLevelType w:val="hybridMultilevel"/>
    <w:lvl w:ilvl="0">
      <w:lvlJc w:val="left"/>
      <w:lvlText w:val="."/>
      <w:numFmt w:val="bullet"/>
      <w:start w:val="1"/>
    </w:lvl>
  </w:abstractNum>
  <w:abstractNum w:abstractNumId="64">
    <w:nsid w:val="C058DF5"/>
    <w:multiLevelType w:val="hybridMultilevel"/>
    <w:lvl w:ilvl="0">
      <w:lvlJc w:val="left"/>
      <w:lvlText w:val="."/>
      <w:numFmt w:val="bullet"/>
      <w:start w:val="1"/>
    </w:lvl>
  </w:abstractNum>
  <w:abstractNum w:abstractNumId="65">
    <w:nsid w:val="CBE5BE9"/>
    <w:multiLevelType w:val="hybridMultilevel"/>
    <w:lvl w:ilvl="0">
      <w:lvlJc w:val="left"/>
      <w:lvlText w:val="."/>
      <w:numFmt w:val="bullet"/>
      <w:start w:val="1"/>
    </w:lvl>
  </w:abstractNum>
  <w:abstractNum w:abstractNumId="66">
    <w:nsid w:val="3102BBE2"/>
    <w:multiLevelType w:val="hybridMultilevel"/>
    <w:lvl w:ilvl="0">
      <w:lvlJc w:val="left"/>
      <w:lvlText w:val="."/>
      <w:numFmt w:val="bullet"/>
      <w:start w:val="1"/>
    </w:lvl>
  </w:abstractNum>
  <w:abstractNum w:abstractNumId="67">
    <w:nsid w:val="26A02C5E"/>
    <w:multiLevelType w:val="hybridMultilevel"/>
    <w:lvl w:ilvl="0">
      <w:lvlJc w:val="left"/>
      <w:lvlText w:val="."/>
      <w:numFmt w:val="bullet"/>
      <w:start w:val="1"/>
    </w:lvl>
  </w:abstractNum>
  <w:abstractNum w:abstractNumId="68">
    <w:nsid w:val="541C8153"/>
    <w:multiLevelType w:val="hybridMultilevel"/>
    <w:lvl w:ilvl="0">
      <w:lvlJc w:val="left"/>
      <w:lvlText w:val="."/>
      <w:numFmt w:val="bullet"/>
      <w:start w:val="1"/>
    </w:lvl>
  </w:abstractNum>
  <w:abstractNum w:abstractNumId="69">
    <w:nsid w:val="67906F60"/>
    <w:multiLevelType w:val="hybridMultilevel"/>
    <w:lvl w:ilvl="0">
      <w:lvlJc w:val="left"/>
      <w:lvlText w:val="."/>
      <w:numFmt w:val="bullet"/>
      <w:start w:val="1"/>
    </w:lvl>
  </w:abstractNum>
  <w:abstractNum w:abstractNumId="70">
    <w:nsid w:val="10DB9DAA"/>
    <w:multiLevelType w:val="hybridMultilevel"/>
    <w:lvl w:ilvl="0">
      <w:lvlJc w:val="left"/>
      <w:lvlText w:val="."/>
      <w:numFmt w:val="bullet"/>
      <w:start w:val="1"/>
    </w:lvl>
  </w:abstractNum>
  <w:abstractNum w:abstractNumId="71">
    <w:nsid w:val="697D2D2"/>
    <w:multiLevelType w:val="hybridMultilevel"/>
    <w:lvl w:ilvl="0">
      <w:lvlJc w:val="left"/>
      <w:lvlText w:val="."/>
      <w:numFmt w:val="bullet"/>
      <w:start w:val="1"/>
    </w:lvl>
  </w:abstractNum>
  <w:abstractNum w:abstractNumId="72">
    <w:nsid w:val="6D68AB2"/>
    <w:multiLevelType w:val="hybridMultilevel"/>
    <w:lvl w:ilvl="0">
      <w:lvlJc w:val="left"/>
      <w:lvlText w:val="."/>
      <w:numFmt w:val="bullet"/>
      <w:start w:val="1"/>
    </w:lvl>
  </w:abstractNum>
  <w:abstractNum w:abstractNumId="73">
    <w:nsid w:val="3A966CD0"/>
    <w:multiLevelType w:val="hybridMultilevel"/>
    <w:lvl w:ilvl="0">
      <w:lvlJc w:val="left"/>
      <w:lvlText w:val="."/>
      <w:numFmt w:val="bullet"/>
      <w:start w:val="1"/>
    </w:lvl>
  </w:abstractNum>
  <w:abstractNum w:abstractNumId="74">
    <w:nsid w:val="63F37E85"/>
    <w:multiLevelType w:val="hybridMultilevel"/>
    <w:lvl w:ilvl="0">
      <w:lvlJc w:val="left"/>
      <w:lvlText w:val="*"/>
      <w:numFmt w:val="bullet"/>
      <w:start w:val="1"/>
    </w:lvl>
  </w:abstractNum>
  <w:abstractNum w:abstractNumId="75">
    <w:nsid w:val="5895F5FA"/>
    <w:multiLevelType w:val="hybridMultilevel"/>
    <w:lvl w:ilvl="0">
      <w:lvlJc w:val="left"/>
      <w:lvlText w:val="."/>
      <w:numFmt w:val="bullet"/>
      <w:start w:val="1"/>
    </w:lvl>
  </w:abstractNum>
  <w:abstractNum w:abstractNumId="76">
    <w:nsid w:val="38A5D054"/>
    <w:multiLevelType w:val="hybridMultilevel"/>
    <w:lvl w:ilvl="0">
      <w:lvlJc w:val="left"/>
      <w:lvlText w:val="."/>
      <w:numFmt w:val="bullet"/>
      <w:start w:val="1"/>
    </w:lvl>
  </w:abstractNum>
  <w:abstractNum w:abstractNumId="77">
    <w:nsid w:val="F3F09D8"/>
    <w:multiLevelType w:val="hybridMultilevel"/>
    <w:lvl w:ilvl="0">
      <w:lvlJc w:val="left"/>
      <w:lvlText w:val="."/>
      <w:numFmt w:val="bullet"/>
      <w:start w:val="1"/>
    </w:lvl>
  </w:abstractNum>
  <w:abstractNum w:abstractNumId="78">
    <w:nsid w:val="4B793735"/>
    <w:multiLevelType w:val="hybridMultilevel"/>
    <w:lvl w:ilvl="0">
      <w:lvlJc w:val="left"/>
      <w:lvlText w:val="."/>
      <w:numFmt w:val="bullet"/>
      <w:start w:val="1"/>
    </w:lvl>
  </w:abstractNum>
  <w:abstractNum w:abstractNumId="79">
    <w:nsid w:val="4A10B4E8"/>
    <w:multiLevelType w:val="hybridMultilevel"/>
    <w:lvl w:ilvl="0">
      <w:lvlJc w:val="left"/>
      <w:lvlText w:val="."/>
      <w:numFmt w:val="bullet"/>
      <w:start w:val="1"/>
    </w:lvl>
  </w:abstractNum>
  <w:abstractNum w:abstractNumId="80">
    <w:nsid w:val="43D3BCD4"/>
    <w:multiLevelType w:val="hybridMultilevel"/>
    <w:lvl w:ilvl="0">
      <w:lvlJc w:val="left"/>
      <w:lvlText w:val="."/>
      <w:numFmt w:val="bullet"/>
      <w:start w:val="1"/>
    </w:lvl>
  </w:abstractNum>
  <w:abstractNum w:abstractNumId="81">
    <w:nsid w:val="4C2A7166"/>
    <w:multiLevelType w:val="hybridMultilevel"/>
    <w:lvl w:ilvl="0">
      <w:lvlJc w:val="left"/>
      <w:lvlText w:val="."/>
      <w:numFmt w:val="bullet"/>
      <w:start w:val="1"/>
    </w:lvl>
  </w:abstractNum>
  <w:abstractNum w:abstractNumId="82">
    <w:nsid w:val="2E534A82"/>
    <w:multiLevelType w:val="hybridMultilevel"/>
    <w:lvl w:ilvl="0">
      <w:lvlJc w:val="left"/>
      <w:lvlText w:val="."/>
      <w:numFmt w:val="bullet"/>
      <w:start w:val="1"/>
    </w:lvl>
  </w:abstractNum>
  <w:abstractNum w:abstractNumId="83">
    <w:nsid w:val="26F2D364"/>
    <w:multiLevelType w:val="hybridMultilevel"/>
    <w:lvl w:ilvl="0">
      <w:lvlJc w:val="left"/>
      <w:lvlText w:val="."/>
      <w:numFmt w:val="bullet"/>
      <w:start w:val="1"/>
    </w:lvl>
  </w:abstractNum>
  <w:abstractNum w:abstractNumId="84">
    <w:nsid w:val="71C1AF98"/>
    <w:multiLevelType w:val="hybridMultilevel"/>
    <w:lvl w:ilvl="0">
      <w:lvlJc w:val="left"/>
      <w:lvlText w:val="."/>
      <w:numFmt w:val="bullet"/>
      <w:start w:val="1"/>
    </w:lvl>
  </w:abstractNum>
  <w:abstractNum w:abstractNumId="85">
    <w:nsid w:val="3D00B9D9"/>
    <w:multiLevelType w:val="hybridMultilevel"/>
    <w:lvl w:ilvl="0">
      <w:lvlJc w:val="left"/>
      <w:lvlText w:val="."/>
      <w:numFmt w:val="bullet"/>
      <w:start w:val="1"/>
    </w:lvl>
  </w:abstractNum>
  <w:abstractNum w:abstractNumId="86">
    <w:nsid w:val="15BCABA8"/>
    <w:multiLevelType w:val="hybridMultilevel"/>
    <w:lvl w:ilvl="0">
      <w:lvlJc w:val="left"/>
      <w:lvlText w:val="."/>
      <w:numFmt w:val="bullet"/>
      <w:start w:val="1"/>
    </w:lvl>
  </w:abstractNum>
  <w:abstractNum w:abstractNumId="87">
    <w:nsid w:val="4E0B9A87"/>
    <w:multiLevelType w:val="hybridMultilevel"/>
    <w:lvl w:ilvl="0">
      <w:lvlJc w:val="left"/>
      <w:lvlText w:val="."/>
      <w:numFmt w:val="bullet"/>
      <w:start w:val="1"/>
    </w:lvl>
  </w:abstractNum>
  <w:abstractNum w:abstractNumId="88">
    <w:nsid w:val="434BAE75"/>
    <w:multiLevelType w:val="hybridMultilevel"/>
    <w:lvl w:ilvl="0">
      <w:lvlJc w:val="left"/>
      <w:lvlText w:val="."/>
      <w:numFmt w:val="bullet"/>
      <w:start w:val="1"/>
    </w:lvl>
  </w:abstractNum>
  <w:abstractNum w:abstractNumId="89">
    <w:nsid w:val="4F38F265"/>
    <w:multiLevelType w:val="hybridMultilevel"/>
    <w:lvl w:ilvl="0">
      <w:lvlJc w:val="left"/>
      <w:lvlText w:val="."/>
      <w:numFmt w:val="bullet"/>
      <w:start w:val="1"/>
    </w:lvl>
  </w:abstractNum>
  <w:abstractNum w:abstractNumId="90">
    <w:nsid w:val="4C502870"/>
    <w:multiLevelType w:val="hybridMultilevel"/>
    <w:lvl w:ilvl="0">
      <w:lvlJc w:val="left"/>
      <w:lvlText w:val="."/>
      <w:numFmt w:val="bullet"/>
      <w:start w:val="1"/>
    </w:lvl>
  </w:abstractNum>
  <w:abstractNum w:abstractNumId="91">
    <w:nsid w:val="1DE8725A"/>
    <w:multiLevelType w:val="hybridMultilevel"/>
    <w:lvl w:ilvl="0">
      <w:lvlJc w:val="left"/>
      <w:lvlText w:val="."/>
      <w:numFmt w:val="bullet"/>
      <w:start w:val="1"/>
    </w:lvl>
  </w:abstractNum>
  <w:abstractNum w:abstractNumId="92">
    <w:nsid w:val="6A37288A"/>
    <w:multiLevelType w:val="hybridMultilevel"/>
    <w:lvl w:ilvl="0">
      <w:lvlJc w:val="left"/>
      <w:lvlText w:val="."/>
      <w:numFmt w:val="bullet"/>
      <w:start w:val="1"/>
    </w:lvl>
  </w:abstractNum>
  <w:abstractNum w:abstractNumId="93">
    <w:nsid w:val="8F8B73F"/>
    <w:multiLevelType w:val="hybridMultilevel"/>
    <w:lvl w:ilvl="0">
      <w:lvlJc w:val="left"/>
      <w:lvlText w:val="(%1)"/>
      <w:numFmt w:val="decimal"/>
      <w:start w:val="2"/>
    </w:lvl>
  </w:abstractNum>
  <w:abstractNum w:abstractNumId="94">
    <w:nsid w:val="CA6B462"/>
    <w:multiLevelType w:val="hybridMultilevel"/>
    <w:lvl w:ilvl="0">
      <w:lvlJc w:val="left"/>
      <w:lvlText w:val="."/>
      <w:numFmt w:val="bullet"/>
      <w:start w:val="1"/>
    </w:lvl>
  </w:abstractNum>
  <w:abstractNum w:abstractNumId="95">
    <w:nsid w:val="763CB680"/>
    <w:multiLevelType w:val="hybridMultilevel"/>
    <w:lvl w:ilvl="0">
      <w:lvlJc w:val="left"/>
      <w:lvlText w:val="(%1)"/>
      <w:numFmt w:val="lowerLetter"/>
      <w:start w:val="3"/>
    </w:lvl>
  </w:abstractNum>
  <w:abstractNum w:abstractNumId="96">
    <w:nsid w:val="15B71329"/>
    <w:multiLevelType w:val="hybridMultilevel"/>
    <w:lvl w:ilvl="0">
      <w:lvlJc w:val="left"/>
      <w:lvlText w:val="&amp;"/>
      <w:numFmt w:val="bullet"/>
      <w:start w:val="1"/>
    </w:lvl>
  </w:abstractNum>
  <w:abstractNum w:abstractNumId="97">
    <w:nsid w:val="3DA97044"/>
    <w:multiLevelType w:val="hybridMultilevel"/>
    <w:lvl w:ilvl="0">
      <w:lvlJc w:val="left"/>
      <w:lvlText w:val="%1."/>
      <w:numFmt w:val="decimal"/>
      <w:start w:val="11"/>
    </w:lvl>
  </w:abstractNum>
  <w:abstractNum w:abstractNumId="98">
    <w:nsid w:val="1CDCE2DE"/>
    <w:multiLevelType w:val="hybridMultilevel"/>
    <w:lvl w:ilvl="0">
      <w:lvlJc w:val="left"/>
      <w:lvlText w:val="-"/>
      <w:numFmt w:val="bullet"/>
      <w:start w:val="1"/>
    </w:lvl>
  </w:abstractNum>
  <w:abstractNum w:abstractNumId="99">
    <w:nsid w:val="69D3947C"/>
    <w:multiLevelType w:val="hybridMultilevel"/>
    <w:lvl w:ilvl="0">
      <w:lvlJc w:val="left"/>
      <w:lvlText w:val="-"/>
      <w:numFmt w:val="bullet"/>
      <w:start w:val="1"/>
    </w:lvl>
  </w:abstractNum>
  <w:abstractNum w:abstractNumId="100">
    <w:nsid w:val="2539DFA5"/>
    <w:multiLevelType w:val="hybridMultilevel"/>
    <w:lvl w:ilvl="0">
      <w:lvlJc w:val="left"/>
      <w:lvlText w:val="-"/>
      <w:numFmt w:val="bullet"/>
      <w:start w:val="1"/>
    </w:lvl>
  </w:abstractNum>
  <w:abstractNum w:abstractNumId="101">
    <w:nsid w:val="2DB88089"/>
    <w:multiLevelType w:val="hybridMultilevel"/>
    <w:lvl w:ilvl="0">
      <w:lvlJc w:val="left"/>
      <w:lvlText w:val="%1."/>
      <w:numFmt w:val="decimal"/>
      <w:start w:val="701"/>
    </w:lvl>
  </w:abstractNum>
  <w:abstractNum w:abstractNumId="102">
    <w:nsid w:val="706B674E"/>
    <w:multiLevelType w:val="hybridMultilevel"/>
    <w:lvl w:ilvl="0">
      <w:lvlJc w:val="left"/>
      <w:lvlText w:val="%1."/>
      <w:numFmt w:val="decimal"/>
      <w:start w:val="1"/>
    </w:lvl>
  </w:abstractNum>
  <w:abstractNum w:abstractNumId="103">
    <w:nsid w:val="2C106A57"/>
    <w:multiLevelType w:val="hybridMultilevel"/>
    <w:lvl w:ilvl="0">
      <w:lvlJc w:val="left"/>
      <w:lvlText w:val="%1."/>
      <w:numFmt w:val="decimal"/>
      <w:start w:val="7"/>
    </w:lvl>
  </w:abstractNum>
  <w:abstractNum w:abstractNumId="104">
    <w:nsid w:val="684EED59"/>
    <w:multiLevelType w:val="hybridMultilevel"/>
    <w:lvl w:ilvl="0">
      <w:lvlJc w:val="left"/>
      <w:lvlText w:val="*"/>
      <w:numFmt w:val="bullet"/>
      <w:start w:val="1"/>
    </w:lvl>
  </w:abstractNum>
  <w:abstractNum w:abstractNumId="105">
    <w:nsid w:val="545EE5D3"/>
    <w:multiLevelType w:val="hybridMultilevel"/>
    <w:lvl w:ilvl="0">
      <w:lvlJc w:val="left"/>
      <w:lvlText w:val="+"/>
      <w:numFmt w:val="bullet"/>
      <w:start w:val="1"/>
    </w:lvl>
  </w:abstractNum>
  <w:abstractNum w:abstractNumId="106">
    <w:nsid w:val="4A66051"/>
    <w:multiLevelType w:val="hybridMultilevel"/>
    <w:lvl w:ilvl="0">
      <w:lvlJc w:val="left"/>
      <w:lvlText w:val="%1."/>
      <w:numFmt w:val="decimal"/>
      <w:start w:val="1"/>
    </w:lvl>
  </w:abstractNum>
  <w:abstractNum w:abstractNumId="107">
    <w:nsid w:val="20F4BDAD"/>
    <w:multiLevelType w:val="hybridMultilevel"/>
    <w:lvl w:ilvl="0">
      <w:lvlJc w:val="left"/>
      <w:lvlText w:val="*"/>
      <w:numFmt w:val="bullet"/>
      <w:start w:val="1"/>
    </w:lvl>
  </w:abstractNum>
  <w:abstractNum w:abstractNumId="108">
    <w:nsid w:val="639DEFAC"/>
    <w:multiLevelType w:val="hybridMultilevel"/>
    <w:lvl w:ilvl="0">
      <w:lvlJc w:val="left"/>
      <w:lvlText w:val="+"/>
      <w:numFmt w:val="bullet"/>
      <w:start w:val="1"/>
    </w:lvl>
  </w:abstractNum>
  <w:abstractNum w:abstractNumId="109">
    <w:nsid w:val="501F9786"/>
    <w:multiLevelType w:val="hybridMultilevel"/>
    <w:lvl w:ilvl="0">
      <w:lvlJc w:val="left"/>
      <w:lvlText w:val="%1."/>
      <w:numFmt w:val="upperLetter"/>
      <w:start w:val="9"/>
    </w:lvl>
  </w:abstractNum>
  <w:abstractNum w:abstractNumId="110">
    <w:nsid w:val="6B057295"/>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111">
    <w:nsid w:val="2771AC80"/>
    <w:multiLevelType w:val="hybridMultilevel"/>
    <w:lvl w:ilvl="0">
      <w:lvlJc w:val="left"/>
      <w:lvlText w:val="%1."/>
      <w:numFmt w:val="upperLetter"/>
      <w:start w:val="61"/>
    </w:lvl>
    <w:lvl w:ilvl="1">
      <w:lvlJc w:val="left"/>
      <w:lvlText w:val="%2"/>
      <w:numFmt w:val="upperLetter"/>
      <w:start w:val="1"/>
    </w:lvl>
  </w:abstractNum>
  <w:abstractNum w:abstractNumId="112">
    <w:nsid w:val="1C4A08EC"/>
    <w:multiLevelType w:val="hybridMultilevel"/>
    <w:lvl w:ilvl="0">
      <w:lvlJc w:val="left"/>
      <w:lvlText w:val="%1"/>
      <w:numFmt w:val="upperLetter"/>
      <w:start w:val="1"/>
    </w:lvl>
    <w:lvl w:ilvl="1">
      <w:lvlJc w:val="left"/>
      <w:lvlText w:val="(%2)"/>
      <w:numFmt w:val="lowerRoman"/>
      <w:start w:val="1"/>
    </w:lvl>
  </w:abstractNum>
  <w:abstractNum w:abstractNumId="113">
    <w:nsid w:val="1958BD17"/>
    <w:multiLevelType w:val="hybridMultilevel"/>
    <w:lvl w:ilvl="0">
      <w:lvlJc w:val="left"/>
      <w:lvlText w:val="%1."/>
      <w:numFmt w:val="upperLetter"/>
      <w:start w:val="2"/>
    </w:lvl>
    <w:lvl w:ilvl="1">
      <w:lvlJc w:val="left"/>
      <w:lvlText w:val="(%2)"/>
      <w:numFmt w:val="lowerRoman"/>
      <w:start w:val="1"/>
    </w:lvl>
  </w:abstractNum>
  <w:abstractNum w:abstractNumId="114">
    <w:nsid w:val="4E647FE4"/>
    <w:multiLevelType w:val="hybridMultilevel"/>
    <w:lvl w:ilvl="0">
      <w:lvlJc w:val="left"/>
      <w:lvlText w:val="%1."/>
      <w:numFmt w:val="upperLetter"/>
      <w:start w:val="3"/>
    </w:lvl>
  </w:abstractNum>
  <w:abstractNum w:abstractNumId="115">
    <w:nsid w:val="E0BB885"/>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116">
    <w:nsid w:val="565976F1"/>
    <w:multiLevelType w:val="hybridMultilevel"/>
    <w:lvl w:ilvl="0">
      <w:lvlJc w:val="left"/>
      <w:lvlText w:val="%1."/>
      <w:numFmt w:val="upperLetter"/>
      <w:start w:val="22"/>
    </w:lvl>
    <w:lvl w:ilvl="1">
      <w:lvlJc w:val="left"/>
      <w:lvlText w:val="%2."/>
      <w:numFmt w:val="upperLetter"/>
      <w:start w:val="1"/>
    </w:lvl>
    <w:lvl w:ilvl="2">
      <w:lvlJc w:val="left"/>
      <w:lvlText w:val="%3"/>
      <w:numFmt w:val="lowerRoman"/>
      <w:start w:val="1"/>
    </w:lvl>
  </w:abstractNum>
  <w:abstractNum w:abstractNumId="117">
    <w:nsid w:val="64212B8C"/>
    <w:multiLevelType w:val="hybridMultilevel"/>
    <w:lvl w:ilvl="0">
      <w:lvlJc w:val="left"/>
      <w:lvlText w:val="%1."/>
      <w:numFmt w:val="upperLetter"/>
      <w:start w:val="5"/>
    </w:lvl>
  </w:abstractNum>
  <w:abstractNum w:abstractNumId="118">
    <w:nsid w:val="5C17530C"/>
    <w:multiLevelType w:val="hybridMultilevel"/>
    <w:lvl w:ilvl="0">
      <w:lvlJc w:val="left"/>
      <w:lvlText w:val="%1."/>
      <w:numFmt w:val="upperLetter"/>
      <w:start w:val="9"/>
    </w:lvl>
  </w:abstractNum>
  <w:abstractNum w:abstractNumId="119">
    <w:nsid w:val="19A52566"/>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20">
    <w:nsid w:val="335A1DF1"/>
    <w:multiLevelType w:val="hybridMultilevel"/>
    <w:lvl w:ilvl="0">
      <w:lvlJc w:val="left"/>
      <w:lvlText w:val="%1."/>
      <w:numFmt w:val="upperLetter"/>
      <w:start w:val="2"/>
    </w:lvl>
  </w:abstractNum>
  <w:abstractNum w:abstractNumId="121">
    <w:nsid w:val="28677B7C"/>
    <w:multiLevelType w:val="hybridMultilevel"/>
    <w:lvl w:ilvl="0">
      <w:lvlJc w:val="left"/>
      <w:lvlText w:val="(%1)"/>
      <w:numFmt w:val="decimal"/>
      <w:start w:val="10"/>
    </w:lvl>
  </w:abstractNum>
  <w:abstractNum w:abstractNumId="122">
    <w:nsid w:val="378D97C0"/>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123">
    <w:nsid w:val="1D91467C"/>
    <w:multiLevelType w:val="hybridMultilevel"/>
    <w:lvl w:ilvl="0">
      <w:lvlJc w:val="left"/>
      <w:lvlText w:val="%1."/>
      <w:numFmt w:val="upperLetter"/>
      <w:start w:val="5"/>
    </w:lvl>
  </w:abstractNum>
  <w:abstractNum w:abstractNumId="124">
    <w:nsid w:val="316032BB"/>
    <w:multiLevelType w:val="hybridMultilevel"/>
    <w:lvl w:ilvl="0">
      <w:lvlJc w:val="left"/>
      <w:lvlText w:val="%1."/>
      <w:numFmt w:val="upperLetter"/>
      <w:start w:val="6"/>
    </w:lvl>
  </w:abstractNum>
  <w:abstractNum w:abstractNumId="125">
    <w:nsid w:val="44344C22"/>
    <w:multiLevelType w:val="hybridMultilevel"/>
    <w:lvl w:ilvl="0">
      <w:lvlJc w:val="left"/>
      <w:lvlText w:val="%1."/>
      <w:numFmt w:val="upperLetter"/>
      <w:start w:val="35"/>
    </w:lvl>
  </w:abstractNum>
  <w:abstractNum w:abstractNumId="126">
    <w:nsid w:val="13CDFCFC"/>
    <w:multiLevelType w:val="hybridMultilevel"/>
    <w:lvl w:ilvl="0">
      <w:lvlJc w:val="left"/>
      <w:lvlText w:val="%1."/>
      <w:numFmt w:val="upperLetter"/>
      <w:start w:val="1"/>
    </w:lvl>
  </w:abstractNum>
  <w:abstractNum w:abstractNumId="127">
    <w:nsid w:val="471745E4"/>
    <w:multiLevelType w:val="hybridMultilevel"/>
    <w:lvl w:ilvl="0">
      <w:lvlJc w:val="left"/>
      <w:lvlText w:val="%1."/>
      <w:numFmt w:val="upperLetter"/>
      <w:start w:val="2"/>
    </w:lvl>
  </w:abstractNum>
  <w:abstractNum w:abstractNumId="128">
    <w:nsid w:val="1DDBC66"/>
    <w:multiLevelType w:val="hybridMultilevel"/>
    <w:lvl w:ilvl="0">
      <w:lvlJc w:val="left"/>
      <w:lvlText w:val="%1."/>
      <w:numFmt w:val="upperLetter"/>
      <w:start w:val="3"/>
    </w:lvl>
  </w:abstractNum>
  <w:abstractNum w:abstractNumId="129">
    <w:nsid w:val="30AADFDA"/>
    <w:multiLevelType w:val="hybridMultilevel"/>
    <w:lvl w:ilvl="0">
      <w:lvlJc w:val="left"/>
      <w:lvlText w:val="%1."/>
      <w:numFmt w:val="upperLetter"/>
      <w:start w:val="4"/>
    </w:lvl>
  </w:abstractNum>
  <w:abstractNum w:abstractNumId="130">
    <w:nsid w:val="30EADA61"/>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131">
    <w:nsid w:val="27179C0B"/>
    <w:multiLevelType w:val="hybridMultilevel"/>
    <w:lvl w:ilvl="0">
      <w:lvlJc w:val="left"/>
      <w:lvlText w:val="%1."/>
      <w:numFmt w:val="upperLetter"/>
      <w:start w:val="5"/>
    </w:lvl>
  </w:abstractNum>
  <w:abstractNum w:abstractNumId="132">
    <w:nsid w:val="5E636063"/>
    <w:multiLevelType w:val="hybridMultilevel"/>
    <w:lvl w:ilvl="0">
      <w:lvlJc w:val="left"/>
      <w:lvlText w:val="%1."/>
      <w:numFmt w:val="upperLetter"/>
      <w:start w:val="7"/>
    </w:lvl>
  </w:abstractNum>
  <w:abstractNum w:abstractNumId="133">
    <w:nsid w:val="215641AF"/>
    <w:multiLevelType w:val="hybridMultilevel"/>
    <w:lvl w:ilvl="0">
      <w:lvlJc w:val="left"/>
      <w:lvlText w:val="%1."/>
      <w:numFmt w:val="upperLetter"/>
      <w:start w:val="9"/>
    </w:lvl>
  </w:abstractNum>
  <w:abstractNum w:abstractNumId="134">
    <w:nsid w:val="5328066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135">
    <w:nsid w:val="46B24DBC"/>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136">
    <w:nsid w:val="75B52783"/>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137">
    <w:nsid w:val="57CE66B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38">
    <w:nsid w:val="67A70B69"/>
    <w:multiLevelType w:val="hybridMultilevel"/>
    <w:lvl w:ilvl="0">
      <w:lvlJc w:val="left"/>
      <w:lvlText w:val="%1."/>
      <w:numFmt w:val="upperLetter"/>
      <w:start w:val="61"/>
    </w:lvl>
  </w:abstractNum>
  <w:abstractNum w:abstractNumId="139">
    <w:nsid w:val="5953172F"/>
    <w:multiLevelType w:val="hybridMultilevel"/>
    <w:lvl w:ilvl="0">
      <w:lvlJc w:val="left"/>
      <w:lvlText w:val="%1."/>
      <w:numFmt w:val="upperLetter"/>
      <w:start w:val="9"/>
    </w:lvl>
    <w:lvl w:ilvl="1">
      <w:lvlJc w:val="left"/>
      <w:lvlText w:val="%2."/>
      <w:numFmt w:val="upperLetter"/>
      <w:start w:val="1"/>
    </w:lvl>
  </w:abstractNum>
  <w:abstractNum w:abstractNumId="140">
    <w:nsid w:val="27EDFE3A"/>
    <w:multiLevelType w:val="hybridMultilevel"/>
    <w:lvl w:ilvl="0">
      <w:lvlJc w:val="left"/>
      <w:lvlText w:val="%1"/>
      <w:numFmt w:val="upperLetter"/>
      <w:start w:val="1"/>
    </w:lvl>
    <w:lvl w:ilvl="1">
      <w:lvlJc w:val="left"/>
      <w:lvlText w:val="%2."/>
      <w:numFmt w:val="decimal"/>
      <w:start w:val="1"/>
    </w:lvl>
  </w:abstractNum>
  <w:abstractNum w:abstractNumId="141">
    <w:nsid w:val="52AC7DFF"/>
    <w:multiLevelType w:val="hybridMultilevel"/>
    <w:lvl w:ilvl="0">
      <w:lvlJc w:val="left"/>
      <w:lvlText w:val="%1."/>
      <w:numFmt w:val="upperLetter"/>
      <w:start w:val="2"/>
    </w:lvl>
    <w:lvl w:ilvl="1">
      <w:lvlJc w:val="left"/>
      <w:lvlText w:val="%2."/>
      <w:numFmt w:val="decimal"/>
      <w:start w:val="1"/>
    </w:lvl>
  </w:abstractNum>
  <w:abstractNum w:abstractNumId="142">
    <w:nsid w:val="C4C3AF"/>
    <w:multiLevelType w:val="hybridMultilevel"/>
    <w:lvl w:ilvl="0">
      <w:lvlJc w:val="left"/>
      <w:lvlText w:val="%1."/>
      <w:numFmt w:val="upperLetter"/>
      <w:start w:val="4"/>
    </w:lvl>
  </w:abstractNum>
  <w:abstractNum w:abstractNumId="143">
    <w:nsid w:val="44380727"/>
    <w:multiLevelType w:val="hybridMultilevel"/>
    <w:lvl w:ilvl="0">
      <w:lvlJc w:val="left"/>
      <w:lvlText w:val="(%1)"/>
      <w:numFmt w:val="decimal"/>
      <w:start w:val="1"/>
    </w:lvl>
  </w:abstractNum>
  <w:abstractNum w:abstractNumId="144">
    <w:nsid w:val="6C053B16"/>
    <w:multiLevelType w:val="hybridMultilevel"/>
    <w:lvl w:ilvl="0">
      <w:lvlJc w:val="left"/>
      <w:lvlText w:val="%1."/>
      <w:numFmt w:val="upperLetter"/>
      <w:start w:val="5"/>
    </w:lvl>
  </w:abstractNum>
  <w:abstractNum w:abstractNumId="145">
    <w:nsid w:val="4F294393"/>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146">
    <w:nsid w:val="5243BFAC"/>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147">
    <w:nsid w:val="425EB207"/>
    <w:multiLevelType w:val="hybridMultilevel"/>
    <w:lvl w:ilvl="0">
      <w:lvlJc w:val="left"/>
      <w:lvlText w:val="%1."/>
      <w:numFmt w:val="upperLetter"/>
      <w:start w:val="4"/>
    </w:lvl>
  </w:abstractNum>
  <w:abstractNum w:abstractNumId="148">
    <w:nsid w:val="334A6F1F"/>
    <w:multiLevelType w:val="hybridMultilevel"/>
    <w:lvl w:ilvl="0">
      <w:lvlJc w:val="left"/>
      <w:lvlText w:val="%1."/>
      <w:numFmt w:val="upperLetter"/>
      <w:start w:val="61"/>
    </w:lvl>
  </w:abstractNum>
  <w:abstractNum w:abstractNumId="149">
    <w:nsid w:val="2E5B12B8"/>
    <w:multiLevelType w:val="hybridMultilevel"/>
    <w:lvl w:ilvl="0">
      <w:lvlJc w:val="left"/>
      <w:lvlText w:val="%1."/>
      <w:numFmt w:val="upperLetter"/>
      <w:start w:val="9"/>
    </w:lvl>
  </w:abstractNum>
  <w:abstractNum w:abstractNumId="150">
    <w:nsid w:val="5C03D76D"/>
    <w:multiLevelType w:val="hybridMultilevel"/>
    <w:lvl w:ilvl="0">
      <w:lvlJc w:val="left"/>
      <w:lvlText w:val="%1."/>
      <w:numFmt w:val="upperLetter"/>
      <w:start w:val="35"/>
    </w:lvl>
  </w:abstractNum>
  <w:abstractNum w:abstractNumId="151">
    <w:nsid w:val="66A48D11"/>
    <w:multiLevelType w:val="hybridMultilevel"/>
    <w:lvl w:ilvl="0">
      <w:lvlJc w:val="left"/>
      <w:lvlText w:val="%1."/>
      <w:numFmt w:val="upperLetter"/>
      <w:start w:val="61"/>
    </w:lvl>
    <w:lvl w:ilvl="1">
      <w:lvlJc w:val="left"/>
      <w:lvlText w:val="%2."/>
      <w:numFmt w:val="upperLetter"/>
      <w:start w:val="1"/>
    </w:lvl>
  </w:abstractNum>
  <w:abstractNum w:abstractNumId="152">
    <w:nsid w:val="56C28E34"/>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153">
    <w:nsid w:val="13916F2D"/>
    <w:multiLevelType w:val="hybridMultilevel"/>
    <w:lvl w:ilvl="0">
      <w:lvlJc w:val="left"/>
      <w:lvlText w:val="(%1)"/>
      <w:numFmt w:val="lowerRoman"/>
      <w:start w:val="2"/>
    </w:lvl>
    <w:lvl w:ilvl="1">
      <w:lvlJc w:val="left"/>
      <w:lvlText w:val="%2."/>
      <w:numFmt w:val="upperLetter"/>
      <w:start w:val="22"/>
    </w:lvl>
    <w:lvl w:ilvl="2">
      <w:lvlJc w:val="left"/>
      <w:lvlText w:val="%3."/>
      <w:numFmt w:val="upperLetter"/>
      <w:start w:val="1"/>
    </w:lvl>
  </w:abstractNum>
  <w:abstractNum w:abstractNumId="154">
    <w:nsid w:val="435D38D"/>
    <w:multiLevelType w:val="hybridMultilevel"/>
    <w:lvl w:ilvl="0">
      <w:lvlJc w:val="left"/>
      <w:lvlText w:val="%1."/>
      <w:numFmt w:val="upperLetter"/>
      <w:start w:val="1"/>
    </w:lvl>
  </w:abstractNum>
  <w:abstractNum w:abstractNumId="155">
    <w:nsid w:val="822C0EF"/>
    <w:multiLevelType w:val="hybridMultilevel"/>
    <w:lvl w:ilvl="0">
      <w:lvlJc w:val="left"/>
      <w:lvlText w:val="%1."/>
      <w:numFmt w:val="upperLetter"/>
      <w:start w:val="1"/>
    </w:lvl>
  </w:abstractNum>
  <w:abstractNum w:abstractNumId="156">
    <w:nsid w:val="57C5BB4F"/>
    <w:multiLevelType w:val="hybridMultilevel"/>
    <w:lvl w:ilvl="0">
      <w:lvlJc w:val="left"/>
      <w:lvlText w:val="%1."/>
      <w:numFmt w:val="upperLetter"/>
      <w:start w:val="2"/>
    </w:lvl>
  </w:abstractNum>
  <w:abstractNum w:abstractNumId="157">
    <w:nsid w:val="1803D089"/>
    <w:multiLevelType w:val="hybridMultilevel"/>
    <w:lvl w:ilvl="0">
      <w:lvlJc w:val="left"/>
      <w:lvlText w:val="%1."/>
      <w:numFmt w:val="upperLetter"/>
      <w:start w:val="3"/>
    </w:lvl>
  </w:abstractNum>
  <w:abstractNum w:abstractNumId="158">
    <w:nsid w:val="4F3A06D4"/>
    <w:multiLevelType w:val="hybridMultilevel"/>
    <w:lvl w:ilvl="0">
      <w:lvlJc w:val="left"/>
      <w:lvlText w:val="(%1)"/>
      <w:numFmt w:val="lowerRoman"/>
      <w:start w:val="1"/>
    </w:lvl>
  </w:abstractNum>
  <w:abstractNum w:abstractNumId="159">
    <w:nsid w:val="59A377B6"/>
    <w:multiLevelType w:val="hybridMultilevel"/>
    <w:lvl w:ilvl="0">
      <w:lvlJc w:val="left"/>
      <w:lvlText w:val="%1"/>
      <w:numFmt w:val="upperLetter"/>
      <w:start w:val="1"/>
    </w:lvl>
    <w:lvl w:ilvl="1">
      <w:lvlJc w:val="left"/>
      <w:lvlText w:val="(%2)"/>
      <w:numFmt w:val="lowerRoman"/>
      <w:start w:val="2"/>
    </w:lvl>
  </w:abstractNum>
  <w:abstractNum w:abstractNumId="160">
    <w:nsid w:val="48AEB063"/>
    <w:multiLevelType w:val="hybridMultilevel"/>
    <w:lvl w:ilvl="0">
      <w:lvlJc w:val="left"/>
      <w:lvlText w:val="%1."/>
      <w:numFmt w:val="upperLetter"/>
      <w:start w:val="5"/>
    </w:lvl>
    <w:lvl w:ilvl="1">
      <w:lvlJc w:val="left"/>
      <w:lvlText w:val="%2"/>
      <w:numFmt w:val="lowerRoman"/>
      <w:start w:val="1"/>
    </w:lvl>
  </w:abstractNum>
  <w:abstractNum w:abstractNumId="161">
    <w:nsid w:val="24E135"/>
    <w:multiLevelType w:val="hybridMultilevel"/>
    <w:lvl w:ilvl="0">
      <w:lvlJc w:val="left"/>
      <w:lvlText w:val="%1."/>
      <w:numFmt w:val="upperLetter"/>
      <w:start w:val="8"/>
    </w:lvl>
  </w:abstractNum>
  <w:abstractNum w:abstractNumId="162">
    <w:nsid w:val="BB13C1"/>
    <w:multiLevelType w:val="hybridMultilevel"/>
    <w:lvl w:ilvl="0">
      <w:lvlJc w:val="left"/>
      <w:lvlText w:val="%1."/>
      <w:numFmt w:val="upperLetter"/>
      <w:start w:val="9"/>
    </w:lvl>
  </w:abstractNum>
  <w:abstractNum w:abstractNumId="163">
    <w:nsid w:val="271210C7"/>
    <w:multiLevelType w:val="hybridMultilevel"/>
    <w:lvl w:ilvl="0">
      <w:lvlJc w:val="left"/>
      <w:lvlText w:val="%1."/>
      <w:numFmt w:val="upperLetter"/>
      <w:start w:val="10"/>
    </w:lvl>
  </w:abstractNum>
  <w:abstractNum w:abstractNumId="164">
    <w:nsid w:val="217B22E4"/>
    <w:multiLevelType w:val="hybridMultilevel"/>
    <w:lvl w:ilvl="0">
      <w:lvlJc w:val="left"/>
      <w:lvlText w:val="%1."/>
      <w:numFmt w:val="upperLetter"/>
      <w:start w:val="11"/>
    </w:lvl>
  </w:abstractNum>
  <w:abstractNum w:abstractNumId="165">
    <w:nsid w:val="53E31A24"/>
    <w:multiLevelType w:val="hybridMultilevel"/>
    <w:lvl w:ilvl="0">
      <w:lvlJc w:val="left"/>
      <w:lvlText w:val="%1"/>
      <w:numFmt w:val="upperLetter"/>
      <w:start w:val="1"/>
    </w:lvl>
    <w:lvl w:ilvl="1">
      <w:lvlJc w:val="left"/>
      <w:lvlText w:val="(%2)"/>
      <w:numFmt w:val="lowerRoman"/>
      <w:start w:val="1"/>
    </w:lvl>
  </w:abstractNum>
  <w:abstractNum w:abstractNumId="166">
    <w:nsid w:val="6DC45E83"/>
    <w:multiLevelType w:val="hybridMultilevel"/>
    <w:lvl w:ilvl="0">
      <w:lvlJc w:val="left"/>
      <w:lvlText w:val="%1."/>
      <w:numFmt w:val="upperLetter"/>
      <w:start w:val="12"/>
    </w:lvl>
    <w:lvl w:ilvl="1">
      <w:lvlJc w:val="left"/>
      <w:lvlText w:val="(%2)"/>
      <w:numFmt w:val="lowerRoman"/>
      <w:start w:val="1"/>
    </w:lvl>
  </w:abstractNum>
  <w:abstractNum w:abstractNumId="167">
    <w:nsid w:val="17304A67"/>
    <w:multiLevelType w:val="hybridMultilevel"/>
    <w:lvl w:ilvl="0">
      <w:lvlJc w:val="left"/>
      <w:lvlText w:val="%1"/>
      <w:numFmt w:val="upperLetter"/>
      <w:start w:val="1"/>
    </w:lvl>
    <w:lvl w:ilvl="1">
      <w:lvlJc w:val="left"/>
      <w:lvlText w:val="(%2)"/>
      <w:numFmt w:val="lowerRoman"/>
      <w:start w:val="2"/>
    </w:lvl>
  </w:abstractNum>
  <w:abstractNum w:abstractNumId="168">
    <w:nsid w:val="2BB180D8"/>
    <w:multiLevelType w:val="hybridMultilevel"/>
    <w:lvl w:ilvl="0">
      <w:lvlJc w:val="left"/>
      <w:lvlText w:val="%1."/>
      <w:numFmt w:val="upperLetter"/>
      <w:start w:val="13"/>
    </w:lvl>
    <w:lvl w:ilvl="1">
      <w:lvlJc w:val="left"/>
      <w:lvlText w:val="%2"/>
      <w:numFmt w:val="lowerRoman"/>
      <w:start w:val="1"/>
    </w:lvl>
  </w:abstractNum>
  <w:abstractNum w:abstractNumId="169">
    <w:nsid w:val="556B69ED"/>
    <w:multiLevelType w:val="hybridMultilevel"/>
    <w:lvl w:ilvl="0">
      <w:lvlJc w:val="left"/>
      <w:lvlText w:val="%1."/>
      <w:numFmt w:val="upperLetter"/>
      <w:start w:val="14"/>
    </w:lvl>
  </w:abstractNum>
  <w:abstractNum w:abstractNumId="170">
    <w:nsid w:val="70836196"/>
    <w:multiLevelType w:val="hybridMultilevel"/>
    <w:lvl w:ilvl="0">
      <w:lvlJc w:val="left"/>
      <w:lvlText w:val="(%1)"/>
      <w:numFmt w:val="lowerRoman"/>
      <w:start w:val="1"/>
    </w:lvl>
  </w:abstractNum>
  <w:abstractNum w:abstractNumId="171">
    <w:nsid w:val="539F7F12"/>
    <w:multiLevelType w:val="hybridMultilevel"/>
    <w:lvl w:ilvl="0">
      <w:lvlJc w:val="left"/>
      <w:lvlText w:val="%1."/>
      <w:numFmt w:val="upperLetter"/>
      <w:start w:val="15"/>
    </w:lvl>
  </w:abstractNum>
  <w:abstractNum w:abstractNumId="172">
    <w:nsid w:val="2817E7EC"/>
    <w:multiLevelType w:val="hybridMultilevel"/>
    <w:lvl w:ilvl="0">
      <w:lvlJc w:val="left"/>
      <w:lvlText w:val="%1."/>
      <w:numFmt w:val="upperLetter"/>
      <w:start w:val="16"/>
    </w:lvl>
  </w:abstractNum>
  <w:abstractNum w:abstractNumId="173">
    <w:nsid w:val="71482545"/>
    <w:multiLevelType w:val="hybridMultilevel"/>
    <w:lvl w:ilvl="0">
      <w:lvlJc w:val="left"/>
      <w:lvlText w:val="%1."/>
      <w:numFmt w:val="upperLetter"/>
      <w:start w:val="17"/>
    </w:lvl>
  </w:abstractNum>
  <w:abstractNum w:abstractNumId="174">
    <w:nsid w:val="17D78639"/>
    <w:multiLevelType w:val="hybridMultilevel"/>
    <w:lvl w:ilvl="0">
      <w:lvlJc w:val="left"/>
      <w:lvlText w:val="%1."/>
      <w:numFmt w:val="upperLetter"/>
      <w:start w:val="18"/>
    </w:lvl>
  </w:abstractNum>
  <w:abstractNum w:abstractNumId="175">
    <w:nsid w:val="141D2302"/>
    <w:multiLevelType w:val="hybridMultilevel"/>
    <w:lvl w:ilvl="0">
      <w:lvlJc w:val="left"/>
      <w:lvlText w:val="%1."/>
      <w:numFmt w:val="upperLetter"/>
      <w:start w:val="19"/>
    </w:lvl>
  </w:abstractNum>
  <w:abstractNum w:abstractNumId="176">
    <w:nsid w:val="407168D8"/>
    <w:multiLevelType w:val="hybridMultilevel"/>
    <w:lvl w:ilvl="0">
      <w:lvlJc w:val="left"/>
      <w:lvlText w:val="%1."/>
      <w:numFmt w:val="upperLetter"/>
      <w:start w:val="20"/>
    </w:lvl>
  </w:abstractNum>
  <w:abstractNum w:abstractNumId="177">
    <w:nsid w:val="6A1B45E5"/>
    <w:multiLevelType w:val="hybridMultilevel"/>
    <w:lvl w:ilvl="0">
      <w:lvlJc w:val="left"/>
      <w:lvlText w:val="%1."/>
      <w:numFmt w:val="upperLetter"/>
      <w:start w:val="21"/>
    </w:lvl>
  </w:abstractNum>
  <w:abstractNum w:abstractNumId="178">
    <w:nsid w:val="567BD50A"/>
    <w:multiLevelType w:val="hybridMultilevel"/>
    <w:lvl w:ilvl="0">
      <w:lvlJc w:val="left"/>
      <w:lvlText w:val="%1."/>
      <w:numFmt w:val="upperLetter"/>
      <w:start w:val="22"/>
    </w:lvl>
  </w:abstractNum>
  <w:abstractNum w:abstractNumId="179">
    <w:nsid w:val="73BBD7F8"/>
    <w:multiLevelType w:val="hybridMultilevel"/>
    <w:lvl w:ilvl="0">
      <w:lvlJc w:val="left"/>
      <w:lvlText w:val="(%1)"/>
      <w:numFmt w:val="decimal"/>
      <w:start w:val="12"/>
    </w:lvl>
  </w:abstractNum>
  <w:abstractNum w:abstractNumId="180">
    <w:nsid w:val="1876589D"/>
    <w:multiLevelType w:val="hybridMultilevel"/>
    <w:lvl w:ilvl="0">
      <w:lvlJc w:val="left"/>
      <w:lvlText w:val="%1."/>
      <w:numFmt w:val="upperLetter"/>
      <w:start w:val="23"/>
    </w:lvl>
  </w:abstractNum>
  <w:abstractNum w:abstractNumId="181">
    <w:nsid w:val="327FAC77"/>
    <w:multiLevelType w:val="hybridMultilevel"/>
    <w:lvl w:ilvl="0">
      <w:lvlJc w:val="left"/>
      <w:lvlText w:val="%1."/>
      <w:numFmt w:val="upperLetter"/>
      <w:start w:val="24"/>
    </w:lvl>
  </w:abstractNum>
  <w:abstractNum w:abstractNumId="182">
    <w:nsid w:val="5A606509"/>
    <w:multiLevelType w:val="hybridMultilevel"/>
    <w:lvl w:ilvl="0">
      <w:lvlJc w:val="left"/>
      <w:lvlText w:val="%1."/>
      <w:numFmt w:val="upperLetter"/>
      <w:start w:val="25"/>
    </w:lvl>
  </w:abstractNum>
  <w:abstractNum w:abstractNumId="183">
    <w:nsid w:val="6F38E6D1"/>
    <w:multiLevelType w:val="hybridMultilevel"/>
    <w:lvl w:ilvl="0">
      <w:lvlJc w:val="left"/>
      <w:lvlText w:val="%1."/>
      <w:numFmt w:val="upperLetter"/>
      <w:start w:val="26"/>
    </w:lvl>
  </w:abstractNum>
  <w:abstractNum w:abstractNumId="184">
    <w:nsid w:val="46111BA5"/>
    <w:multiLevelType w:val="hybridMultilevel"/>
    <w:lvl w:ilvl="0">
      <w:lvlJc w:val="left"/>
      <w:lvlText w:val="%1."/>
      <w:numFmt w:val="upperLetter"/>
      <w:start w:val="27"/>
    </w:lvl>
  </w:abstractNum>
  <w:abstractNum w:abstractNumId="185">
    <w:nsid w:val="5E963896"/>
    <w:multiLevelType w:val="hybridMultilevel"/>
    <w:lvl w:ilvl="0">
      <w:lvlJc w:val="left"/>
      <w:lvlText w:val="%1."/>
      <w:numFmt w:val="upperLetter"/>
      <w:start w:val="28"/>
    </w:lvl>
  </w:abstractNum>
  <w:abstractNum w:abstractNumId="186">
    <w:nsid w:val="775BA7C1"/>
    <w:multiLevelType w:val="hybridMultilevel"/>
    <w:lvl w:ilvl="0">
      <w:lvlJc w:val="left"/>
      <w:lvlText w:val="%1."/>
      <w:numFmt w:val="upperLetter"/>
      <w:start w:val="29"/>
    </w:lvl>
  </w:abstractNum>
  <w:abstractNum w:abstractNumId="187">
    <w:nsid w:val="1DD6D6F4"/>
    <w:multiLevelType w:val="hybridMultilevel"/>
    <w:lvl w:ilvl="0">
      <w:lvlJc w:val="left"/>
      <w:lvlText w:val="%1."/>
      <w:numFmt w:val="upperLetter"/>
      <w:start w:val="30"/>
    </w:lvl>
  </w:abstractNum>
  <w:abstractNum w:abstractNumId="188">
    <w:nsid w:val="769A091F"/>
    <w:multiLevelType w:val="hybridMultilevel"/>
    <w:lvl w:ilvl="0">
      <w:lvlJc w:val="left"/>
      <w:lvlText w:val="%1."/>
      <w:numFmt w:val="upperLetter"/>
      <w:start w:val="31"/>
    </w:lvl>
  </w:abstractNum>
  <w:abstractNum w:abstractNumId="189">
    <w:nsid w:val="4695AE95"/>
    <w:multiLevelType w:val="hybridMultilevel"/>
    <w:lvl w:ilvl="0">
      <w:lvlJc w:val="left"/>
      <w:lvlText w:val="%1."/>
      <w:numFmt w:val="upperLetter"/>
      <w:start w:val="32"/>
    </w:lvl>
  </w:abstractNum>
  <w:abstractNum w:abstractNumId="190">
    <w:nsid w:val="777A4EAA"/>
    <w:multiLevelType w:val="hybridMultilevel"/>
    <w:lvl w:ilvl="0">
      <w:lvlJc w:val="left"/>
      <w:lvlText w:val="%1."/>
      <w:numFmt w:val="upperLetter"/>
      <w:start w:val="33"/>
    </w:lvl>
  </w:abstractNum>
  <w:abstractNum w:abstractNumId="191">
    <w:nsid w:val="3F48B982"/>
    <w:multiLevelType w:val="hybridMultilevel"/>
    <w:lvl w:ilvl="0">
      <w:lvlJc w:val="left"/>
      <w:lvlText w:val="%1."/>
      <w:numFmt w:val="upperLetter"/>
      <w:start w:val="34"/>
    </w:lvl>
  </w:abstractNum>
  <w:abstractNum w:abstractNumId="192">
    <w:nsid w:val="46BA8FCA"/>
    <w:multiLevelType w:val="hybridMultilevel"/>
    <w:lvl w:ilvl="0">
      <w:lvlJc w:val="left"/>
      <w:lvlText w:val="%1."/>
      <w:numFmt w:val="upperLetter"/>
      <w:start w:val="35"/>
    </w:lvl>
  </w:abstractNum>
  <w:abstractNum w:abstractNumId="193">
    <w:nsid w:val="7835626C"/>
    <w:multiLevelType w:val="hybridMultilevel"/>
    <w:lvl w:ilvl="0">
      <w:lvlJc w:val="left"/>
      <w:lvlText w:val="%1."/>
      <w:numFmt w:val="upperLetter"/>
      <w:start w:val="36"/>
    </w:lvl>
  </w:abstractNum>
  <w:abstractNum w:abstractNumId="194">
    <w:nsid w:val="665ACA49"/>
    <w:multiLevelType w:val="hybridMultilevel"/>
    <w:lvl w:ilvl="0">
      <w:lvlJc w:val="left"/>
      <w:lvlText w:val="%1."/>
      <w:numFmt w:val="upperLetter"/>
      <w:start w:val="37"/>
    </w:lvl>
  </w:abstractNum>
  <w:abstractNum w:abstractNumId="195">
    <w:nsid w:val="6835B2AE"/>
    <w:multiLevelType w:val="hybridMultilevel"/>
    <w:lvl w:ilvl="0">
      <w:lvlJc w:val="left"/>
      <w:lvlText w:val="%1."/>
      <w:numFmt w:val="upperLetter"/>
      <w:start w:val="38"/>
    </w:lvl>
  </w:abstractNum>
  <w:abstractNum w:abstractNumId="196">
    <w:nsid w:val="4C187C90"/>
    <w:multiLevelType w:val="hybridMultilevel"/>
    <w:lvl w:ilvl="0">
      <w:lvlJc w:val="left"/>
      <w:lvlText w:val="%1."/>
      <w:numFmt w:val="upperLetter"/>
      <w:start w:val="9"/>
    </w:lvl>
  </w:abstractNum>
  <w:abstractNum w:abstractNumId="197">
    <w:nsid w:val="541F28CD"/>
    <w:multiLevelType w:val="hybridMultilevel"/>
    <w:lvl w:ilvl="0">
      <w:lvlJc w:val="left"/>
      <w:lvlText w:val="%1."/>
      <w:numFmt w:val="upperLetter"/>
      <w:start w:val="35"/>
    </w:lvl>
  </w:abstractNum>
  <w:abstractNum w:abstractNumId="198">
    <w:nsid w:val="7F65FD16"/>
    <w:multiLevelType w:val="hybridMultilevel"/>
    <w:lvl w:ilvl="0">
      <w:lvlJc w:val="left"/>
      <w:lvlText w:val="%1."/>
      <w:numFmt w:val="upperLetter"/>
      <w:start w:val="61"/>
    </w:lvl>
    <w:lvl w:ilvl="1">
      <w:lvlJc w:val="left"/>
      <w:lvlText w:val="%2."/>
      <w:numFmt w:val="upperLetter"/>
      <w:start w:val="1"/>
    </w:lvl>
  </w:abstractNum>
  <w:abstractNum w:abstractNumId="199">
    <w:nsid w:val="77C9FD68"/>
    <w:multiLevelType w:val="hybridMultilevel"/>
    <w:lvl w:ilvl="0">
      <w:lvlJc w:val="left"/>
      <w:lvlText w:val="%1"/>
      <w:numFmt w:val="upperLetter"/>
      <w:start w:val="1"/>
    </w:lvl>
    <w:lvl w:ilvl="1">
      <w:lvlJc w:val="left"/>
      <w:lvlText w:val="%2."/>
      <w:numFmt w:val="upperLetter"/>
      <w:start w:val="1"/>
    </w:lvl>
  </w:abstractNum>
  <w:abstractNum w:abstractNumId="200">
    <w:nsid w:val="298A92BA"/>
    <w:multiLevelType w:val="hybridMultilevel"/>
    <w:lvl w:ilvl="0">
      <w:lvlJc w:val="left"/>
      <w:lvlText w:val="%1."/>
      <w:numFmt w:val="upperLetter"/>
      <w:start w:val="22"/>
    </w:lvl>
    <w:lvl w:ilvl="1">
      <w:lvlJc w:val="left"/>
      <w:lvlText w:val="%2."/>
      <w:numFmt w:val="upperLetter"/>
      <w:start w:val="1"/>
    </w:lvl>
  </w:abstractNum>
  <w:abstractNum w:abstractNumId="201">
    <w:nsid w:val="6FE95EAC"/>
    <w:multiLevelType w:val="hybridMultilevel"/>
    <w:lvl w:ilvl="0">
      <w:lvlJc w:val="left"/>
      <w:lvlText w:val="%1."/>
      <w:numFmt w:val="upperLetter"/>
      <w:start w:val="1"/>
    </w:lvl>
    <w:lvl w:ilvl="1">
      <w:lvlJc w:val="left"/>
      <w:lvlText w:val="(%2)"/>
      <w:numFmt w:val="lowerRoman"/>
      <w:start w:val="1"/>
    </w:lvl>
  </w:abstractNum>
  <w:abstractNum w:abstractNumId="202">
    <w:nsid w:val="4B697C7A"/>
    <w:multiLevelType w:val="hybridMultilevel"/>
    <w:lvl w:ilvl="0">
      <w:lvlJc w:val="left"/>
      <w:lvlText w:val="%1."/>
      <w:numFmt w:val="upperLetter"/>
      <w:start w:val="1"/>
    </w:lvl>
  </w:abstractNum>
  <w:abstractNum w:abstractNumId="203">
    <w:nsid w:val="51A27AA6"/>
    <w:multiLevelType w:val="hybridMultilevel"/>
    <w:lvl w:ilvl="0">
      <w:lvlJc w:val="left"/>
      <w:lvlText w:val="%1."/>
      <w:numFmt w:val="upperLetter"/>
      <w:start w:val="2"/>
    </w:lvl>
  </w:abstractNum>
  <w:abstractNum w:abstractNumId="204">
    <w:nsid w:val="613183F2"/>
    <w:multiLevelType w:val="hybridMultilevel"/>
    <w:lvl w:ilvl="0">
      <w:lvlJc w:val="left"/>
      <w:lvlText w:val="%1."/>
      <w:numFmt w:val="upperLetter"/>
      <w:start w:val="3"/>
    </w:lvl>
  </w:abstractNum>
  <w:abstractNum w:abstractNumId="205">
    <w:nsid w:val="634102B4"/>
    <w:multiLevelType w:val="hybridMultilevel"/>
    <w:lvl w:ilvl="0">
      <w:lvlJc w:val="left"/>
      <w:lvlText w:val="(%1)"/>
      <w:numFmt w:val="lowerRoman"/>
      <w:start w:val="1"/>
    </w:lvl>
    <w:lvl w:ilvl="1">
      <w:lvlJc w:val="left"/>
      <w:lvlText w:val="%2."/>
      <w:numFmt w:val="upperLetter"/>
      <w:start w:val="4"/>
    </w:lvl>
  </w:abstractNum>
  <w:abstractNum w:abstractNumId="206">
    <w:nsid w:val="65BF9DA8"/>
    <w:multiLevelType w:val="hybridMultilevel"/>
    <w:lvl w:ilvl="0">
      <w:lvlJc w:val="left"/>
      <w:lvlText w:val="%1."/>
      <w:numFmt w:val="upperLetter"/>
      <w:start w:val="5"/>
    </w:lvl>
  </w:abstractNum>
  <w:abstractNum w:abstractNumId="207">
    <w:nsid w:val="21A2ECCA"/>
    <w:multiLevelType w:val="hybridMultilevel"/>
    <w:lvl w:ilvl="0">
      <w:lvlJc w:val="left"/>
      <w:lvlText w:val="%1."/>
      <w:numFmt w:val="upperLetter"/>
      <w:start w:val="6"/>
    </w:lvl>
  </w:abstractNum>
  <w:abstractNum w:abstractNumId="208">
    <w:nsid w:val="4D5C4899"/>
    <w:multiLevelType w:val="hybridMultilevel"/>
    <w:lvl w:ilvl="0">
      <w:lvlJc w:val="left"/>
      <w:lvlText w:val="(%1)"/>
      <w:numFmt w:val="lowerRoman"/>
      <w:start w:val="1"/>
    </w:lvl>
  </w:abstractNum>
  <w:abstractNum w:abstractNumId="209">
    <w:nsid w:val="3C3B72B2"/>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210">
    <w:nsid w:val="155EC4C2"/>
    <w:multiLevelType w:val="hybridMultilevel"/>
    <w:lvl w:ilvl="0">
      <w:lvlJc w:val="left"/>
      <w:lvlText w:val="(%1)"/>
      <w:numFmt w:val="lowerRoman"/>
      <w:start w:val="2"/>
    </w:lvl>
    <w:lvl w:ilvl="1">
      <w:lvlJc w:val="left"/>
      <w:lvlText w:val="%2."/>
      <w:numFmt w:val="upperLetter"/>
      <w:start w:val="7"/>
    </w:lvl>
    <w:lvl w:ilvl="2">
      <w:lvlJc w:val="left"/>
      <w:lvlText w:val="%3"/>
      <w:numFmt w:val="lowerRoman"/>
      <w:start w:val="1"/>
    </w:lvl>
  </w:abstractNum>
  <w:abstractNum w:abstractNumId="211">
    <w:nsid w:val="65D2A137"/>
    <w:multiLevelType w:val="hybridMultilevel"/>
    <w:lvl w:ilvl="0">
      <w:lvlJc w:val="left"/>
      <w:lvlText w:val="%1."/>
      <w:numFmt w:val="upperLetter"/>
      <w:start w:val="8"/>
    </w:lvl>
  </w:abstractNum>
  <w:abstractNum w:abstractNumId="212">
    <w:nsid w:val="6EBB1F2A"/>
    <w:multiLevelType w:val="hybridMultilevel"/>
    <w:lvl w:ilvl="0">
      <w:lvlJc w:val="left"/>
      <w:lvlText w:val="%1."/>
      <w:numFmt w:val="upperLetter"/>
      <w:start w:val="9"/>
    </w:lvl>
  </w:abstractNum>
  <w:abstractNum w:abstractNumId="213">
    <w:nsid w:val="6FBF29CB"/>
    <w:multiLevelType w:val="hybridMultilevel"/>
    <w:lvl w:ilvl="0">
      <w:lvlJc w:val="left"/>
      <w:lvlText w:val="%1."/>
      <w:numFmt w:val="upperLetter"/>
      <w:start w:val="10"/>
    </w:lvl>
  </w:abstractNum>
  <w:abstractNum w:abstractNumId="214">
    <w:nsid w:val="550B8808"/>
    <w:multiLevelType w:val="hybridMultilevel"/>
    <w:lvl w:ilvl="0">
      <w:lvlJc w:val="left"/>
      <w:lvlText w:val="%1."/>
      <w:numFmt w:val="upperLetter"/>
      <w:start w:val="1"/>
    </w:lvl>
  </w:abstractNum>
  <w:abstractNum w:abstractNumId="215">
    <w:nsid w:val="34CC3ACF"/>
    <w:multiLevelType w:val="hybridMultilevel"/>
    <w:lvl w:ilvl="0">
      <w:lvlJc w:val="left"/>
      <w:lvlText w:val="(%1)"/>
      <w:numFmt w:val="lowerRoman"/>
      <w:start w:val="1"/>
    </w:lvl>
  </w:abstractNum>
  <w:abstractNum w:abstractNumId="216">
    <w:nsid w:val="4E556261"/>
    <w:multiLevelType w:val="hybridMultilevel"/>
    <w:lvl w:ilvl="0">
      <w:lvlJc w:val="left"/>
      <w:lvlText w:val="%1."/>
      <w:numFmt w:val="upperLetter"/>
      <w:start w:val="3"/>
    </w:lvl>
  </w:abstractNum>
  <w:abstractNum w:abstractNumId="217">
    <w:nsid w:val="4C672FC9"/>
    <w:multiLevelType w:val="hybridMultilevel"/>
    <w:lvl w:ilvl="0">
      <w:lvlJc w:val="left"/>
      <w:lvlText w:val="%1."/>
      <w:numFmt w:val="upperLetter"/>
      <w:start w:val="1"/>
    </w:lvl>
  </w:abstractNum>
  <w:abstractNum w:abstractNumId="218">
    <w:nsid w:val="52A311C3"/>
    <w:multiLevelType w:val="hybridMultilevel"/>
    <w:lvl w:ilvl="0">
      <w:lvlJc w:val="left"/>
      <w:lvlText w:val="%1"/>
      <w:numFmt w:val="lowerRoman"/>
      <w:start w:val="1"/>
    </w:lvl>
    <w:lvl w:ilvl="1">
      <w:lvlJc w:val="left"/>
      <w:lvlText w:val="%2."/>
      <w:numFmt w:val="upperLetter"/>
      <w:start w:val="24"/>
    </w:lvl>
    <w:lvl w:ilvl="2">
      <w:lvlJc w:val="left"/>
      <w:lvlText w:val="%3."/>
      <w:numFmt w:val="upperLetter"/>
      <w:start w:val="1"/>
    </w:lvl>
  </w:abstractNum>
  <w:abstractNum w:abstractNumId="219">
    <w:nsid w:val="44EF6B80"/>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220">
    <w:nsid w:val="12FCDE5E"/>
    <w:multiLevelType w:val="hybridMultilevel"/>
    <w:lvl w:ilvl="0">
      <w:lvlJc w:val="left"/>
      <w:lvlText w:val="(%1)"/>
      <w:numFmt w:val="lowerRoman"/>
      <w:start w:val="2"/>
    </w:lvl>
  </w:abstractNum>
  <w:abstractNum w:abstractNumId="221">
    <w:nsid w:val="4A1D606E"/>
    <w:multiLevelType w:val="hybridMultilevel"/>
    <w:lvl w:ilvl="0">
      <w:lvlJc w:val="left"/>
      <w:lvlText w:val="%1."/>
      <w:numFmt w:val="upperLetter"/>
      <w:start w:val="1"/>
    </w:lvl>
  </w:abstractNum>
  <w:abstractNum w:abstractNumId="222">
    <w:nsid w:val="4382503"/>
    <w:multiLevelType w:val="hybridMultilevel"/>
    <w:lvl w:ilvl="0">
      <w:lvlJc w:val="left"/>
      <w:lvlText w:val="%1."/>
      <w:numFmt w:val="upperLetter"/>
      <w:start w:val="1"/>
    </w:lvl>
  </w:abstractNum>
  <w:abstractNum w:abstractNumId="223">
    <w:nsid w:val="59B76E28"/>
    <w:multiLevelType w:val="hybridMultilevel"/>
    <w:lvl w:ilvl="0">
      <w:lvlJc w:val="left"/>
      <w:lvlText w:val="%1."/>
      <w:numFmt w:val="upperLetter"/>
      <w:start w:val="2"/>
    </w:lvl>
  </w:abstractNum>
  <w:abstractNum w:abstractNumId="224">
    <w:nsid w:val="4252C2DA"/>
    <w:multiLevelType w:val="hybridMultilevel"/>
    <w:lvl w:ilvl="0">
      <w:lvlJc w:val="left"/>
      <w:lvlText w:val="%1"/>
      <w:numFmt w:val="upperLetter"/>
      <w:start w:val="1"/>
    </w:lvl>
    <w:lvl w:ilvl="1">
      <w:lvlJc w:val="left"/>
      <w:lvlText w:val="(%2)"/>
      <w:numFmt w:val="lowerRoman"/>
      <w:start w:val="1"/>
    </w:lvl>
  </w:abstractNum>
  <w:abstractNum w:abstractNumId="225">
    <w:nsid w:val="6A92EF4C"/>
    <w:multiLevelType w:val="hybridMultilevel"/>
    <w:lvl w:ilvl="0">
      <w:lvlJc w:val="left"/>
      <w:lvlText w:val="%1."/>
      <w:numFmt w:val="upperLetter"/>
      <w:start w:val="4"/>
    </w:lvl>
    <w:lvl w:ilvl="1">
      <w:lvlJc w:val="left"/>
      <w:lvlText w:val="%2"/>
      <w:numFmt w:val="lowerRoman"/>
      <w:start w:val="1"/>
    </w:lvl>
  </w:abstractNum>
  <w:abstractNum w:abstractNumId="226">
    <w:nsid w:val="41ED20D7"/>
    <w:multiLevelType w:val="hybridMultilevel"/>
    <w:lvl w:ilvl="0">
      <w:lvlJc w:val="left"/>
      <w:lvlText w:val="%1."/>
      <w:numFmt w:val="upperLetter"/>
      <w:start w:val="7"/>
    </w:lvl>
  </w:abstractNum>
  <w:abstractNum w:abstractNumId="227">
    <w:nsid w:val="E6B3F6A"/>
    <w:multiLevelType w:val="hybridMultilevel"/>
    <w:lvl w:ilvl="0">
      <w:lvlJc w:val="left"/>
      <w:lvlText w:val="%1."/>
      <w:numFmt w:val="upperLetter"/>
      <w:start w:val="8"/>
    </w:lvl>
  </w:abstractNum>
  <w:abstractNum w:abstractNumId="228">
    <w:nsid w:val="3EB21819"/>
    <w:multiLevelType w:val="hybridMultilevel"/>
    <w:lvl w:ilvl="0">
      <w:lvlJc w:val="left"/>
      <w:lvlText w:val="%1."/>
      <w:numFmt w:val="upperLetter"/>
      <w:start w:val="9"/>
    </w:lvl>
  </w:abstractNum>
  <w:abstractNum w:abstractNumId="229">
    <w:nsid w:val="41531DED"/>
    <w:multiLevelType w:val="hybridMultilevel"/>
    <w:lvl w:ilvl="0">
      <w:lvlJc w:val="left"/>
      <w:lvlText w:val="%1."/>
      <w:numFmt w:val="upperLetter"/>
      <w:start w:val="10"/>
    </w:lvl>
  </w:abstractNum>
  <w:abstractNum w:abstractNumId="230">
    <w:nsid w:val="6353CD2"/>
    <w:multiLevelType w:val="hybridMultilevel"/>
    <w:lvl w:ilvl="0">
      <w:lvlJc w:val="left"/>
      <w:lvlText w:val="%1."/>
      <w:numFmt w:val="upperLetter"/>
      <w:start w:val="11"/>
    </w:lvl>
  </w:abstractNum>
  <w:abstractNum w:abstractNumId="231">
    <w:nsid w:val="683CAAD3"/>
    <w:multiLevelType w:val="hybridMultilevel"/>
    <w:lvl w:ilvl="0">
      <w:lvlJc w:val="left"/>
      <w:lvlText w:val="%1"/>
      <w:numFmt w:val="upperLetter"/>
      <w:start w:val="1"/>
    </w:lvl>
    <w:lvl w:ilvl="1">
      <w:lvlJc w:val="left"/>
      <w:lvlText w:val="(%2)"/>
      <w:numFmt w:val="lowerRoman"/>
      <w:start w:val="1"/>
    </w:lvl>
  </w:abstractNum>
  <w:abstractNum w:abstractNumId="232">
    <w:nsid w:val="313C7C99"/>
    <w:multiLevelType w:val="hybridMultilevel"/>
    <w:lvl w:ilvl="0">
      <w:lvlJc w:val="left"/>
      <w:lvlText w:val="%1."/>
      <w:numFmt w:val="upperLetter"/>
      <w:start w:val="12"/>
    </w:lvl>
    <w:lvl w:ilvl="1">
      <w:lvlJc w:val="left"/>
      <w:lvlText w:val="%2"/>
      <w:numFmt w:val="lowerRoman"/>
      <w:start w:val="1"/>
    </w:lvl>
  </w:abstractNum>
  <w:abstractNum w:abstractNumId="233">
    <w:nsid w:val="519EB94C"/>
    <w:multiLevelType w:val="hybridMultilevel"/>
    <w:lvl w:ilvl="0">
      <w:lvlJc w:val="left"/>
      <w:lvlText w:val="%1."/>
      <w:numFmt w:val="upperLetter"/>
      <w:start w:val="14"/>
    </w:lvl>
  </w:abstractNum>
  <w:abstractNum w:abstractNumId="234">
    <w:nsid w:val="39DF2579"/>
    <w:multiLevelType w:val="hybridMultilevel"/>
    <w:lvl w:ilvl="0">
      <w:lvlJc w:val="left"/>
      <w:lvlText w:val="%1."/>
      <w:numFmt w:val="upperLetter"/>
      <w:start w:val="15"/>
    </w:lvl>
  </w:abstractNum>
  <w:abstractNum w:abstractNumId="235">
    <w:nsid w:val="126E008B"/>
    <w:multiLevelType w:val="hybridMultilevel"/>
    <w:lvl w:ilvl="0">
      <w:lvlJc w:val="left"/>
      <w:lvlText w:val="%1."/>
      <w:numFmt w:val="upperLetter"/>
      <w:start w:val="16"/>
    </w:lvl>
  </w:abstractNum>
  <w:abstractNum w:abstractNumId="236">
    <w:nsid w:val="34DFBC00"/>
    <w:multiLevelType w:val="hybridMultilevel"/>
    <w:lvl w:ilvl="0">
      <w:lvlJc w:val="left"/>
      <w:lvlText w:val="%1."/>
      <w:numFmt w:val="upperLetter"/>
      <w:start w:val="17"/>
    </w:lvl>
  </w:abstractNum>
  <w:abstractNum w:abstractNumId="237">
    <w:nsid w:val="1F9EC322"/>
    <w:multiLevelType w:val="hybridMultilevel"/>
    <w:lvl w:ilvl="0">
      <w:lvlJc w:val="left"/>
      <w:lvlText w:val="%1."/>
      <w:numFmt w:val="upperLetter"/>
      <w:start w:val="18"/>
    </w:lvl>
  </w:abstractNum>
  <w:abstractNum w:abstractNumId="238">
    <w:nsid w:val="3410ED56"/>
    <w:multiLevelType w:val="hybridMultilevel"/>
    <w:lvl w:ilvl="0">
      <w:lvlJc w:val="left"/>
      <w:lvlText w:val="%1."/>
      <w:numFmt w:val="upperLetter"/>
      <w:start w:val="19"/>
    </w:lvl>
  </w:abstractNum>
  <w:abstractNum w:abstractNumId="239">
    <w:nsid w:val="23C049A"/>
    <w:multiLevelType w:val="hybridMultilevel"/>
    <w:lvl w:ilvl="0">
      <w:lvlJc w:val="left"/>
      <w:lvlText w:val="%1."/>
      <w:numFmt w:val="upperLetter"/>
      <w:start w:val="20"/>
    </w:lvl>
  </w:abstractNum>
  <w:abstractNum w:abstractNumId="240">
    <w:nsid w:val="5BDA35D4"/>
    <w:multiLevelType w:val="hybridMultilevel"/>
    <w:lvl w:ilvl="0">
      <w:lvlJc w:val="left"/>
      <w:lvlText w:val="%1."/>
      <w:numFmt w:val="upperLetter"/>
      <w:start w:val="21"/>
    </w:lvl>
  </w:abstractNum>
  <w:abstractNum w:abstractNumId="241">
    <w:nsid w:val="496FB218"/>
    <w:multiLevelType w:val="hybridMultilevel"/>
    <w:lvl w:ilvl="0">
      <w:lvlJc w:val="left"/>
      <w:lvlText w:val="%1."/>
      <w:numFmt w:val="decimal"/>
      <w:start w:val="1"/>
    </w:lvl>
  </w:abstractNum>
  <w:abstractNum w:abstractNumId="242">
    <w:nsid w:val="680EA5D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43">
    <w:nsid w:val="4A9554FE"/>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6"/>
    </w:lvl>
  </w:abstractNum>
  <w:abstractNum w:abstractNumId="244">
    <w:nsid w:val="392EDBE4"/>
    <w:multiLevelType w:val="hybridMultilevel"/>
    <w:lvl w:ilvl="0">
      <w:lvlJc w:val="left"/>
      <w:lvlText w:val="%1)"/>
      <w:numFmt w:val="lowerLetter"/>
      <w:start w:val="1"/>
    </w:lvl>
    <w:lvl w:ilvl="1">
      <w:lvlJc w:val="left"/>
      <w:lvlText w:val="(%2)"/>
      <w:numFmt w:val="lowerRoman"/>
      <w:start w:val="1"/>
    </w:lvl>
  </w:abstractNum>
  <w:abstractNum w:abstractNumId="245">
    <w:nsid w:val="3D1A2DD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46">
    <w:nsid w:val="7F618FC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47">
    <w:nsid w:val="7843E45"/>
    <w:multiLevelType w:val="hybridMultilevel"/>
    <w:lvl w:ilvl="0">
      <w:lvlJc w:val="left"/>
      <w:lvlText w:val="%1."/>
      <w:numFmt w:val="decimal"/>
      <w:start w:val="3"/>
    </w:lvl>
    <w:lvl w:ilvl="1">
      <w:lvlJc w:val="left"/>
      <w:lvlText w:val="%2)"/>
      <w:numFmt w:val="lowerLetter"/>
      <w:start w:val="1"/>
    </w:lvl>
  </w:abstractNum>
  <w:abstractNum w:abstractNumId="248">
    <w:nsid w:val="9815DA3"/>
    <w:multiLevelType w:val="hybridMultilevel"/>
    <w:lvl w:ilvl="0">
      <w:lvlJc w:val="left"/>
      <w:lvlText w:val="%1."/>
      <w:numFmt w:val="decimal"/>
      <w:start w:val="5"/>
    </w:lvl>
    <w:lvl w:ilvl="1">
      <w:lvlJc w:val="left"/>
      <w:lvlText w:val="%2)"/>
      <w:numFmt w:val="lowerLetter"/>
      <w:start w:val="1"/>
    </w:lvl>
  </w:abstractNum>
  <w:abstractNum w:abstractNumId="249">
    <w:nsid w:val="5204A191"/>
    <w:multiLevelType w:val="hybridMultilevel"/>
    <w:lvl w:ilvl="0">
      <w:lvlJc w:val="left"/>
      <w:lvlText w:val="%1."/>
      <w:numFmt w:val="decimal"/>
      <w:start w:val="8"/>
    </w:lvl>
  </w:abstractNum>
  <w:abstractNum w:abstractNumId="250">
    <w:nsid w:val="4C73A9C6"/>
    <w:multiLevelType w:val="hybridMultilevel"/>
    <w:lvl w:ilvl="0">
      <w:lvlJc w:val="left"/>
      <w:lvlText w:val="(%1)"/>
      <w:numFmt w:val="lowerLetter"/>
      <w:start w:val="2"/>
    </w:lvl>
    <w:lvl w:ilvl="1">
      <w:lvlJc w:val="left"/>
      <w:lvlText w:val="%2."/>
      <w:numFmt w:val="decimal"/>
      <w:start w:val="9"/>
    </w:lvl>
  </w:abstractNum>
  <w:abstractNum w:abstractNumId="251">
    <w:nsid w:val="1C7E3C01"/>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
    </w:lvl>
  </w:abstractNum>
  <w:abstractNum w:abstractNumId="252">
    <w:nsid w:val="1C2201FF"/>
    <w:multiLevelType w:val="hybridMultilevel"/>
    <w:lvl w:ilvl="0">
      <w:lvlJc w:val="left"/>
      <w:lvlText w:val="%1."/>
      <w:numFmt w:val="decimal"/>
      <w:start w:val="11"/>
    </w:lvl>
  </w:abstractNum>
  <w:abstractNum w:abstractNumId="253">
    <w:nsid w:val="50ABCEC9"/>
    <w:multiLevelType w:val="hybridMultilevel"/>
    <w:lvl w:ilvl="0">
      <w:lvlJc w:val="left"/>
      <w:lvlText w:val="%1."/>
      <w:numFmt w:val="decimal"/>
      <w:start w:val="12"/>
    </w:lvl>
  </w:abstractNum>
  <w:abstractNum w:abstractNumId="254">
    <w:nsid w:val="7635AA2A"/>
    <w:multiLevelType w:val="hybridMultilevel"/>
    <w:lvl w:ilvl="0">
      <w:lvlJc w:val="left"/>
      <w:lvlText w:val="%1."/>
      <w:numFmt w:val="decimal"/>
      <w:start w:val="13"/>
    </w:lvl>
  </w:abstractNum>
  <w:abstractNum w:abstractNumId="255">
    <w:nsid w:val="5E74C4D9"/>
    <w:multiLevelType w:val="hybridMultilevel"/>
    <w:lvl w:ilvl="0">
      <w:lvlJc w:val="left"/>
      <w:lvlText w:val="%1."/>
      <w:numFmt w:val="decimal"/>
      <w:start w:val="14"/>
    </w:lvl>
  </w:abstractNum>
  <w:abstractNum w:abstractNumId="256">
    <w:nsid w:val="3B3EBE15"/>
    <w:multiLevelType w:val="hybridMultilevel"/>
    <w:lvl w:ilvl="0">
      <w:lvlJc w:val="left"/>
      <w:lvlText w:val="(%1)"/>
      <w:numFmt w:val="lowerRoman"/>
      <w:start w:val="1"/>
    </w:lvl>
  </w:abstractNum>
  <w:abstractNum w:abstractNumId="257">
    <w:nsid w:val="3822CB01"/>
    <w:multiLevelType w:val="hybridMultilevel"/>
    <w:lvl w:ilvl="0">
      <w:lvlJc w:val="left"/>
      <w:lvlText w:val="."/>
      <w:numFmt w:val="bullet"/>
      <w:start w:val="1"/>
    </w:lvl>
  </w:abstractNum>
  <w:abstractNum w:abstractNumId="258">
    <w:nsid w:val="6CE00443"/>
    <w:multiLevelType w:val="hybridMultilevel"/>
    <w:lvl w:ilvl="0">
      <w:lvlJc w:val="left"/>
      <w:lvlText w:val="(%1)"/>
      <w:numFmt w:val="lowerRoman"/>
      <w:start w:val="2"/>
    </w:lvl>
  </w:abstractNum>
  <w:abstractNum w:abstractNumId="259">
    <w:nsid w:val="79F0D62F"/>
    <w:multiLevelType w:val="hybridMultilevel"/>
    <w:lvl w:ilvl="0">
      <w:lvlJc w:val="left"/>
      <w:lvlText w:val="."/>
      <w:numFmt w:val="bullet"/>
      <w:start w:val="1"/>
    </w:lvl>
  </w:abstractNum>
  <w:abstractNum w:abstractNumId="260">
    <w:nsid w:val="7975E8EE"/>
    <w:multiLevelType w:val="hybridMultilevel"/>
    <w:lvl w:ilvl="0">
      <w:lvlJc w:val="left"/>
      <w:lvlText w:val="."/>
      <w:numFmt w:val="bullet"/>
      <w:start w:val="1"/>
    </w:lvl>
    <w:lvl w:ilvl="1">
      <w:lvlJc w:val="left"/>
      <w:lvlText w:val="(%2)"/>
      <w:numFmt w:val="lowerRoman"/>
      <w:start w:val="3"/>
    </w:lvl>
  </w:abstractNum>
  <w:abstractNum w:abstractNumId="261">
    <w:nsid w:val="73154115"/>
    <w:multiLevelType w:val="hybridMultilevel"/>
    <w:lvl w:ilvl="0">
      <w:lvlJc w:val="left"/>
      <w:lvlText w:val="."/>
      <w:numFmt w:val="bullet"/>
      <w:start w:val="1"/>
    </w:lvl>
  </w:abstractNum>
  <w:abstractNum w:abstractNumId="262">
    <w:nsid w:val="622D8102"/>
    <w:multiLevelType w:val="hybridMultilevel"/>
    <w:lvl w:ilvl="0">
      <w:lvlJc w:val="left"/>
      <w:lvlText w:val="(%1)"/>
      <w:numFmt w:val="lowerRoman"/>
      <w:start w:val="4"/>
    </w:lvl>
  </w:abstractNum>
  <w:abstractNum w:abstractNumId="263">
    <w:nsid w:val="2AB26587"/>
    <w:multiLevelType w:val="hybridMultilevel"/>
    <w:lvl w:ilvl="0">
      <w:lvlJc w:val="left"/>
      <w:lvlText w:val="."/>
      <w:numFmt w:val="bullet"/>
      <w:start w:val="1"/>
    </w:lvl>
  </w:abstractNum>
  <w:abstractNum w:abstractNumId="264">
    <w:nsid w:val="44B3FA61"/>
    <w:multiLevelType w:val="hybridMultilevel"/>
    <w:lvl w:ilvl="0">
      <w:lvlJc w:val="left"/>
      <w:lvlText w:val="."/>
      <w:numFmt w:val="bullet"/>
      <w:start w:val="1"/>
    </w:lvl>
    <w:lvl w:ilvl="1">
      <w:lvlJc w:val="left"/>
      <w:lvlText w:val="(%2)"/>
      <w:numFmt w:val="lowerRoman"/>
      <w:start w:val="5"/>
    </w:lvl>
  </w:abstractNum>
  <w:abstractNum w:abstractNumId="265">
    <w:nsid w:val="1C0CA67C"/>
    <w:multiLevelType w:val="hybridMultilevel"/>
    <w:lvl w:ilvl="0">
      <w:lvlJc w:val="left"/>
      <w:lvlText w:val="."/>
      <w:numFmt w:val="bullet"/>
      <w:start w:val="1"/>
    </w:lvl>
    <w:lvl w:ilvl="1">
      <w:lvlJc w:val="left"/>
      <w:lvlText w:val="(%2)"/>
      <w:numFmt w:val="lowerRoman"/>
      <w:start w:val="6"/>
    </w:lvl>
  </w:abstractNum>
  <w:abstractNum w:abstractNumId="266">
    <w:nsid w:val="3D206613"/>
    <w:multiLevelType w:val="hybridMultilevel"/>
    <w:lvl w:ilvl="0">
      <w:lvlJc w:val="left"/>
      <w:lvlText w:val="."/>
      <w:numFmt w:val="bullet"/>
      <w:start w:val="1"/>
    </w:lvl>
  </w:abstractNum>
  <w:abstractNum w:abstractNumId="267">
    <w:nsid w:val="7993B662"/>
    <w:multiLevelType w:val="hybridMultilevel"/>
    <w:lvl w:ilvl="0">
      <w:lvlJc w:val="left"/>
      <w:lvlText w:val="."/>
      <w:numFmt w:val="bullet"/>
      <w:start w:val="1"/>
    </w:lvl>
    <w:lvl w:ilvl="1">
      <w:lvlJc w:val="left"/>
      <w:lvlText w:val="(%2)"/>
      <w:numFmt w:val="lowerRoman"/>
      <w:start w:val="7"/>
    </w:lvl>
  </w:abstractNum>
  <w:abstractNum w:abstractNumId="268">
    <w:nsid w:val="3BAB699E"/>
    <w:multiLevelType w:val="hybridMultilevel"/>
    <w:lvl w:ilvl="0">
      <w:lvlJc w:val="left"/>
      <w:lvlText w:val="."/>
      <w:numFmt w:val="bullet"/>
      <w:start w:val="1"/>
    </w:lvl>
    <w:lvl w:ilvl="1">
      <w:lvlJc w:val="left"/>
      <w:lvlText w:val="(%2)"/>
      <w:numFmt w:val="lowerRoman"/>
      <w:start w:val="8"/>
    </w:lvl>
  </w:abstractNum>
  <w:abstractNum w:abstractNumId="269">
    <w:nsid w:val="71315369"/>
    <w:multiLevelType w:val="hybridMultilevel"/>
    <w:lvl w:ilvl="0">
      <w:lvlJc w:val="left"/>
      <w:lvlText w:val="."/>
      <w:numFmt w:val="bullet"/>
      <w:start w:val="1"/>
    </w:lvl>
    <w:lvl w:ilvl="1">
      <w:lvlJc w:val="left"/>
      <w:lvlText w:val="(%2)"/>
      <w:numFmt w:val="lowerRoman"/>
      <w:start w:val="9"/>
    </w:lvl>
  </w:abstractNum>
  <w:abstractNum w:abstractNumId="270">
    <w:nsid w:val="7BCFBAFC"/>
    <w:multiLevelType w:val="hybridMultilevel"/>
    <w:lvl w:ilvl="0">
      <w:lvlJc w:val="left"/>
      <w:lvlText w:val="."/>
      <w:numFmt w:val="bullet"/>
      <w:start w:val="1"/>
    </w:lvl>
  </w:abstractNum>
  <w:abstractNum w:abstractNumId="271">
    <w:nsid w:val="17859F72"/>
    <w:multiLevelType w:val="hybridMultilevel"/>
    <w:lvl w:ilvl="0">
      <w:lvlJc w:val="left"/>
      <w:lvlText w:val="(%1)"/>
      <w:numFmt w:val="lowerRoman"/>
      <w:start w:val="10"/>
    </w:lvl>
  </w:abstractNum>
  <w:abstractNum w:abstractNumId="272">
    <w:nsid w:val="3AA10581"/>
    <w:multiLevelType w:val="hybridMultilevel"/>
    <w:lvl w:ilvl="0">
      <w:lvlJc w:val="left"/>
      <w:lvlText w:val="."/>
      <w:numFmt w:val="bullet"/>
      <w:start w:val="1"/>
    </w:lvl>
  </w:abstractNum>
  <w:abstractNum w:abstractNumId="273">
    <w:nsid w:val="63DE60CD"/>
    <w:multiLevelType w:val="hybridMultilevel"/>
    <w:lvl w:ilvl="0">
      <w:lvlJc w:val="left"/>
      <w:lvlText w:val="(%1)"/>
      <w:numFmt w:val="lowerRoman"/>
      <w:start w:val="11"/>
    </w:lvl>
  </w:abstractNum>
  <w:abstractNum w:abstractNumId="274">
    <w:nsid w:val="621AF471"/>
    <w:multiLevelType w:val="hybridMultilevel"/>
    <w:lvl w:ilvl="0">
      <w:lvlJc w:val="left"/>
      <w:lvlText w:val="."/>
      <w:numFmt w:val="bullet"/>
      <w:start w:val="1"/>
    </w:lvl>
    <w:lvl w:ilvl="1">
      <w:lvlJc w:val="left"/>
      <w:lvlText w:val="(%2)"/>
      <w:numFmt w:val="lowerRoman"/>
      <w:start w:val="12"/>
    </w:lvl>
  </w:abstractNum>
  <w:abstractNum w:abstractNumId="275">
    <w:nsid w:val="73CFE165"/>
    <w:multiLevelType w:val="hybridMultilevel"/>
    <w:lvl w:ilvl="0">
      <w:lvlJc w:val="left"/>
      <w:lvlText w:val="."/>
      <w:numFmt w:val="bullet"/>
      <w:start w:val="1"/>
    </w:lvl>
    <w:lvl w:ilvl="1">
      <w:lvlJc w:val="left"/>
      <w:lvlText w:val="(%2)"/>
      <w:numFmt w:val="lowerRoman"/>
      <w:start w:val="13"/>
    </w:lvl>
  </w:abstractNum>
  <w:abstractNum w:abstractNumId="276">
    <w:nsid w:val="20F88EA6"/>
    <w:multiLevelType w:val="hybridMultilevel"/>
    <w:lvl w:ilvl="0">
      <w:lvlJc w:val="left"/>
      <w:lvlText w:val="."/>
      <w:numFmt w:val="bullet"/>
      <w:start w:val="1"/>
    </w:lvl>
  </w:abstractNum>
  <w:abstractNum w:abstractNumId="277">
    <w:nsid w:val="617C843E"/>
    <w:multiLevelType w:val="hybridMultilevel"/>
    <w:lvl w:ilvl="0">
      <w:lvlJc w:val="left"/>
      <w:lvlText w:val="."/>
      <w:numFmt w:val="bullet"/>
      <w:start w:val="1"/>
    </w:lvl>
    <w:lvl w:ilvl="1">
      <w:lvlJc w:val="left"/>
      <w:lvlText w:val="(%2)"/>
      <w:numFmt w:val="lowerRoman"/>
      <w:start w:val="14"/>
    </w:lvl>
  </w:abstractNum>
  <w:abstractNum w:abstractNumId="278">
    <w:nsid w:val="7B541FAB"/>
    <w:multiLevelType w:val="hybridMultilevel"/>
    <w:lvl w:ilvl="0">
      <w:lvlJc w:val="left"/>
      <w:lvlText w:val="."/>
      <w:numFmt w:val="bullet"/>
      <w:start w:val="1"/>
    </w:lvl>
  </w:abstractNum>
  <w:abstractNum w:abstractNumId="279">
    <w:nsid w:val="2A79EC49"/>
    <w:multiLevelType w:val="hybridMultilevel"/>
    <w:lvl w:ilvl="0">
      <w:lvlJc w:val="left"/>
      <w:lvlText w:val="."/>
      <w:numFmt w:val="bullet"/>
      <w:start w:val="1"/>
    </w:lvl>
  </w:abstractNum>
  <w:abstractNum w:abstractNumId="280">
    <w:nsid w:val="338125CF"/>
    <w:multiLevelType w:val="hybridMultilevel"/>
    <w:lvl w:ilvl="0">
      <w:lvlJc w:val="left"/>
      <w:lvlText w:val="."/>
      <w:numFmt w:val="bullet"/>
      <w:start w:val="1"/>
    </w:lvl>
    <w:lvl w:ilvl="1">
      <w:lvlJc w:val="left"/>
      <w:lvlText w:val="(%2)"/>
      <w:numFmt w:val="lowerRoman"/>
      <w:start w:val="15"/>
    </w:lvl>
  </w:abstractNum>
  <w:abstractNum w:abstractNumId="281">
    <w:nsid w:val="47C7C971"/>
    <w:multiLevelType w:val="hybridMultilevel"/>
    <w:lvl w:ilvl="0">
      <w:lvlJc w:val="left"/>
      <w:lvlText w:val="."/>
      <w:numFmt w:val="bullet"/>
      <w:start w:val="1"/>
    </w:lvl>
  </w:abstractNum>
  <w:abstractNum w:abstractNumId="282">
    <w:nsid w:val="46F8284B"/>
    <w:multiLevelType w:val="hybridMultilevel"/>
    <w:lvl w:ilvl="0">
      <w:lvlJc w:val="left"/>
      <w:lvlText w:val="."/>
      <w:numFmt w:val="bullet"/>
      <w:start w:val="1"/>
    </w:lvl>
  </w:abstractNum>
  <w:abstractNum w:abstractNumId="283">
    <w:nsid w:val="4FA327CE"/>
    <w:multiLevelType w:val="hybridMultilevel"/>
    <w:lvl w:ilvl="0">
      <w:lvlJc w:val="left"/>
      <w:lvlText w:val="."/>
      <w:numFmt w:val="bullet"/>
      <w:start w:val="1"/>
    </w:lvl>
    <w:lvl w:ilvl="1">
      <w:lvlJc w:val="left"/>
      <w:lvlText w:val="(%2)"/>
      <w:numFmt w:val="lowerRoman"/>
      <w:start w:val="16"/>
    </w:lvl>
  </w:abstractNum>
  <w:abstractNum w:abstractNumId="284">
    <w:nsid w:val="1873983A"/>
    <w:multiLevelType w:val="hybridMultilevel"/>
    <w:lvl w:ilvl="0">
      <w:lvlJc w:val="left"/>
      <w:lvlText w:val="%1."/>
      <w:numFmt w:val="decimal"/>
      <w:start w:val="1"/>
    </w:lvl>
  </w:abstractNum>
  <w:abstractNum w:abstractNumId="285">
    <w:nsid w:val="3D2DD275"/>
    <w:multiLevelType w:val="hybridMultilevel"/>
    <w:lvl w:ilvl="0">
      <w:lvlJc w:val="left"/>
      <w:lvlText w:val="%1."/>
      <w:numFmt w:val="decimal"/>
      <w:start w:val="3"/>
    </w:lvl>
  </w:abstractNum>
  <w:abstractNum w:abstractNumId="286">
    <w:nsid w:val="2E17ECA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87">
    <w:nsid w:val="53B2564F"/>
    <w:multiLevelType w:val="hybridMultilevel"/>
    <w:lvl w:ilvl="0">
      <w:lvlJc w:val="left"/>
      <w:lvlText w:val="(%1)"/>
      <w:numFmt w:val="decimal"/>
      <w:start w:val="5"/>
    </w:lvl>
    <w:lvl w:ilvl="1">
      <w:lvlJc w:val="left"/>
      <w:lvlText w:val="%2."/>
      <w:numFmt w:val="decimal"/>
      <w:start w:val="6"/>
    </w:lvl>
    <w:lvl w:ilvl="2">
      <w:lvlJc w:val="left"/>
      <w:lvlText w:val="%3."/>
      <w:numFmt w:val="lowerLetter"/>
      <w:start w:val="2"/>
    </w:lvl>
  </w:abstractNum>
  <w:abstractNum w:abstractNumId="288">
    <w:nsid w:val="75509D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89">
    <w:nsid w:val="1AF7F0EA"/>
    <w:multiLevelType w:val="hybridMultilevel"/>
    <w:lvl w:ilvl="0">
      <w:lvlJc w:val="left"/>
      <w:lvlText w:val="%1."/>
      <w:numFmt w:val="decimal"/>
      <w:start w:val="9"/>
    </w:lvl>
  </w:abstractNum>
  <w:abstractNum w:abstractNumId="290">
    <w:nsid w:val="4DA32C7E"/>
    <w:multiLevelType w:val="hybridMultilevel"/>
    <w:lvl w:ilvl="0">
      <w:lvlJc w:val="left"/>
      <w:lvlText w:val="%1."/>
      <w:numFmt w:val="decimal"/>
      <w:start w:val="11"/>
    </w:lvl>
  </w:abstractNum>
  <w:abstractNum w:abstractNumId="291">
    <w:nsid w:val="6EC68664"/>
    <w:multiLevelType w:val="hybridMultilevel"/>
    <w:lvl w:ilvl="0">
      <w:lvlJc w:val="left"/>
      <w:lvlText w:val="%1."/>
      <w:numFmt w:val="decimal"/>
      <w:start w:val="12"/>
    </w:lvl>
    <w:lvl w:ilvl="1">
      <w:lvlJc w:val="left"/>
      <w:lvlText w:val="%2."/>
      <w:numFmt w:val="lowerLetter"/>
      <w:start w:val="1"/>
    </w:lvl>
  </w:abstractNum>
  <w:abstractNum w:abstractNumId="292">
    <w:nsid w:val="E0D31FF"/>
    <w:multiLevelType w:val="hybridMultilevel"/>
    <w:lvl w:ilvl="0">
      <w:lvlJc w:val="left"/>
      <w:lvlText w:val="%1."/>
      <w:numFmt w:val="decimal"/>
      <w:start w:val="13"/>
    </w:lvl>
  </w:abstractNum>
  <w:abstractNum w:abstractNumId="293">
    <w:nsid w:val="2FD0AD81"/>
    <w:multiLevelType w:val="hybridMultilevel"/>
    <w:lvl w:ilvl="0">
      <w:lvlJc w:val="left"/>
      <w:lvlText w:val="%1."/>
      <w:numFmt w:val="decimal"/>
      <w:start w:val="15"/>
    </w:lvl>
  </w:abstractNum>
  <w:abstractNum w:abstractNumId="294">
    <w:nsid w:val="1978EBEB"/>
    <w:multiLevelType w:val="hybridMultilevel"/>
    <w:lvl w:ilvl="0">
      <w:lvlJc w:val="left"/>
      <w:lvlText w:val="%1."/>
      <w:numFmt w:val="decimal"/>
      <w:start w:val="19"/>
    </w:lvl>
  </w:abstractNum>
  <w:abstractNum w:abstractNumId="295">
    <w:nsid w:val="52C12C61"/>
    <w:multiLevelType w:val="hybridMultilevel"/>
    <w:lvl w:ilvl="0">
      <w:lvlJc w:val="left"/>
      <w:lvlText w:val="%1."/>
      <w:numFmt w:val="decimal"/>
      <w:start w:val="24"/>
    </w:lvl>
    <w:lvl w:ilvl="1">
      <w:lvlJc w:val="left"/>
      <w:lvlText w:val="%2."/>
      <w:numFmt w:val="lowerLetter"/>
      <w:start w:val="1"/>
    </w:lvl>
  </w:abstractNum>
  <w:abstractNum w:abstractNumId="296">
    <w:nsid w:val="4BDD53FD"/>
    <w:multiLevelType w:val="hybridMultilevel"/>
    <w:lvl w:ilvl="0">
      <w:lvlJc w:val="left"/>
      <w:lvlText w:val="%1."/>
      <w:numFmt w:val="decimal"/>
      <w:start w:val="29"/>
    </w:lvl>
  </w:abstractNum>
  <w:abstractNum w:abstractNumId="297">
    <w:nsid w:val="569951FE"/>
    <w:multiLevelType w:val="hybridMultilevel"/>
    <w:lvl w:ilvl="0">
      <w:lvlJc w:val="left"/>
      <w:lvlText w:val="."/>
      <w:numFmt w:val="bullet"/>
      <w:start w:val="1"/>
    </w:lvl>
  </w:abstractNum>
  <w:abstractNum w:abstractNumId="298">
    <w:nsid w:val="4C54E2C3"/>
    <w:multiLevelType w:val="hybridMultilevel"/>
    <w:lvl w:ilvl="0">
      <w:lvlJc w:val="left"/>
      <w:lvlText w:val="."/>
      <w:numFmt w:val="bullet"/>
      <w:start w:val="1"/>
    </w:lvl>
  </w:abstractNum>
  <w:abstractNum w:abstractNumId="299">
    <w:nsid w:val="788BD9B"/>
    <w:multiLevelType w:val="hybridMultilevel"/>
    <w:lvl w:ilvl="0">
      <w:lvlJc w:val="left"/>
      <w:lvlText w:val="."/>
      <w:numFmt w:val="bullet"/>
      <w:start w:val="1"/>
    </w:lvl>
  </w:abstractNum>
  <w:abstractNum w:abstractNumId="300">
    <w:nsid w:val="47CAA567"/>
    <w:multiLevelType w:val="hybridMultilevel"/>
    <w:lvl w:ilvl="0">
      <w:lvlJc w:val="left"/>
      <w:lvlText w:val="."/>
      <w:numFmt w:val="bullet"/>
      <w:start w:val="1"/>
    </w:lvl>
  </w:abstractNum>
  <w:abstractNum w:abstractNumId="301">
    <w:nsid w:val="48249DBF"/>
    <w:multiLevelType w:val="hybridMultilevel"/>
    <w:lvl w:ilvl="0">
      <w:lvlJc w:val="left"/>
      <w:lvlText w:val="."/>
      <w:numFmt w:val="bullet"/>
      <w:start w:val="1"/>
    </w:lvl>
  </w:abstractNum>
  <w:abstractNum w:abstractNumId="302">
    <w:nsid w:val="1F0E5D0D"/>
    <w:multiLevelType w:val="hybridMultilevel"/>
    <w:lvl w:ilvl="0">
      <w:lvlJc w:val="left"/>
      <w:lvlText w:val="."/>
      <w:numFmt w:val="bullet"/>
      <w:start w:val="1"/>
    </w:lvl>
  </w:abstractNum>
  <w:abstractNum w:abstractNumId="303">
    <w:nsid w:val="26BAAE9"/>
    <w:multiLevelType w:val="hybridMultilevel"/>
    <w:lvl w:ilvl="0">
      <w:lvlJc w:val="left"/>
      <w:lvlText w:val="."/>
      <w:numFmt w:val="bullet"/>
      <w:start w:val="1"/>
    </w:lvl>
  </w:abstractNum>
  <w:abstractNum w:abstractNumId="304">
    <w:nsid w:val="2C02FE8C"/>
    <w:multiLevelType w:val="hybridMultilevel"/>
    <w:lvl w:ilvl="0">
      <w:lvlJc w:val="left"/>
      <w:lvlText w:val="."/>
      <w:numFmt w:val="bullet"/>
      <w:start w:val="1"/>
    </w:lvl>
  </w:abstractNum>
  <w:abstractNum w:abstractNumId="305">
    <w:nsid w:val="129517E"/>
    <w:multiLevelType w:val="hybridMultilevel"/>
    <w:lvl w:ilvl="0">
      <w:lvlJc w:val="left"/>
      <w:lvlText w:val="."/>
      <w:numFmt w:val="bullet"/>
      <w:start w:val="1"/>
    </w:lvl>
  </w:abstractNum>
  <w:abstractNum w:abstractNumId="306">
    <w:nsid w:val="763B8C4E"/>
    <w:multiLevelType w:val="hybridMultilevel"/>
    <w:lvl w:ilvl="0">
      <w:lvlJc w:val="left"/>
      <w:lvlText w:val="."/>
      <w:numFmt w:val="bullet"/>
      <w:start w:val="1"/>
    </w:lvl>
  </w:abstractNum>
  <w:abstractNum w:abstractNumId="307">
    <w:nsid w:val="4CFB8D32"/>
    <w:multiLevelType w:val="hybridMultilevel"/>
    <w:lvl w:ilvl="0">
      <w:lvlJc w:val="left"/>
      <w:lvlText w:val="."/>
      <w:numFmt w:val="bullet"/>
      <w:start w:val="1"/>
    </w:lvl>
  </w:abstractNum>
  <w:abstractNum w:abstractNumId="308">
    <w:nsid w:val="62A5D5BD"/>
    <w:multiLevelType w:val="hybridMultilevel"/>
    <w:lvl w:ilvl="0">
      <w:lvlJc w:val="left"/>
      <w:lvlText w:val="."/>
      <w:numFmt w:val="bullet"/>
      <w:start w:val="1"/>
    </w:lvl>
  </w:abstractNum>
  <w:abstractNum w:abstractNumId="309">
    <w:nsid w:val="718FABF9"/>
    <w:multiLevelType w:val="hybridMultilevel"/>
    <w:lvl w:ilvl="0">
      <w:lvlJc w:val="left"/>
      <w:lvlText w:val="."/>
      <w:numFmt w:val="bullet"/>
      <w:start w:val="1"/>
    </w:lvl>
  </w:abstractNum>
  <w:abstractNum w:abstractNumId="310">
    <w:nsid w:val="7775797C"/>
    <w:multiLevelType w:val="hybridMultilevel"/>
    <w:lvl w:ilvl="0">
      <w:lvlJc w:val="left"/>
      <w:lvlText w:val="."/>
      <w:numFmt w:val="bullet"/>
      <w:start w:val="1"/>
    </w:lvl>
  </w:abstractNum>
  <w:abstractNum w:abstractNumId="311">
    <w:nsid w:val="1626FB8C"/>
    <w:multiLevelType w:val="hybridMultilevel"/>
    <w:lvl w:ilvl="0">
      <w:lvlJc w:val="left"/>
      <w:lvlText w:val="."/>
      <w:numFmt w:val="bullet"/>
      <w:start w:val="1"/>
    </w:lvl>
  </w:abstractNum>
  <w:abstractNum w:abstractNumId="312">
    <w:nsid w:val="3957756A"/>
    <w:multiLevelType w:val="hybridMultilevel"/>
    <w:lvl w:ilvl="0">
      <w:lvlJc w:val="left"/>
      <w:lvlText w:val="."/>
      <w:numFmt w:val="bullet"/>
      <w:start w:val="1"/>
    </w:lvl>
  </w:abstractNum>
  <w:abstractNum w:abstractNumId="313">
    <w:nsid w:val="3E6DA1C7"/>
    <w:multiLevelType w:val="hybridMultilevel"/>
    <w:lvl w:ilvl="0">
      <w:lvlJc w:val="left"/>
      <w:lvlText w:val="."/>
      <w:numFmt w:val="bullet"/>
      <w:start w:val="1"/>
    </w:lvl>
  </w:abstractNum>
  <w:abstractNum w:abstractNumId="314">
    <w:nsid w:val="65CA235B"/>
    <w:multiLevelType w:val="hybridMultilevel"/>
    <w:lvl w:ilvl="0">
      <w:lvlJc w:val="left"/>
      <w:lvlText w:val="."/>
      <w:numFmt w:val="bullet"/>
      <w:start w:val="1"/>
    </w:lvl>
  </w:abstractNum>
  <w:abstractNum w:abstractNumId="315">
    <w:nsid w:val="51CB0DA4"/>
    <w:multiLevelType w:val="hybridMultilevel"/>
    <w:lvl w:ilvl="0">
      <w:lvlJc w:val="left"/>
      <w:lvlText w:val="."/>
      <w:numFmt w:val="bullet"/>
      <w:start w:val="1"/>
    </w:lvl>
  </w:abstractNum>
  <w:abstractNum w:abstractNumId="316">
    <w:nsid w:val="7B9B743C"/>
    <w:multiLevelType w:val="hybridMultilevel"/>
    <w:lvl w:ilvl="0">
      <w:lvlJc w:val="left"/>
      <w:lvlText w:val="."/>
      <w:numFmt w:val="bullet"/>
      <w:start w:val="1"/>
    </w:lvl>
  </w:abstractNum>
  <w:abstractNum w:abstractNumId="317">
    <w:nsid w:val="13E21002"/>
    <w:multiLevelType w:val="hybridMultilevel"/>
    <w:lvl w:ilvl="0">
      <w:lvlJc w:val="left"/>
      <w:lvlText w:val="."/>
      <w:numFmt w:val="bullet"/>
      <w:start w:val="1"/>
    </w:lvl>
  </w:abstractNum>
  <w:abstractNum w:abstractNumId="318">
    <w:nsid w:val="257D63F4"/>
    <w:multiLevelType w:val="hybridMultilevel"/>
    <w:lvl w:ilvl="0">
      <w:lvlJc w:val="left"/>
      <w:lvlText w:val="."/>
      <w:numFmt w:val="bullet"/>
      <w:start w:val="1"/>
    </w:lvl>
  </w:abstractNum>
  <w:abstractNum w:abstractNumId="319">
    <w:nsid w:val="70EC11B2"/>
    <w:multiLevelType w:val="hybridMultilevel"/>
    <w:lvl w:ilvl="0">
      <w:lvlJc w:val="left"/>
      <w:lvlText w:val="(%1)"/>
      <w:numFmt w:val="lowerLetter"/>
      <w:start w:val="1"/>
    </w:lvl>
  </w:abstractNum>
  <w:abstractNum w:abstractNumId="320">
    <w:nsid w:val="2EDA00ED"/>
    <w:multiLevelType w:val="hybridMultilevel"/>
    <w:lvl w:ilvl="0">
      <w:lvlJc w:val="left"/>
      <w:lvlText w:val="-"/>
      <w:numFmt w:val="bullet"/>
      <w:start w:val="1"/>
    </w:lvl>
    <w:lvl w:ilvl="1">
      <w:lvlJc w:val="left"/>
      <w:lvlText w:val="."/>
      <w:numFmt w:val="bullet"/>
      <w:start w:val="1"/>
    </w:lvl>
  </w:abstractNum>
  <w:abstractNum w:abstractNumId="321">
    <w:nsid w:val="73209072"/>
    <w:multiLevelType w:val="hybridMultilevel"/>
    <w:lvl w:ilvl="0">
      <w:lvlJc w:val="left"/>
      <w:lvlText w:val="-"/>
      <w:numFmt w:val="bullet"/>
      <w:start w:val="1"/>
    </w:lvl>
    <w:lvl w:ilvl="1">
      <w:lvlJc w:val="left"/>
      <w:lvlText w:val="."/>
      <w:numFmt w:val="bullet"/>
      <w:start w:val="1"/>
    </w:lvl>
  </w:abstractNum>
  <w:abstractNum w:abstractNumId="322">
    <w:nsid w:val="5FB2981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2019-12-11T19:55:10Z</dcterms:created>
  <dcterms:modified xsi:type="dcterms:W3CDTF">2019-12-11T19:55:10Z</dcterms:modified>
</cp:coreProperties>
</file>