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0308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20,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FACSIMILE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Joseph F. Pinkerton, III</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Active Power, Inc.</w:t>
      </w:r>
    </w:p>
    <w:p>
      <w:pPr>
        <w:spacing w:after="0" w:line="237" w:lineRule="auto"/>
        <w:rPr>
          <w:sz w:val="20"/>
          <w:szCs w:val="20"/>
          <w:color w:val="auto"/>
        </w:rPr>
      </w:pPr>
      <w:r>
        <w:rPr>
          <w:rFonts w:ascii="Courier New" w:cs="Courier New" w:eastAsia="Courier New" w:hAnsi="Courier New"/>
          <w:sz w:val="18"/>
          <w:szCs w:val="18"/>
          <w:color w:val="auto"/>
        </w:rPr>
        <w:t>2128 W. Braker Lane, BK12</w:t>
      </w:r>
    </w:p>
    <w:p>
      <w:pPr>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202" w:lineRule="exact"/>
        <w:rPr>
          <w:sz w:val="24"/>
          <w:szCs w:val="24"/>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Active Power, Inc.</w:t>
      </w:r>
    </w:p>
    <w:p>
      <w:pPr>
        <w:ind w:left="3380"/>
        <w:spacing w:after="0" w:line="238" w:lineRule="auto"/>
        <w:rPr>
          <w:sz w:val="20"/>
          <w:szCs w:val="20"/>
          <w:color w:val="auto"/>
        </w:rPr>
      </w:pPr>
      <w:r>
        <w:rPr>
          <w:rFonts w:ascii="Courier New" w:cs="Courier New" w:eastAsia="Courier New" w:hAnsi="Courier New"/>
          <w:sz w:val="18"/>
          <w:szCs w:val="18"/>
          <w:color w:val="auto"/>
        </w:rPr>
        <w:t>Registration Statement on Form S-3</w:t>
      </w:r>
    </w:p>
    <w:p>
      <w:pPr>
        <w:ind w:left="3380"/>
        <w:spacing w:after="0"/>
        <w:rPr>
          <w:sz w:val="20"/>
          <w:szCs w:val="20"/>
          <w:color w:val="auto"/>
        </w:rPr>
      </w:pPr>
      <w:r>
        <w:rPr>
          <w:rFonts w:ascii="Courier New" w:cs="Courier New" w:eastAsia="Courier New" w:hAnsi="Courier New"/>
          <w:sz w:val="18"/>
          <w:szCs w:val="18"/>
          <w:color w:val="auto"/>
        </w:rPr>
        <w:t>File No. 333-123586</w:t>
      </w:r>
    </w:p>
    <w:p>
      <w:pPr>
        <w:ind w:left="640"/>
        <w:spacing w:after="0" w:line="237" w:lineRule="auto"/>
        <w:rPr>
          <w:sz w:val="20"/>
          <w:szCs w:val="20"/>
          <w:color w:val="auto"/>
        </w:rPr>
      </w:pPr>
      <w:r>
        <w:rPr>
          <w:rFonts w:ascii="Courier New" w:cs="Courier New" w:eastAsia="Courier New" w:hAnsi="Courier New"/>
          <w:sz w:val="18"/>
          <w:szCs w:val="18"/>
          <w:color w:val="auto"/>
        </w:rPr>
        <w:t>Filed March 25, 2005</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10-K and Form 10-K/A</w:t>
      </w:r>
    </w:p>
    <w:p>
      <w:pPr>
        <w:ind w:left="3380"/>
        <w:spacing w:after="0" w:line="238" w:lineRule="auto"/>
        <w:rPr>
          <w:sz w:val="20"/>
          <w:szCs w:val="20"/>
          <w:color w:val="auto"/>
        </w:rPr>
      </w:pPr>
      <w:r>
        <w:rPr>
          <w:rFonts w:ascii="Courier New" w:cs="Courier New" w:eastAsia="Courier New" w:hAnsi="Courier New"/>
          <w:sz w:val="18"/>
          <w:szCs w:val="18"/>
          <w:color w:val="auto"/>
        </w:rPr>
        <w:t>File No. 0-30939</w:t>
      </w:r>
    </w:p>
    <w:p>
      <w:pPr>
        <w:ind w:left="3380"/>
        <w:spacing w:after="0"/>
        <w:rPr>
          <w:sz w:val="20"/>
          <w:szCs w:val="20"/>
          <w:color w:val="auto"/>
        </w:rPr>
      </w:pPr>
      <w:r>
        <w:rPr>
          <w:rFonts w:ascii="Courier New" w:cs="Courier New" w:eastAsia="Courier New" w:hAnsi="Courier New"/>
          <w:sz w:val="18"/>
          <w:szCs w:val="18"/>
          <w:color w:val="auto"/>
        </w:rPr>
        <w:t>Filed March 15 and 23, 2005</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Pinkerton:</w:t>
      </w: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We have limited our review to the disclosure in Item 9A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annual report and the related certifications and have the following</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comments. Where indicated, we think you should revise your documents</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in response to these comments. If you disagree, we will consider your explanation as to why our comment is inapplicable or a revision</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is unnecessary. Please be as detailed as necessary in your explanation. In some of our comments, we may ask you to provide us</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with supplemental information so we may better understand your disclosure. After reviewing this information, we may or may not raise additional comments.</w:t>
      </w:r>
    </w:p>
    <w:p>
      <w:pPr>
        <w:spacing w:after="0" w:line="203"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filings.</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4" w:lineRule="exact"/>
        <w:rPr>
          <w:sz w:val="24"/>
          <w:szCs w:val="24"/>
          <w:color w:val="auto"/>
        </w:rPr>
      </w:pPr>
    </w:p>
    <w:p>
      <w:pPr>
        <w:jc w:val="center"/>
        <w:ind w:right="8099"/>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Risk Factors, page 3</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Given that your Form 10-K for the fiscal year ended December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 discloses management`s conclusions that your disclosure controls</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procedures and internal controls and procedures were not effective as a result of a material weakness, consider including a risk factor that describes the material weakness. If you include a</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risk factor, you should disclose when the material weakness first began, who identified the material weakness and discuss the actions</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taken and the additional steps you must take to remediate the problem. You should discuss your timetable for implementing these changes. Also, to the extent material, you should include disclosure</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Management`s Discussion and Analysis in your annual report or Form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S-3 describing the potential effects on your financial condition.</w:t>
      </w:r>
    </w:p>
    <w:p>
      <w:pPr>
        <w:sectPr>
          <w:pgSz w:w="11900" w:h="16838" w:orient="portrait"/>
          <w:cols w:equalWidth="0" w:num="1">
            <w:col w:w="10219"/>
          </w:cols>
          <w:pgMar w:left="240" w:top="1440" w:right="1440" w:bottom="0" w:gutter="0" w:footer="0" w:header="0"/>
        </w:sectPr>
      </w:pPr>
    </w:p>
    <w:bookmarkStart w:id="1" w:name="page2"/>
    <w:bookmarkEnd w:id="1"/>
    <w:p>
      <w:pPr>
        <w:ind w:right="3999" w:firstLine="632"/>
        <w:spacing w:after="0" w:line="235" w:lineRule="auto"/>
        <w:rPr>
          <w:sz w:val="20"/>
          <w:szCs w:val="20"/>
          <w:color w:val="auto"/>
        </w:rPr>
      </w:pPr>
      <w:r>
        <w:rPr>
          <w:rFonts w:ascii="Courier New" w:cs="Courier New" w:eastAsia="Courier New" w:hAnsi="Courier New"/>
          <w:sz w:val="18"/>
          <w:szCs w:val="18"/>
          <w:color w:val="auto"/>
        </w:rPr>
        <w:t>Form 10-K for the Fiscal Year ended December 31, 2004 Item 9A. Controls and Procedures, page 47</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Management`s Report on Internal Control Over Financial Reporting, page 47</w:t>
      </w:r>
    </w:p>
    <w:p>
      <w:pPr>
        <w:spacing w:after="0" w:line="6" w:lineRule="exact"/>
        <w:rPr>
          <w:sz w:val="20"/>
          <w:szCs w:val="20"/>
          <w:color w:val="auto"/>
        </w:rPr>
      </w:pPr>
    </w:p>
    <w:p>
      <w:pPr>
        <w:ind w:right="32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statement that "[your] Chief Executive Officer and Chief Financial Officer, concluded that, as of the end of the period</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covered by this report (December 31, 2004), [your] disclosure controls and procedures were not effective in providing reasonable assurance that information required to be disclosed by [you] in the</w:t>
      </w:r>
    </w:p>
    <w:p>
      <w:pPr>
        <w:spacing w:after="0" w:line="4" w:lineRule="exact"/>
        <w:rPr>
          <w:rFonts w:ascii="Courier New" w:cs="Courier New" w:eastAsia="Courier New" w:hAnsi="Courier New"/>
          <w:sz w:val="18"/>
          <w:szCs w:val="18"/>
          <w:color w:val="auto"/>
        </w:rPr>
      </w:pPr>
    </w:p>
    <w:p>
      <w:pPr>
        <w:jc w:val="both"/>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reports filed or submitted by [you] under the Exchange Act is recorded, processed, summarized and reported, within the time periods</w:t>
      </w:r>
    </w:p>
    <w:p>
      <w:pPr>
        <w:spacing w:after="0" w:line="6" w:lineRule="exact"/>
        <w:rPr>
          <w:rFonts w:ascii="Courier New" w:cs="Courier New" w:eastAsia="Courier New" w:hAnsi="Courier New"/>
          <w:sz w:val="18"/>
          <w:szCs w:val="18"/>
          <w:color w:val="auto"/>
        </w:rPr>
      </w:pPr>
    </w:p>
    <w:p>
      <w:pPr>
        <w:ind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in the SEC`s rules and forms." Please disclose specifically when the material weakness was identified, the parties</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 identified the weakness and when the material weakness first began.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Internal Control Over Financial Reporting, page 48</w:t>
      </w:r>
    </w:p>
    <w:p>
      <w:pPr>
        <w:spacing w:after="0" w:line="4" w:lineRule="exact"/>
        <w:rPr>
          <w:sz w:val="20"/>
          <w:szCs w:val="20"/>
          <w:color w:val="auto"/>
        </w:rPr>
      </w:pPr>
    </w:p>
    <w:p>
      <w:pPr>
        <w:ind w:right="32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"[e]xcept as described above, there has been no change in our internal controls over financial reporting during our most recent fiscal quarter that has materially affected,</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is reasonably likely to materially affect, our internal controls</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over financial reporting." Please revise to state clearly, if correct, that there were changes in your internal control over financial reporting that occurred during this quarter that have materially affected, or are reasonably likely to materially affect,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10-K/A for the Fiscal Year ended December 31,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31.1, 31.2, 31.3 and 31.4</w:t>
      </w:r>
    </w:p>
    <w:p>
      <w:pPr>
        <w:spacing w:after="0" w:line="4" w:lineRule="exact"/>
        <w:rPr>
          <w:sz w:val="20"/>
          <w:szCs w:val="20"/>
          <w:color w:val="auto"/>
        </w:rPr>
      </w:pPr>
    </w:p>
    <w:p>
      <w:pPr>
        <w:ind w:right="325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amend your annual report to correct your certifications. Please delete the title of the officer from the top and the first sentence of each certification. The top of the certificate and the</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 sentence of the exhibit should simply state the officer`s name</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without reference to his title or the name of the registrant. Also,</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certifications should correspond exactly to the certifications set forth in Item 601(b)(31) of Regulation S-K. We note, for example, that you have omitted language in paragraph 4.a. of your certification. Please re-file the entire Form 10-K with revised certifications.</w:t>
      </w:r>
    </w:p>
    <w:p>
      <w:pPr>
        <w:spacing w:after="0" w:line="203" w:lineRule="exact"/>
        <w:rPr>
          <w:sz w:val="20"/>
          <w:szCs w:val="20"/>
          <w:color w:val="auto"/>
        </w:rPr>
      </w:pPr>
    </w:p>
    <w:p>
      <w:pPr>
        <w:ind w:left="860"/>
        <w:spacing w:after="0"/>
        <w:tabs>
          <w:tab w:leader="none" w:pos="1680" w:val="left"/>
          <w:tab w:leader="none" w:pos="2520" w:val="left"/>
          <w:tab w:leader="none" w:pos="3360" w:val="left"/>
          <w:tab w:leader="none" w:pos="4200" w:val="left"/>
          <w:tab w:leader="none" w:pos="5040" w:val="left"/>
          <w:tab w:leader="none" w:pos="5880" w:val="left"/>
          <w:tab w:leader="none" w:pos="6740" w:val="left"/>
          <w:tab w:leader="none" w:pos="7580" w:val="left"/>
          <w:tab w:leader="none" w:pos="8420" w:val="left"/>
          <w:tab w:leader="none" w:pos="9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supplemental information. Detailed cover letters greatly facilitate our review. Please understand that we may have additional comments after reviewing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responses to our comments.</w:t>
      </w:r>
    </w:p>
    <w:p>
      <w:pPr>
        <w:spacing w:after="0" w:line="207" w:lineRule="exact"/>
        <w:rPr>
          <w:sz w:val="20"/>
          <w:szCs w:val="20"/>
          <w:color w:val="auto"/>
        </w:rPr>
      </w:pPr>
    </w:p>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206" w:lineRule="exact"/>
        <w:rPr>
          <w:sz w:val="20"/>
          <w:szCs w:val="20"/>
          <w:color w:val="auto"/>
        </w:rPr>
      </w:pPr>
    </w:p>
    <w:p>
      <w:pPr>
        <w:ind w:right="367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Commission or the staff, acting pursuant to delegated</w:t>
      </w:r>
    </w:p>
    <w:p>
      <w:pPr>
        <w:spacing w:after="0" w:line="5" w:lineRule="exact"/>
        <w:rPr>
          <w:rFonts w:ascii="Courier New" w:cs="Courier New" w:eastAsia="Courier New" w:hAnsi="Courier New"/>
          <w:sz w:val="18"/>
          <w:szCs w:val="18"/>
          <w:color w:val="auto"/>
        </w:rPr>
      </w:pPr>
    </w:p>
    <w:p>
      <w:pPr>
        <w:ind w:right="3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authority, declare the filing effective, it does not foreclose the Commission from taking any action with respect to the filing;</w:t>
      </w:r>
    </w:p>
    <w:p>
      <w:pPr>
        <w:spacing w:after="0" w:line="169" w:lineRule="exact"/>
        <w:rPr>
          <w:rFonts w:ascii="Courier New" w:cs="Courier New" w:eastAsia="Courier New" w:hAnsi="Courier New"/>
          <w:sz w:val="18"/>
          <w:szCs w:val="18"/>
          <w:color w:val="auto"/>
        </w:rPr>
      </w:pPr>
    </w:p>
    <w:p>
      <w:pPr>
        <w:ind w:right="29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not assert staff comments and the declaration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effectiveness as a defense in any proceeding initiated by the Commission or any person under the federal securities laws of the United States.</w:t>
      </w:r>
    </w:p>
    <w:p>
      <w:pPr>
        <w:spacing w:after="0" w:line="200" w:lineRule="exact"/>
        <w:rPr>
          <w:sz w:val="20"/>
          <w:szCs w:val="20"/>
          <w:color w:val="auto"/>
        </w:rPr>
      </w:pPr>
    </w:p>
    <w:p>
      <w:pPr>
        <w:spacing w:after="0" w:line="211"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filings or in response to our comments on your filings.</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pacing w:after="0" w:line="238" w:lineRule="auto"/>
        <w:rPr>
          <w:sz w:val="20"/>
          <w:szCs w:val="20"/>
          <w:color w:val="auto"/>
        </w:rPr>
      </w:pPr>
      <w:r>
        <w:rPr>
          <w:rFonts w:ascii="Courier New" w:cs="Courier New" w:eastAsia="Courier New" w:hAnsi="Courier New"/>
          <w:sz w:val="18"/>
          <w:szCs w:val="18"/>
          <w:color w:val="auto"/>
        </w:rPr>
        <w:t>We</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will act on the request and, pursuant to delegated authority, grant</w:t>
      </w: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10"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You may contact Scott Anderegg, Attorney, at (202) 942-2868, Ellie Quarles, Special Counsel, at (202) 942-1859 or me at (202)</w:t>
      </w:r>
    </w:p>
    <w:p>
      <w:pPr>
        <w:spacing w:after="0" w:line="233" w:lineRule="auto"/>
        <w:rPr>
          <w:sz w:val="20"/>
          <w:szCs w:val="20"/>
          <w:color w:val="auto"/>
        </w:rPr>
      </w:pPr>
      <w:r>
        <w:rPr>
          <w:rFonts w:ascii="Courier New" w:cs="Courier New" w:eastAsia="Courier New" w:hAnsi="Courier New"/>
          <w:sz w:val="18"/>
          <w:szCs w:val="18"/>
          <w:color w:val="auto"/>
        </w:rPr>
        <w:t>942-</w:t>
      </w:r>
    </w:p>
    <w:p>
      <w:pPr>
        <w:spacing w:after="0"/>
        <w:rPr>
          <w:sz w:val="20"/>
          <w:szCs w:val="20"/>
          <w:color w:val="auto"/>
        </w:rPr>
      </w:pPr>
      <w:r>
        <w:rPr>
          <w:rFonts w:ascii="Courier New" w:cs="Courier New" w:eastAsia="Courier New" w:hAnsi="Courier New"/>
          <w:sz w:val="18"/>
          <w:szCs w:val="18"/>
          <w:color w:val="auto"/>
        </w:rPr>
        <w:t>1900 with any other questions.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Christopher Owings</w:t>
      </w:r>
    </w:p>
    <w:p>
      <w:pPr>
        <w:ind w:left="640"/>
        <w:spacing w:after="0" w:line="238" w:lineRule="auto"/>
        <w:rPr>
          <w:sz w:val="20"/>
          <w:szCs w:val="20"/>
          <w:color w:val="auto"/>
        </w:rPr>
      </w:pPr>
      <w:r>
        <w:rPr>
          <w:rFonts w:ascii="Courier New" w:cs="Courier New" w:eastAsia="Courier New" w:hAnsi="Courier New"/>
          <w:sz w:val="18"/>
          <w:szCs w:val="18"/>
          <w:color w:val="auto"/>
        </w:rPr>
        <w:t>Assistant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7579" w:hanging="852"/>
        <w:spacing w:after="0" w:line="23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Matthew Lyons Andrews Kurth LLP VIA FAX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Joseph F. Pinkerton, III</w:t>
      </w:r>
    </w:p>
    <w:p>
      <w:pPr>
        <w:spacing w:after="0" w:line="238" w:lineRule="auto"/>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Page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2019-12-14T16:13:45Z</dcterms:created>
  <dcterms:modified xsi:type="dcterms:W3CDTF">2019-12-14T16:13:45Z</dcterms:modified>
</cp:coreProperties>
</file>