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13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FORM 4</w:t>
            </w:r>
          </w:p>
        </w:tc>
        <w:tc>
          <w:tcPr>
            <w:tcW w:w="6180" w:type="dxa"/>
            <w:vAlign w:val="bottom"/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jc w:val="center"/>
              <w:ind w:right="2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180" w:type="dxa"/>
            <w:vAlign w:val="bottom"/>
            <w:gridSpan w:val="20"/>
            <w:vMerge w:val="restart"/>
          </w:tcPr>
          <w:p>
            <w:pPr>
              <w:jc w:val="center"/>
              <w:ind w:right="55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8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500" w:type="dxa"/>
            <w:vAlign w:val="bottom"/>
            <w:gridSpan w:val="17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Instruction 1(b).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50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00" w:type="dxa"/>
            <w:vAlign w:val="bottom"/>
            <w:gridSpan w:val="1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jc w:val="center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Nelson Andrew Rowan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P10,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03/17/2023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P10, INC.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4514 COLE AVENUE, SUITE 1600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11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</w:rPr>
              <w:t>Rule 10b5-1(c) Transaction Indication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920" w:type="dxa"/>
            <w:vAlign w:val="bottom"/>
            <w:gridSpan w:val="2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20" w:type="dxa"/>
            <w:vAlign w:val="bottom"/>
            <w:gridSpan w:val="2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80" w:type="dxa"/>
            <w:vAlign w:val="bottom"/>
            <w:gridSpan w:val="1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03/17/2023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133,000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2.03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137,403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03/17/2023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59,693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9.25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77,710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06/14/2023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11.57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57,710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8"/>
          </w:tcPr>
          <w:p>
            <w:pPr>
              <w:jc w:val="center"/>
              <w:ind w:left="4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03/17/2023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133,000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01/30/2023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04/11/2028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-5956935</wp:posOffset>
            </wp:positionV>
            <wp:extent cx="7046595" cy="5970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97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Price reflects the weighted average sale price for the shares, which were sold in multiple transactions at prices that ranged from $11.49 to $11.63. Upon request of the SEC staff, the issuer or a security holder of the issuer, the reporting person will provide information regarding the number of shares sold at each separate price.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/s/Amanda Coussens,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103187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188214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74231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89330" TargetMode="External"/><Relationship Id="rId9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2023-06-16T16:45:56Z</dcterms:created>
  <dcterms:modified xsi:type="dcterms:W3CDTF">2023-06-16T16:45:56Z</dcterms:modified>
</cp:coreProperties>
</file>