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907"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0"/>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210 Capital, LLC</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P10,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80" w:type="dxa"/>
            <w:vAlign w:val="bottom"/>
            <w:tcBorders>
              <w:bottom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Director</w:t>
            </w:r>
          </w:p>
        </w:tc>
        <w:tc>
          <w:tcPr>
            <w:tcW w:w="240" w:type="dxa"/>
            <w:vAlign w:val="bottom"/>
          </w:tcPr>
          <w:p>
            <w:pPr>
              <w:spacing w:after="0"/>
              <w:rPr>
                <w:sz w:val="5"/>
                <w:szCs w:val="5"/>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6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9"/>
                <w:szCs w:val="9"/>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90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Arial" w:cs="Arial" w:eastAsia="Arial" w:hAnsi="Arial"/>
                <w:sz w:val="13"/>
                <w:szCs w:val="13"/>
                <w:color w:val="auto"/>
              </w:rPr>
              <w:t>below)</w:t>
            </w:r>
          </w:p>
        </w:tc>
        <w:tc>
          <w:tcPr>
            <w:tcW w:w="240" w:type="dxa"/>
            <w:vAlign w:val="bottom"/>
          </w:tcPr>
          <w:p>
            <w:pPr>
              <w:spacing w:after="0"/>
              <w:rPr>
                <w:sz w:val="16"/>
                <w:szCs w:val="16"/>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20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0000FF"/>
              </w:rPr>
              <w:t>11/12/2024</w:t>
            </w: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0000FF"/>
              </w:rPr>
              <w:t>See Remarks</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8"/>
            <w:vMerge w:val="continue"/>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2980" w:type="dxa"/>
            <w:vAlign w:val="bottom"/>
            <w:tcBorders>
              <w:bottom w:val="single" w:sz="8" w:color="2C2C2C"/>
            </w:tcBorders>
            <w:gridSpan w:val="7"/>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100" w:type="dxa"/>
            <w:vAlign w:val="bottom"/>
            <w:tcBorders>
              <w:bottom w:val="single" w:sz="8" w:color="2C2C2C"/>
            </w:tcBorders>
            <w:gridSpan w:val="7"/>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100" w:type="dxa"/>
            <w:vAlign w:val="bottom"/>
            <w:tcBorders>
              <w:bottom w:val="single" w:sz="8" w:color="9A9A9A"/>
            </w:tcBorders>
          </w:tcPr>
          <w:p>
            <w:pPr>
              <w:spacing w:after="0" w:line="20" w:lineRule="exact"/>
              <w:rPr>
                <w:sz w:val="1"/>
                <w:szCs w:val="1"/>
                <w:color w:val="auto"/>
              </w:rPr>
            </w:pPr>
          </w:p>
        </w:tc>
        <w:tc>
          <w:tcPr>
            <w:tcW w:w="80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2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0"/>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20" w:type="dxa"/>
            <w:vAlign w:val="bottom"/>
            <w:gridSpan w:val="12"/>
            <w:vMerge w:val="continue"/>
          </w:tcPr>
          <w:p>
            <w:pPr>
              <w:spacing w:after="0"/>
              <w:rPr>
                <w:sz w:val="12"/>
                <w:szCs w:val="12"/>
                <w:color w:val="auto"/>
              </w:rPr>
            </w:pPr>
          </w:p>
        </w:tc>
        <w:tc>
          <w:tcPr>
            <w:tcW w:w="3340" w:type="dxa"/>
            <w:vAlign w:val="bottom"/>
            <w:gridSpan w:val="10"/>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DALLAS</w:t>
            </w: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TX</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75205</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20" w:type="dxa"/>
            <w:vAlign w:val="bottom"/>
            <w:gridSpan w:val="8"/>
          </w:tcPr>
          <w:p>
            <w:pPr>
              <w:ind w:left="20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ind w:left="200"/>
              <w:spacing w:after="0"/>
              <w:rPr>
                <w:sz w:val="20"/>
                <w:szCs w:val="20"/>
                <w:color w:val="auto"/>
              </w:rPr>
            </w:pPr>
            <w:r>
              <w:rPr>
                <w:rFonts w:ascii="Arial" w:cs="Arial" w:eastAsia="Arial" w:hAnsi="Arial"/>
                <w:sz w:val="13"/>
                <w:szCs w:val="13"/>
                <w:color w:val="auto"/>
              </w:rPr>
              <w:t>Person</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980" w:type="dxa"/>
            <w:vAlign w:val="bottom"/>
            <w:tcBorders>
              <w:bottom w:val="single" w:sz="8" w:color="2C2C2C"/>
            </w:tcBorders>
            <w:gridSpan w:val="7"/>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21"/>
          </w:tcPr>
          <w:p>
            <w:pPr>
              <w:ind w:left="5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5"/>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5"/>
                <w:szCs w:val="15"/>
                <w:color w:val="auto"/>
              </w:rPr>
            </w:pP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2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60" w:type="dxa"/>
            <w:vAlign w:val="bottom"/>
            <w:gridSpan w:val="8"/>
          </w:tcPr>
          <w:p>
            <w:pPr>
              <w:ind w:left="46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60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(1)(2)</w:t>
            </w:r>
          </w:p>
        </w:tc>
        <w:tc>
          <w:tcPr>
            <w:tcW w:w="1360" w:type="dxa"/>
            <w:vAlign w:val="bottom"/>
            <w:tcBorders>
              <w:bottom w:val="single" w:sz="8" w:color="2C2C2C"/>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11/12/2024</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4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205,641</w:t>
            </w:r>
          </w:p>
        </w:tc>
        <w:tc>
          <w:tcPr>
            <w:tcW w:w="1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12.0939</w:t>
            </w:r>
            <w:r>
              <w:rPr>
                <w:rFonts w:ascii="Times New Roman" w:cs="Times New Roman" w:eastAsia="Times New Roman" w:hAnsi="Times New Roman"/>
                <w:sz w:val="22"/>
                <w:szCs w:val="22"/>
                <w:color w:val="008000"/>
                <w:w w:val="95"/>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338,730</w:t>
            </w:r>
          </w:p>
        </w:tc>
        <w:tc>
          <w:tcPr>
            <w:tcW w:w="2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(4)</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(1)(2)</w:t>
            </w:r>
          </w:p>
        </w:tc>
        <w:tc>
          <w:tcPr>
            <w:tcW w:w="1360" w:type="dxa"/>
            <w:vAlign w:val="bottom"/>
            <w:tcBorders>
              <w:bottom w:val="single" w:sz="8" w:color="2C2C2C"/>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11/13/2024</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4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1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12.015</w:t>
            </w:r>
            <w:r>
              <w:rPr>
                <w:rFonts w:ascii="Times New Roman" w:cs="Times New Roman" w:eastAsia="Times New Roman" w:hAnsi="Times New Roman"/>
                <w:sz w:val="22"/>
                <w:szCs w:val="22"/>
                <w:color w:val="008000"/>
                <w:w w:val="95"/>
                <w:vertAlign w:val="superscript"/>
              </w:rPr>
              <w:t>(5)</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336,730</w:t>
            </w:r>
          </w:p>
        </w:tc>
        <w:tc>
          <w:tcPr>
            <w:tcW w:w="2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(4)</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(1)(2)</w:t>
            </w:r>
          </w:p>
        </w:tc>
        <w:tc>
          <w:tcPr>
            <w:tcW w:w="13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11/13/2024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480" w:type="dxa"/>
            <w:vAlign w:val="bottom"/>
          </w:tcPr>
          <w:p>
            <w:pPr>
              <w:spacing w:after="0"/>
              <w:rPr>
                <w:sz w:val="21"/>
                <w:szCs w:val="21"/>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21,723</w:t>
            </w:r>
          </w:p>
        </w:tc>
        <w:tc>
          <w:tcPr>
            <w:tcW w:w="160" w:type="dxa"/>
            <w:vAlign w:val="bottom"/>
          </w:tcPr>
          <w:p>
            <w:pPr>
              <w:spacing w:after="0"/>
              <w:rPr>
                <w:sz w:val="21"/>
                <w:szCs w:val="21"/>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gridSpan w:val="4"/>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11.9433</w:t>
            </w:r>
            <w:r>
              <w:rPr>
                <w:rFonts w:ascii="Times New Roman" w:cs="Times New Roman" w:eastAsia="Times New Roman" w:hAnsi="Times New Roman"/>
                <w:sz w:val="22"/>
                <w:szCs w:val="22"/>
                <w:color w:val="008000"/>
                <w:w w:val="95"/>
                <w:vertAlign w:val="superscript"/>
              </w:rPr>
              <w:t>(6)</w:t>
            </w:r>
          </w:p>
        </w:tc>
        <w:tc>
          <w:tcPr>
            <w:tcW w:w="118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7"/>
                <w:szCs w:val="17"/>
                <w:color w:val="0000FF"/>
              </w:rPr>
              <w:t>1,728,277</w:t>
            </w:r>
          </w:p>
        </w:tc>
        <w:tc>
          <w:tcPr>
            <w:tcW w:w="240" w:type="dxa"/>
            <w:vAlign w:val="bottom"/>
          </w:tcPr>
          <w:p>
            <w:pPr>
              <w:spacing w:after="0"/>
              <w:rPr>
                <w:sz w:val="21"/>
                <w:szCs w:val="21"/>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940" w:type="dxa"/>
            <w:vAlign w:val="bottom"/>
            <w:gridSpan w:val="4"/>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(1)(2)</w:t>
            </w:r>
          </w:p>
        </w:tc>
        <w:tc>
          <w:tcPr>
            <w:tcW w:w="13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11/14/2024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480" w:type="dxa"/>
            <w:vAlign w:val="bottom"/>
          </w:tcPr>
          <w:p>
            <w:pPr>
              <w:spacing w:after="0"/>
              <w:rPr>
                <w:sz w:val="21"/>
                <w:szCs w:val="21"/>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98,277</w:t>
            </w:r>
          </w:p>
        </w:tc>
        <w:tc>
          <w:tcPr>
            <w:tcW w:w="160" w:type="dxa"/>
            <w:vAlign w:val="bottom"/>
          </w:tcPr>
          <w:p>
            <w:pPr>
              <w:spacing w:after="0"/>
              <w:rPr>
                <w:sz w:val="21"/>
                <w:szCs w:val="21"/>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gridSpan w:val="4"/>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11.9246</w:t>
            </w:r>
            <w:r>
              <w:rPr>
                <w:rFonts w:ascii="Times New Roman" w:cs="Times New Roman" w:eastAsia="Times New Roman" w:hAnsi="Times New Roman"/>
                <w:sz w:val="22"/>
                <w:szCs w:val="22"/>
                <w:color w:val="008000"/>
                <w:w w:val="95"/>
                <w:vertAlign w:val="superscript"/>
              </w:rPr>
              <w:t>(8)</w:t>
            </w:r>
          </w:p>
        </w:tc>
        <w:tc>
          <w:tcPr>
            <w:tcW w:w="118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7"/>
                <w:szCs w:val="17"/>
                <w:color w:val="0000FF"/>
              </w:rPr>
              <w:t>1,630,000</w:t>
            </w:r>
          </w:p>
        </w:tc>
        <w:tc>
          <w:tcPr>
            <w:tcW w:w="240" w:type="dxa"/>
            <w:vAlign w:val="bottom"/>
          </w:tcPr>
          <w:p>
            <w:pPr>
              <w:spacing w:after="0"/>
              <w:rPr>
                <w:sz w:val="21"/>
                <w:szCs w:val="21"/>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940" w:type="dxa"/>
            <w:vAlign w:val="bottom"/>
            <w:gridSpan w:val="4"/>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top w:val="single" w:sz="8" w:color="2C2C2C"/>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(1)(2)</w:t>
            </w: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32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30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118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339,028</w:t>
            </w:r>
          </w:p>
        </w:tc>
        <w:tc>
          <w:tcPr>
            <w:tcW w:w="24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(9)</w:t>
            </w:r>
          </w:p>
        </w:tc>
        <w:tc>
          <w:tcPr>
            <w:tcW w:w="2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40" w:type="dxa"/>
            <w:vAlign w:val="bottom"/>
            <w:gridSpan w:val="1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3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3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4"/>
          </w:tcPr>
          <w:p>
            <w:pPr>
              <w:ind w:left="22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gridSpan w:val="4"/>
          </w:tcPr>
          <w:p>
            <w:pPr>
              <w:ind w:left="220"/>
              <w:spacing w:after="0" w:line="133"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9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00" w:type="dxa"/>
            <w:vAlign w:val="bottom"/>
          </w:tcPr>
          <w:p>
            <w:pPr>
              <w:spacing w:after="0"/>
              <w:rPr>
                <w:sz w:val="11"/>
                <w:szCs w:val="11"/>
                <w:color w:val="auto"/>
              </w:rPr>
            </w:pPr>
          </w:p>
        </w:tc>
        <w:tc>
          <w:tcPr>
            <w:tcW w:w="6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13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160" w:type="dxa"/>
            <w:vAlign w:val="bottom"/>
          </w:tcPr>
          <w:p>
            <w:pPr>
              <w:spacing w:after="0"/>
              <w:rPr>
                <w:sz w:val="14"/>
                <w:szCs w:val="14"/>
                <w:color w:val="auto"/>
              </w:rPr>
            </w:pP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210 Capital, LLC</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DALLAS</w:t>
            </w:r>
          </w:p>
        </w:tc>
        <w:tc>
          <w:tcPr>
            <w:tcW w:w="22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75205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4"/>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0000EE"/>
            </w:tcBorders>
            <w:gridSpan w:val="3"/>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Alpert Robert H</w:t>
              </w:r>
            </w:hyperlink>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-4100195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ectPr>
          <w:pgSz w:w="11900" w:h="16907" w:orient="portrait"/>
          <w:cols w:equalWidth="0" w:num="1">
            <w:col w:w="11080"/>
          </w:cols>
          <w:pgMar w:left="460" w:top="219" w:right="359" w:bottom="0" w:gutter="0" w:footer="0" w:header="0"/>
          <w:type w:val="continuous"/>
        </w:sectPr>
      </w:pPr>
    </w:p>
    <w:p>
      <w:pPr>
        <w:spacing w:after="0" w:line="353"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907"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6"/>
        </w:trPr>
        <w:tc>
          <w:tcPr>
            <w:tcW w:w="10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DALLAS</w:t>
            </w:r>
          </w:p>
        </w:tc>
        <w:tc>
          <w:tcPr>
            <w:tcW w:w="13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19"/>
                <w:szCs w:val="19"/>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(City)</w:t>
            </w:r>
          </w:p>
        </w:tc>
        <w:tc>
          <w:tcPr>
            <w:tcW w:w="1360" w:type="dxa"/>
            <w:vAlign w:val="bottom"/>
          </w:tcPr>
          <w:p>
            <w:pPr>
              <w:ind w:left="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320" w:type="dxa"/>
            <w:vAlign w:val="bottom"/>
            <w:gridSpan w:val="2"/>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Webb C Clark</w:t>
              </w:r>
            </w:hyperlink>
          </w:p>
        </w:tc>
        <w:tc>
          <w:tcPr>
            <w:tcW w:w="1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(Last)</w:t>
            </w:r>
          </w:p>
        </w:tc>
        <w:tc>
          <w:tcPr>
            <w:tcW w:w="1360" w:type="dxa"/>
            <w:vAlign w:val="bottom"/>
          </w:tcPr>
          <w:p>
            <w:pPr>
              <w:ind w:left="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DALLAS</w:t>
            </w:r>
          </w:p>
        </w:tc>
        <w:tc>
          <w:tcPr>
            <w:tcW w:w="13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(City)</w:t>
            </w:r>
          </w:p>
        </w:tc>
        <w:tc>
          <w:tcPr>
            <w:tcW w:w="1360" w:type="dxa"/>
            <w:vAlign w:val="bottom"/>
          </w:tcPr>
          <w:p>
            <w:pPr>
              <w:ind w:left="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71456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9240" cy="714565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COVENANT RHA PARTNERS,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6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4"/>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CCW/LAW Holdings,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6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4"/>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RHA Investments, Inc.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6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filed by: (i) 210 Capital, LLC ("210 Capital"), in its capacity as the sole member of 210/P10 Acquisition Partners, LLC, the direct holder of shares of Class B Common Stock ("210/P10"); (ii) Covenant RHA Partners, L.P. ("RHA Partners"), in its capacity as member of 210 Capital; (iii) CCW/LAW Holdings, LLC ("CCW Holdings"), in its capacity as member of 210 Capital; (iv) Mr. Webb, individually and in his capacity as sole member of CCW Holdings, and in his capacity as Executive Vice Chairman and a director of the Issuer; (v) RHA Investments, Inc. ("RHA Investments"), in its capacity as general partner of RHA Partners; and (vi) Mr. Alpert, individually and in his capacity as President and sole shareholder of RHA Investments, and in his capacity as a director of the Issuer (collectively, the "Reporting Persons").</w:t>
      </w:r>
    </w:p>
    <w:p>
      <w:pPr>
        <w:spacing w:after="0" w:line="26" w:lineRule="exact"/>
        <w:rPr>
          <w:rFonts w:ascii="Times New Roman" w:cs="Times New Roman" w:eastAsia="Times New Roman" w:hAnsi="Times New Roman"/>
          <w:sz w:val="13"/>
          <w:szCs w:val="13"/>
          <w:color w:val="008000"/>
        </w:rPr>
      </w:pPr>
    </w:p>
    <w:p>
      <w:pPr>
        <w:ind w:left="20" w:right="1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Each Reporting Person disclaims beneficial ownership of the securities of the Issuer reported herein, except to the extent of his or its pecuniary interest therein, and the filing of this Form 4 shall not be construed as an admission that such persons are beneficial owners of the securities of the Issuer reported herein.</w:t>
      </w:r>
    </w:p>
    <w:p>
      <w:pPr>
        <w:spacing w:after="0" w:line="7"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$11.85 to $12.32,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Webb.</w:t>
      </w:r>
    </w:p>
    <w:p>
      <w:pPr>
        <w:spacing w:after="0" w:line="50"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$12.01 to $12.02,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$11.85 to $12.035,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20" w:right="16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210/P10. By virtue of their relationship with 210/P10 described in Footnote 1, each Reporting Person may be deemed to beneficially own the securities of the Issuer owned directly by 210/P10.</w:t>
      </w:r>
    </w:p>
    <w:p>
      <w:pPr>
        <w:spacing w:after="0" w:line="7" w:lineRule="exact"/>
        <w:rPr>
          <w:rFonts w:ascii="Times New Roman" w:cs="Times New Roman" w:eastAsia="Times New Roman" w:hAnsi="Times New Roman"/>
          <w:sz w:val="13"/>
          <w:szCs w:val="13"/>
          <w:color w:val="008000"/>
        </w:rPr>
      </w:pPr>
    </w:p>
    <w:p>
      <w:pPr>
        <w:jc w:val="both"/>
        <w:ind w:left="20" w:right="6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$11.8028 to $12.015,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Alpert.</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The Reporting Persons may be deemed to be members of group under Section 13 that collectively beneficially owns more than 10% of the Issuer's Common Stock.</w:t>
      </w:r>
    </w:p>
    <w:p>
      <w:pPr>
        <w:spacing w:after="0" w:line="7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/s/C. Clark Webb,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95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11"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in-Fact for the Reporting</w:t>
      </w:r>
      <w:r>
        <w:rPr>
          <w:sz w:val="20"/>
          <w:szCs w:val="20"/>
          <w:color w:val="auto"/>
        </w:rPr>
        <w:tab/>
      </w:r>
      <w:r>
        <w:rPr>
          <w:rFonts w:ascii="Times New Roman" w:cs="Times New Roman" w:eastAsia="Times New Roman" w:hAnsi="Times New Roman"/>
          <w:sz w:val="17"/>
          <w:szCs w:val="17"/>
          <w:color w:val="0000FF"/>
        </w:rPr>
        <w:t>11/14/2024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29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422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342265" cy="8255"/>
                    </a:xfrm>
                    <a:prstGeom prst="rect">
                      <a:avLst/>
                    </a:prstGeom>
                    <a:noFill/>
                  </pic:spPr>
                </pic:pic>
              </a:graphicData>
            </a:graphic>
          </wp:anchor>
        </w:drawing>
      </w:r>
    </w:p>
    <w:p>
      <w:pPr>
        <w:spacing w:after="0" w:line="40"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0800"/>
          </w:cols>
          <w:pgMar w:left="480" w:top="165" w:right="619" w:bottom="0" w:gutter="0" w:footer="0" w:header="0"/>
        </w:sectPr>
      </w:pPr>
    </w:p>
    <w:bookmarkStart w:id="2" w:name="page3"/>
    <w:bookmarkEnd w:id="2"/>
    <w:p>
      <w:pPr>
        <w:jc w:val="both"/>
        <w:ind w:right="2480" w:firstLine="7"/>
        <w:spacing w:after="0" w:line="321"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13" Type="http://schemas.openxmlformats.org/officeDocument/2006/relationships/hyperlink" Target="http://www.sec.gov/cgi-bin/browse-edgar?action=getcompany&amp;CIK=0001694780" TargetMode="External"/><Relationship Id="rId14" Type="http://schemas.openxmlformats.org/officeDocument/2006/relationships/hyperlink" Target="http://www.sec.gov/cgi-bin/browse-edgar?action=getcompany&amp;CIK=0001841968" TargetMode="External"/><Relationship Id="rId15" Type="http://schemas.openxmlformats.org/officeDocument/2006/relationships/hyperlink" Target="http://www.sec.gov/cgi-bin/browse-edgar?action=getcompany&amp;CIK=0001694574" TargetMode="External"/><Relationship Id="rId17" Type="http://schemas.openxmlformats.org/officeDocument/2006/relationships/hyperlink" Target="http://www.sec.gov/cgi-bin/browse-edgar?action=getcompany&amp;CIK=0001694507" TargetMode="External"/><Relationship Id="rId19" Type="http://schemas.openxmlformats.org/officeDocument/2006/relationships/hyperlink" Target="http://www.sec.gov/cgi-bin/browse-edgar?action=getcompany&amp;CIK=0001274195" TargetMode="External"/><Relationship Id="rId20" Type="http://schemas.openxmlformats.org/officeDocument/2006/relationships/hyperlink" Target="http://www.sec.gov/cgi-bin/browse-edgar?action=getcompany&amp;CIK=0001694778" TargetMode="External"/><Relationship Id="rId21" Type="http://schemas.openxmlformats.org/officeDocument/2006/relationships/hyperlink" Target="http://www.sec.gov/cgi-bin/browse-edgar?action=getcompany&amp;CIK=00016947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2024-11-14T17:45:17Z</dcterms:created>
  <dcterms:modified xsi:type="dcterms:W3CDTF">2024-11-14T17:45:17Z</dcterms:modified>
</cp:coreProperties>
</file>