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April 26,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ACTIVE POWER,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000-30939</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(Commission File Number)</w:t>
      </w:r>
    </w:p>
    <w:p>
      <w:pPr>
        <w:sectPr>
          <w:pgSz w:w="11900" w:h="16838" w:orient="portrait"/>
          <w:cols w:equalWidth="0" w:num="1">
            <w:col w:w="10219"/>
          </w:cols>
          <w:pgMar w:left="240" w:top="250" w:right="1440" w:bottom="0" w:gutter="0" w:footer="0" w:header="0"/>
        </w:sectPr>
      </w:pP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of Other Jurisdiction</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74-2961657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300" w:space="720"/>
            <w:col w:w="4199"/>
          </w:cols>
          <w:pgMar w:left="240" w:top="250" w:right="1440" w:bottom="0" w:gutter="0" w:footer="0" w:header="0"/>
          <w:type w:val="continuous"/>
        </w:sectPr>
      </w:pPr>
    </w:p>
    <w:p>
      <w:pPr>
        <w:spacing w:after="0" w:line="7" w:lineRule="exact"/>
        <w:rPr>
          <w:sz w:val="24"/>
          <w:szCs w:val="24"/>
          <w:color w:val="auto"/>
        </w:rPr>
      </w:pPr>
    </w:p>
    <w:p>
      <w:pPr>
        <w:jc w:val="both"/>
        <w:ind w:left="640" w:right="860" w:firstLine="105"/>
        <w:spacing w:after="0" w:line="279" w:lineRule="auto"/>
        <w:rPr>
          <w:sz w:val="20"/>
          <w:szCs w:val="20"/>
          <w:color w:val="auto"/>
        </w:rPr>
      </w:pPr>
      <w:r>
        <w:rPr>
          <w:rFonts w:ascii="Courier New" w:cs="Courier New" w:eastAsia="Courier New" w:hAnsi="Courier New"/>
          <w:sz w:val="16"/>
          <w:szCs w:val="16"/>
          <w:color w:val="auto"/>
        </w:rPr>
        <w:t>2128 W. Braker Lane, BK12, Austin, Texas -----------------------------------------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78758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3" w:lineRule="exact"/>
        <w:rPr>
          <w:sz w:val="24"/>
          <w:szCs w:val="24"/>
          <w:color w:val="auto"/>
        </w:rPr>
      </w:pPr>
    </w:p>
    <w:p>
      <w:pPr>
        <w:sectPr>
          <w:pgSz w:w="11900" w:h="16838" w:orient="portrait"/>
          <w:cols w:equalWidth="0" w:num="2">
            <w:col w:w="5820" w:space="720"/>
            <w:col w:w="3679"/>
          </w:cols>
          <w:pgMar w:left="240" w:top="250" w:right="1440" w:bottom="0" w:gutter="0" w:footer="0" w:header="0"/>
          <w:type w:val="continuous"/>
        </w:sectPr>
      </w:pPr>
    </w:p>
    <w:p>
      <w:pPr>
        <w:ind w:left="3480"/>
        <w:spacing w:after="0"/>
        <w:rPr>
          <w:sz w:val="20"/>
          <w:szCs w:val="20"/>
          <w:color w:val="auto"/>
        </w:rPr>
      </w:pPr>
      <w:r>
        <w:rPr>
          <w:rFonts w:ascii="Courier New" w:cs="Courier New" w:eastAsia="Courier New" w:hAnsi="Courier New"/>
          <w:sz w:val="16"/>
          <w:szCs w:val="16"/>
          <w:color w:val="auto"/>
        </w:rPr>
        <w:t>(512) 836-6464</w:t>
      </w:r>
    </w:p>
    <w:p>
      <w:pPr>
        <w:sectPr>
          <w:pgSz w:w="11900" w:h="16838" w:orient="portrait"/>
          <w:cols w:equalWidth="0" w:num="1">
            <w:col w:w="10219"/>
          </w:cols>
          <w:pgMar w:left="240" w:top="250" w:right="1440" w:bottom="0" w:gutter="0" w:footer="0" w:header="0"/>
          <w:type w:val="continuous"/>
        </w:sectPr>
      </w:pPr>
    </w:p>
    <w:p>
      <w:pPr>
        <w:ind w:left="1480"/>
        <w:spacing w:after="0" w:line="213" w:lineRule="auto"/>
        <w:rPr>
          <w:sz w:val="20"/>
          <w:szCs w:val="20"/>
          <w:color w:val="auto"/>
        </w:rPr>
      </w:pPr>
      <w:r>
        <w:rPr>
          <w:rFonts w:ascii="Courier New" w:cs="Courier New" w:eastAsia="Courier New" w:hAnsi="Courier New"/>
          <w:sz w:val="18"/>
          <w:szCs w:val="18"/>
          <w:color w:val="auto"/>
        </w:rPr>
        <w:t>----------------------------------------------------</w:t>
      </w:r>
    </w:p>
    <w:p>
      <w:pPr>
        <w:spacing w:after="0" w:line="39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N/A</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6" w:lineRule="exact"/>
        <w:rPr>
          <w:sz w:val="24"/>
          <w:szCs w:val="24"/>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 shell company (as defined in Rule 12b-2 of the Exchange Act).</w:t>
      </w:r>
    </w:p>
    <w:p>
      <w:pPr>
        <w:sectPr>
          <w:pgSz w:w="11900" w:h="16838" w:orient="portrait"/>
          <w:cols w:equalWidth="0" w:num="1">
            <w:col w:w="10219"/>
          </w:cols>
          <w:pgMar w:left="240" w:top="250" w:right="1440" w:bottom="0" w:gutter="0" w:footer="0" w:header="0"/>
          <w:type w:val="continuous"/>
        </w:sectPr>
      </w:pPr>
    </w:p>
    <w:p>
      <w:pPr>
        <w:spacing w:after="0" w:line="208"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spacing w:after="0" w:line="200" w:lineRule="exact"/>
        <w:rPr>
          <w:sz w:val="24"/>
          <w:szCs w:val="24"/>
          <w:color w:val="auto"/>
        </w:rPr>
      </w:pPr>
    </w:p>
    <w:p>
      <w:pPr>
        <w:sectPr>
          <w:pgSz w:w="11900" w:h="16838" w:orient="portrait"/>
          <w:cols w:equalWidth="0" w:num="3">
            <w:col w:w="2860" w:space="200"/>
            <w:col w:w="960" w:space="720"/>
            <w:col w:w="5479"/>
          </w:cols>
          <w:pgMar w:left="240" w:top="250" w:right="1440" w:bottom="0" w:gutter="0" w:footer="0" w:header="0"/>
          <w:type w:val="continuous"/>
        </w:sectPr>
      </w:pPr>
    </w:p>
    <w:p>
      <w:pPr>
        <w:spacing w:after="0" w:line="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registration under any of the following provisions (see General Instruction A.2. below):</w:t>
      </w:r>
    </w:p>
    <w:p>
      <w:pPr>
        <w:spacing w:after="0" w:line="209" w:lineRule="exact"/>
        <w:rPr>
          <w:sz w:val="24"/>
          <w:szCs w:val="24"/>
          <w:color w:val="auto"/>
        </w:rPr>
      </w:pPr>
    </w:p>
    <w:p>
      <w:pPr>
        <w:ind w:left="540" w:right="293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315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On April 26, 2006, Active Power, Inc. issued a press release reporting its results of operations for its fiscal quarter ended March 31, 2006. A copy of the press release is furnished herewith as Exhibit 99.1.</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tabs>
          <w:tab w:leader="none" w:pos="13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EXHIBITS AND FINANCIAL STATEMENTS.</w:t>
      </w:r>
    </w:p>
    <w:p>
      <w:pPr>
        <w:spacing w:after="0" w:line="201"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Exhibit 99.1  Press Release dated April 26, 2006</w:t>
      </w:r>
    </w:p>
    <w:p>
      <w:pPr>
        <w:sectPr>
          <w:pgSz w:w="11900" w:h="16838" w:orient="portrait"/>
          <w:cols w:equalWidth="0" w:num="1">
            <w:col w:w="10219"/>
          </w:cols>
          <w:pgMar w:left="240" w:top="339"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ACTIVE POWER,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26, 2006</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 Joseph F. Pinkerton III ---------------------------- Joseph F. Pinkerton III Chairman of the Board and Chief Executive Officer</w:t>
      </w:r>
    </w:p>
    <w:p>
      <w:pPr>
        <w:sectPr>
          <w:pgSz w:w="11900" w:h="16838" w:orient="portrait"/>
          <w:cols w:equalWidth="0" w:num="3">
            <w:col w:w="4240" w:space="720"/>
            <w:col w:w="320" w:space="200"/>
            <w:col w:w="4739"/>
          </w:cols>
          <w:pgMar w:left="240" w:top="717"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PRESS RELEASE DATED APRIL 26, 2006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[LOGO OF ACTIVE POWER (R)]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ACTIVE POWER ANNOUNCES FIRST QUARTER RESULTS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AUSTIN, Texas (April 26, 2006) -- Active Power, Inc. (NASDAQ: ACPW) today announced results for its first quarter ended March 31, 2006. Revenue for the first quarter of fiscal 2006 was $5.6 million, up 62% from the same period last year and 8% from the previous quarter.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loss for the first quarter of 2006 was $6.0 million, or 12 cents per share, compared to a net loss of $5.3 million, or 12 cents per share, for the same period last year and a net loss of $6.8 million, or 14 cents per share in the fourth quarter of 2005. Net loss for the quarter includes expenses of $857,000 or 2 cents per share for stock-based compensation.</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Cash and investments usage for the quarter was $5.0 million, as compared to $4.7 million for the same period last year and $6.4 million for the previous quarter. Cash and investments at March 31, 2006 were $37.0 million.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experienced strong year-over-year growth in our core flywheel business in Q1, driven in part by increased sales of our megawatt-class UPS" said Joe Pinkerton, Chairman and CEO of Active Power. "Our recently expanded international sales team came in ahead of plan and we expect this momentum to continue over the next several quarters. We are seeing increased demand for our products in all regions due to new data center construction, as evidenced by two orders totaling 17 megawatts announced earlier this year. Last month we received UL certification on our CoolAir(TM) DC product and will begin production of UL-listed units in May."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Business Highlights: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060" w:right="17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Shipped eight megawatt-class UPS systems against the 11-megawatt order from Caterpillar announced at the end of January. These flywheel UPS systems will be used to protect a large datacenter in the United States. We believe the remainder of this order will be shipped in the second quarter.</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Shipped twelve 500 kW DC flywheel systems pursuant to an order from Eaton Powerware announced in February of this year. These DC flywheel systems will be used to protect a large datacenter in the United States.</w:t>
      </w:r>
    </w:p>
    <w:p>
      <w:pPr>
        <w:spacing w:after="0" w:line="207"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Obtained UL certification for our CoolAir DC line of products. CoolAir DC is the first minute-for-minute alternative to batteries commercially available to the Uninterruptible Power Supply (UPS) market. Using thermal energy and breathable room air to provide power, a single CoolAir DC unit can provide 85kW of power for up to 15 minutes and, simultaneously, produce cool air to mitigate heat buildup in the protected environment.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1"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Flywheel unit shipments increased 112% from 43 units, or 11 MW, in Q1 2005 to 91 units, or 23 MW, in Q1 2006. Total flywheel runtime now exceeds 21 million hours.</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an order and shipped a production-level CoolAir DC unit in April to one of the leading producers of photovoltaic modules in Europe.</w:t>
      </w:r>
    </w:p>
    <w:p>
      <w:pPr>
        <w:spacing w:after="0" w:line="208"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Shipped UPS systems to protect the runway lights at three large airports around the world.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Active Power expects Q2 2006 revenue to be approximately $5.0 to $6.0 million, and Q2 earnings per share to be a loss of approximately 11 to 13 cents, which includes approximately 2 cents per share for stock-based compensation expenses. We expect cash and investments usage in Q2 to be in the range of $5.5 to $6.5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CALL:</w:t>
      </w:r>
    </w:p>
    <w:p>
      <w:pPr>
        <w:sectPr>
          <w:pgSz w:w="11900" w:h="16838" w:orient="portrait"/>
          <w:cols w:equalWidth="0" w:num="1">
            <w:col w:w="10219"/>
          </w:cols>
          <w:pgMar w:left="240" w:top="136" w:right="1440" w:bottom="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The Company will host a conference call today, Wednesday, April 26, at 11:00 a.m. Eastern Time, to further review the Company's fiscal Q1 results. A replay of the webcast will be available until May 10th. Investors may access the live broadcast and replay through our web site: www.activepower.com.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ACTIVE POWER: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CleanSource(R), that provides a highly reliable, low-cost and non-toxic replacement for lead-acid batteries used in conventional power quality installations. Active Power has also recently developed a new battery-free extended runtime product line (CoolAir(TM)) based on its proprietary thermal and compressed air storage technology.</w:t>
      </w:r>
    </w:p>
    <w:p>
      <w:pPr>
        <w:sectPr>
          <w:pgSz w:w="11900" w:h="16838" w:orient="portrait"/>
          <w:cols w:equalWidth="0" w:num="1">
            <w:col w:w="10219"/>
          </w:cols>
          <w:pgMar w:left="240" w:top="14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CAUTIONARY NOTE REGARDING FORWARD-LOOKING STATEMENTS: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 dependence on our relationship with Caterpillar(R); competition; delays in research and development; dependence on sole or limited source suppliers; inability to increase product sales; inventory risks; dependence upon key personnel; inability to protect our intellectual property rights; potential future acquisitions; potential Sarbanes-Oxley Section 404 compliance issues;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200" w:lineRule="exact"/>
        <w:rPr>
          <w:sz w:val="20"/>
          <w:szCs w:val="20"/>
          <w:color w:val="auto"/>
        </w:rPr>
      </w:pPr>
    </w:p>
    <w:p>
      <w:pPr>
        <w:spacing w:after="0" w:line="39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Active Power and our Active Power logo and CleanSource are registered trademarks of Active Power, Inc. All other trademarks are the properties of their respective companies.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ACTIVE POWER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Chibib, Investors, 512.744.9453, mchibib@activepower.com</w:t>
      </w:r>
    </w:p>
    <w:p>
      <w:pPr>
        <w:spacing w:after="0" w:line="238" w:lineRule="auto"/>
        <w:rPr>
          <w:sz w:val="20"/>
          <w:szCs w:val="20"/>
          <w:color w:val="auto"/>
        </w:rPr>
      </w:pPr>
      <w:r>
        <w:rPr>
          <w:rFonts w:ascii="Courier New" w:cs="Courier New" w:eastAsia="Courier New" w:hAnsi="Courier New"/>
          <w:sz w:val="18"/>
          <w:szCs w:val="18"/>
          <w:color w:val="auto"/>
        </w:rPr>
        <w:t>Derek Jones, Corporate Communications, 512.744.9210, djones@activepower.com</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ACTIVE POWER,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AND CONSOLIDATED STATEMENTS OF OPERATIONS</w:t>
      </w:r>
    </w:p>
    <w:p>
      <w:pPr>
        <w:jc w:val="center"/>
        <w:ind w:right="1679"/>
        <w:spacing w:after="0"/>
        <w:rPr>
          <w:sz w:val="20"/>
          <w:szCs w:val="20"/>
          <w:color w:val="auto"/>
        </w:rPr>
      </w:pPr>
      <w:r>
        <w:rPr>
          <w:rFonts w:ascii="Courier New" w:cs="Courier New" w:eastAsia="Courier New" w:hAnsi="Courier New"/>
          <w:sz w:val="18"/>
          <w:szCs w:val="18"/>
          <w:color w:val="auto"/>
        </w:rPr>
        <w:t>(Thousands, except per share amounts)</w:t>
      </w:r>
    </w:p>
    <w:p>
      <w:pPr>
        <w:jc w:val="center"/>
        <w:ind w:right="167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0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34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2006</w:t>
            </w:r>
          </w:p>
        </w:tc>
        <w:tc>
          <w:tcPr>
            <w:tcW w:w="540" w:type="dxa"/>
            <w:vAlign w:val="bottom"/>
          </w:tcPr>
          <w:p>
            <w:pPr>
              <w:spacing w:after="0"/>
              <w:rPr>
                <w:sz w:val="17"/>
                <w:szCs w:val="17"/>
                <w:color w:val="auto"/>
              </w:rPr>
            </w:pP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revenue</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5,044</w:t>
            </w:r>
          </w:p>
        </w:tc>
        <w:tc>
          <w:tcPr>
            <w:tcW w:w="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2,931</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 and spares revenue</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525</w:t>
            </w:r>
          </w:p>
        </w:tc>
        <w:tc>
          <w:tcPr>
            <w:tcW w:w="5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507</w:t>
            </w:r>
          </w:p>
        </w:tc>
      </w:tr>
      <w:tr>
        <w:trPr>
          <w:trHeight w:val="203"/>
        </w:trPr>
        <w:tc>
          <w:tcPr>
            <w:tcW w:w="5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revenue</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5,569</w:t>
            </w:r>
          </w:p>
        </w:tc>
        <w:tc>
          <w:tcPr>
            <w:tcW w:w="5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3,438</w:t>
            </w:r>
          </w:p>
        </w:tc>
      </w:tr>
      <w:tr>
        <w:trPr>
          <w:trHeight w:val="405"/>
        </w:trPr>
        <w:tc>
          <w:tcPr>
            <w:tcW w:w="5020" w:type="dxa"/>
            <w:vAlign w:val="bottom"/>
          </w:tcPr>
          <w:p>
            <w:pPr>
              <w:ind w:left="320"/>
              <w:spacing w:after="0"/>
              <w:rPr>
                <w:sz w:val="20"/>
                <w:szCs w:val="20"/>
                <w:color w:val="auto"/>
              </w:rPr>
            </w:pPr>
            <w:r>
              <w:rPr>
                <w:rFonts w:ascii="Courier New" w:cs="Courier New" w:eastAsia="Courier New" w:hAnsi="Courier New"/>
                <w:sz w:val="18"/>
                <w:szCs w:val="18"/>
                <w:color w:val="auto"/>
              </w:rPr>
              <w:t>Cost of product revenue</w:t>
            </w:r>
          </w:p>
        </w:tc>
        <w:tc>
          <w:tcPr>
            <w:tcW w:w="62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5,137</w:t>
            </w:r>
          </w:p>
        </w:tc>
        <w:tc>
          <w:tcPr>
            <w:tcW w:w="5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3,245</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service and spares revenue</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576</w:t>
            </w:r>
          </w:p>
        </w:tc>
        <w:tc>
          <w:tcPr>
            <w:tcW w:w="5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544</w:t>
            </w:r>
          </w:p>
        </w:tc>
      </w:tr>
      <w:tr>
        <w:trPr>
          <w:trHeight w:val="203"/>
        </w:trPr>
        <w:tc>
          <w:tcPr>
            <w:tcW w:w="5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Total cost of revenue</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5,713</w:t>
            </w:r>
          </w:p>
        </w:tc>
        <w:tc>
          <w:tcPr>
            <w:tcW w:w="5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3,789</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620" w:type="dxa"/>
            <w:vAlign w:val="bottom"/>
          </w:tcPr>
          <w:p>
            <w:pPr>
              <w:spacing w:after="0"/>
              <w:rPr>
                <w:sz w:val="24"/>
                <w:szCs w:val="24"/>
                <w:color w:val="auto"/>
              </w:rPr>
            </w:pP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(144)</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(351)</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2,225</w:t>
            </w:r>
          </w:p>
        </w:tc>
        <w:tc>
          <w:tcPr>
            <w:tcW w:w="5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2,231</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Selling &amp; Marketing</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2,659</w:t>
            </w:r>
          </w:p>
        </w:tc>
        <w:tc>
          <w:tcPr>
            <w:tcW w:w="5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1,437</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General &amp; Administrative</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1,494</w:t>
            </w:r>
          </w:p>
        </w:tc>
        <w:tc>
          <w:tcPr>
            <w:tcW w:w="5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2,137</w:t>
            </w:r>
          </w:p>
        </w:tc>
      </w:tr>
      <w:tr>
        <w:trPr>
          <w:trHeight w:val="203"/>
        </w:trPr>
        <w:tc>
          <w:tcPr>
            <w:tcW w:w="5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6,378</w:t>
            </w:r>
          </w:p>
        </w:tc>
        <w:tc>
          <w:tcPr>
            <w:tcW w:w="5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5,805</w:t>
            </w:r>
          </w:p>
        </w:tc>
      </w:tr>
      <w:tr>
        <w:trPr>
          <w:trHeight w:val="203"/>
        </w:trPr>
        <w:tc>
          <w:tcPr>
            <w:tcW w:w="5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w:t>
            </w:r>
          </w:p>
        </w:tc>
        <w:tc>
          <w:tcPr>
            <w:tcW w:w="6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(6,522)</w:t>
            </w:r>
          </w:p>
        </w:tc>
        <w:tc>
          <w:tcPr>
            <w:tcW w:w="5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(6,156)</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Interest income</w:t>
            </w:r>
          </w:p>
        </w:tc>
        <w:tc>
          <w:tcPr>
            <w:tcW w:w="620" w:type="dxa"/>
            <w:vAlign w:val="bottom"/>
          </w:tcPr>
          <w:p>
            <w:pPr>
              <w:spacing w:after="0"/>
              <w:rPr>
                <w:sz w:val="24"/>
                <w:szCs w:val="24"/>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394</w:t>
            </w:r>
          </w:p>
        </w:tc>
        <w:tc>
          <w:tcPr>
            <w:tcW w:w="5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378</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due to change in market value of</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rights</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493</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w:t>
            </w:r>
          </w:p>
        </w:tc>
        <w:tc>
          <w:tcPr>
            <w:tcW w:w="5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5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(6,049)</w:t>
            </w:r>
          </w:p>
        </w:tc>
        <w:tc>
          <w:tcPr>
            <w:tcW w:w="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(5,327)</w:t>
            </w:r>
          </w:p>
        </w:tc>
      </w:tr>
      <w:tr>
        <w:trPr>
          <w:trHeight w:val="203"/>
        </w:trPr>
        <w:tc>
          <w:tcPr>
            <w:tcW w:w="5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 basic &amp; diluted</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(0.12)</w:t>
            </w:r>
          </w:p>
        </w:tc>
        <w:tc>
          <w:tcPr>
            <w:tcW w:w="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(0.12)</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 net loss per share,</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&amp; diluted</w:t>
            </w:r>
          </w:p>
        </w:tc>
        <w:tc>
          <w:tcPr>
            <w:tcW w:w="6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49,183</w:t>
            </w:r>
          </w:p>
        </w:tc>
        <w:tc>
          <w:tcPr>
            <w:tcW w:w="5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46,085</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Comprehensive loss:</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loss</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(6,049)</w:t>
            </w:r>
          </w:p>
        </w:tc>
        <w:tc>
          <w:tcPr>
            <w:tcW w:w="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(5,327)</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 gain (loss) on investments in</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6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w:t>
            </w:r>
          </w:p>
        </w:tc>
        <w:tc>
          <w:tcPr>
            <w:tcW w:w="5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Comprehensive loss</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(6,133)</w:t>
            </w:r>
          </w:p>
        </w:tc>
        <w:tc>
          <w:tcPr>
            <w:tcW w:w="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(5,428)</w:t>
            </w:r>
          </w:p>
        </w:tc>
      </w:tr>
      <w:tr>
        <w:trPr>
          <w:trHeight w:val="203"/>
        </w:trPr>
        <w:tc>
          <w:tcPr>
            <w:tcW w:w="5020" w:type="dxa"/>
            <w:vAlign w:val="bottom"/>
          </w:tcPr>
          <w:p>
            <w:pPr>
              <w:spacing w:after="0"/>
              <w:rPr>
                <w:sz w:val="17"/>
                <w:szCs w:val="17"/>
                <w:color w:val="auto"/>
              </w:rPr>
            </w:pPr>
          </w:p>
        </w:tc>
        <w:tc>
          <w:tcPr>
            <w:tcW w:w="18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ACTIVE POWER,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AND CONSOLIDATED BALANCE SHEETS</w:t>
      </w:r>
    </w:p>
    <w:p>
      <w:pPr>
        <w:jc w:val="center"/>
        <w:ind w:right="1679"/>
        <w:spacing w:after="0"/>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March 31,</w:t>
            </w:r>
          </w:p>
        </w:tc>
        <w:tc>
          <w:tcPr>
            <w:tcW w:w="15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2006</w:t>
            </w:r>
          </w:p>
        </w:tc>
        <w:tc>
          <w:tcPr>
            <w:tcW w:w="42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9,243</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7,590</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Restricted cash</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Short-term investments in marketable</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securities</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24,751</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31,364</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6,207</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5,769</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4,969</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4,242</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494</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45,780</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49,677</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7,359</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7,530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investments in marketable securities</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2,959</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Deposits and other</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assets</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56,286</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60,365</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1,907</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2,264</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3,508</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3,780</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revenue</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395</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5,810</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6,249</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Treasury stock</w:t>
            </w:r>
          </w:p>
        </w:tc>
        <w:tc>
          <w:tcPr>
            <w:tcW w:w="4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4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stock compensation</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237,254</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235,147</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4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(186,738)</w:t>
            </w:r>
          </w:p>
        </w:tc>
        <w:tc>
          <w:tcPr>
            <w:tcW w:w="4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(180,689)</w:t>
            </w: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accumulated comprehensive income</w:t>
            </w:r>
          </w:p>
        </w:tc>
        <w:tc>
          <w:tcPr>
            <w:tcW w:w="4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w:t>
            </w:r>
          </w:p>
        </w:tc>
        <w:tc>
          <w:tcPr>
            <w:tcW w:w="4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42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50,476</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54,116</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56,286</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60,365</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2019-12-12T02:07:12Z</dcterms:created>
  <dcterms:modified xsi:type="dcterms:W3CDTF">2019-12-12T02:07:12Z</dcterms:modified>
</cp:coreProperties>
</file>