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Nell M. Blatherwick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10,299,673.00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1,197,910.00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1,197,910.00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Included in reported beneficial ownership are (i) 1,011,307 shares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("Class B Stock"), which as of the date of this statement entitles its holder to ten votes for each share held, (ii) 82,443 shares of Class A Common Stock ("Class A Stock"), and (iii) options to acquire 104,160 shares of Class A Stock. (2)</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Represents the percentage of Class A Stock beneficially owned, as calculated in accordance with Rule 13d-3(d)(1)(i) under the Act. The shares beneficially owned represent 1.7%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M. McCoy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25,638,292.00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2,983,375.00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980"/>
          </w:cols>
          <w:pgMar w:left="320" w:top="166" w:right="59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2,983,375.00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2,517,213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344,000 shares of Class A Stock, and (iii) options to acquire 122,162 shares of Class A Stock. (2) Represents the percentage of Class A Stock beneficially owned, as calculated in accordance with Rule 13d-3(d)(1)(i) under the Act. The shares beneficially owned represent 4.1%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Alexander I. Abell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355"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9,544,930.00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1,309,993.00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1,309,993.00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ectPr>
          <w:pgSz w:w="11900" w:h="16838" w:orient="portrait"/>
          <w:cols w:equalWidth="0" w:num="2">
            <w:col w:w="1100" w:space="60"/>
            <w:col w:w="9920"/>
          </w:cols>
          <w:pgMar w:left="320" w:top="355" w:right="49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914,993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325,000 shares of Class A Stock and (iii) options to acquire 70,000 shares of Class A Stock. (2) Represents the percentage of Class A Stock beneficially owned, as calculated in accordance with Rule 13d-3(d)(1)(i) under the Act. The shares beneficially owned represent 1.5%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Andrew Rowan Nelson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9,821,195.00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1,079,432.00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1,079,432.00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971,307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55,625 shares of Class A Stock and (iii) and options to acquire 52,500 shares of Class A Stock. (2) Represents the percentage of Class A Stock beneficially owned, as calculated in accordance with Rule 13d-3(d)(1)(i) under the Act. The shares beneficially owned represent 1.6%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ectPr>
          <w:pgSz w:w="11900" w:h="16838" w:orient="portrait"/>
          <w:cols w:equalWidth="0" w:num="1">
            <w:col w:w="11220"/>
          </w:cols>
          <w:pgMar w:left="320" w:top="112" w:right="359" w:bottom="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P. Danis Revocable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567"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17,983,940.00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1,955,210.00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1,955,210.00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567" w:right="49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1,780,970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52,078 shares at Class A Stock, and (iii) options to acquire 122,162 shares of Class A Stock. (2) Represents the percentage of Class A Stock beneficially owned, as calculated in accordance with Rule 13d-3(d)(1)(i) under the Act. The shares beneficially owned represent 2.9%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Prism 1, LLC</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80"/>
          </w:cols>
          <w:pgMar w:left="320" w:top="567" w:right="499" w:bottom="0" w:gutter="0" w:footer="0" w:header="0"/>
          <w:type w:val="continuous"/>
        </w:sectPr>
      </w:pPr>
    </w:p>
    <w:bookmarkStart w:id="5" w:name="page6"/>
    <w:bookmarkEnd w:id="5"/>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ALASKA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17,806,960.00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1,780,696.00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1,780,696.00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80"/>
          </w:cols>
          <w:pgMar w:left="320" w:top="369" w:right="4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Beneficial ownership consists of shares of Class B Stock, which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statement entitles its holder to ten votes for each share held. (2) Represents the percentage of Class A Stock beneficially owned, as calculated in accordance with Rule 13d-3(d)(1)(i) under the Act. The shares beneficially owned represent 2.9%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Prism 2,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WYOMING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369" w:right="439" w:bottom="0" w:gutter="0" w:footer="0" w:header="0"/>
          <w:type w:val="continuous"/>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3,500,000.00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350,000.00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Beneficial ownership consists of shares of Class B Stock, which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statement entitles its holder to ten votes for each share held. (2) Represents the percentage of Class A Stock beneficially owned, as calculated in accordance with Rule 13d-3(d)(1)(i) under the Act. The shares beneficially owned represent 0.6%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Reserve 2,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WYOMING</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Beneficially</w:t>
            </w:r>
          </w:p>
        </w:tc>
        <w:tc>
          <w:tcPr>
            <w:tcW w:w="7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Owned by</w:t>
            </w:r>
          </w:p>
        </w:tc>
        <w:tc>
          <w:tcPr>
            <w:tcW w:w="7600" w:type="dxa"/>
            <w:vAlign w:val="bottom"/>
          </w:tcPr>
          <w:p>
            <w:pPr>
              <w:ind w:left="300"/>
              <w:spacing w:after="0" w:line="175" w:lineRule="exact"/>
              <w:rPr>
                <w:sz w:val="20"/>
                <w:szCs w:val="20"/>
                <w:color w:val="auto"/>
              </w:rPr>
            </w:pPr>
            <w:r>
              <w:rPr>
                <w:rFonts w:ascii="Times New Roman" w:cs="Times New Roman" w:eastAsia="Times New Roman" w:hAnsi="Times New Roman"/>
                <w:sz w:val="19"/>
                <w:szCs w:val="19"/>
                <w:color w:val="auto"/>
              </w:rPr>
              <w:t>3,500,000.00</w:t>
            </w: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6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76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7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100" w:type="dxa"/>
            <w:vAlign w:val="bottom"/>
          </w:tcPr>
          <w:p>
            <w:pPr>
              <w:spacing w:after="0"/>
              <w:rPr>
                <w:sz w:val="24"/>
                <w:szCs w:val="24"/>
                <w:color w:val="auto"/>
              </w:rPr>
            </w:pPr>
          </w:p>
        </w:tc>
        <w:tc>
          <w:tcPr>
            <w:tcW w:w="7600" w:type="dxa"/>
            <w:vAlign w:val="bottom"/>
          </w:tcPr>
          <w:p>
            <w:pPr>
              <w:ind w:left="60"/>
              <w:spacing w:after="0" w:line="472"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76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bl>
    <w:p>
      <w:pPr>
        <w:sectPr>
          <w:pgSz w:w="11900" w:h="16838" w:orient="portrait"/>
          <w:cols w:equalWidth="0" w:num="1">
            <w:col w:w="11140"/>
          </w:cols>
          <w:pgMar w:left="320" w:top="102" w:right="439" w:bottom="0" w:gutter="0" w:footer="0" w:header="0"/>
        </w:sectPr>
      </w:pPr>
    </w:p>
    <w:bookmarkStart w:id="7" w:name="page8"/>
    <w:bookmarkEnd w:id="7"/>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Beneficial ownership consists of shares of Class B Stock, which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statement entitles its holder to ten votes for each share held. (2) Represents the percentage of Class A Stock beneficially owned, as calculated in accordance with Rule 13d-3(d)(1)(i) under the Act. The shares beneficially owned represent 0.6%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K. Huebner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31" w:orient="portrait"/>
          <w:cols w:equalWidth="0" w:num="1">
            <w:col w:w="11140"/>
          </w:cols>
          <w:pgMar w:left="320" w:top="612"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42,748,741.00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4,391,290.00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4,391,290.00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31" w:orient="portrait"/>
          <w:cols w:equalWidth="0" w:num="2">
            <w:col w:w="1100" w:space="60"/>
            <w:col w:w="9980"/>
          </w:cols>
          <w:pgMar w:left="320" w:top="612" w:right="439" w:bottom="0" w:gutter="0" w:footer="0" w:header="0"/>
          <w:type w:val="continuous"/>
        </w:sectPr>
      </w:pP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Included in reported beneficial ownership are (i) 4,261,939 shares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which as of the date of this statement entitles its holder to ten votes for each share held, (ii) 117,684 shares of Class A Stock and (iii) options to acquire 11,667 shares of Class A Stock. (2) Represents the percentage of Class A Stock beneficially owned, as calculated in accordance with Rule 13d-3(d)(1)(i) under the Act. The shares beneficially owned represent 6.9% of the</w:t>
      </w:r>
    </w:p>
    <w:p>
      <w:pPr>
        <w:sectPr>
          <w:pgSz w:w="11900" w:h="16931" w:orient="portrait"/>
          <w:cols w:equalWidth="0" w:num="1">
            <w:col w:w="11140"/>
          </w:cols>
          <w:pgMar w:left="320" w:top="612" w:right="439" w:bottom="0" w:gutter="0" w:footer="0" w:header="0"/>
          <w:type w:val="continuous"/>
        </w:sectPr>
      </w:pPr>
    </w:p>
    <w:bookmarkStart w:id="8" w:name="page9"/>
    <w:bookmarkEnd w:id="8"/>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I. Madorsky Revocable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1" w:right="499" w:bottom="1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38,879,496.00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4,032,045.00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4,032,045.00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11" w:right="499" w:bottom="17"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(i) 3,871,939 of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which as of the date of this statement entitles its holder to ten votes for each share held, (ii) 57,944 shares of Class A Stock, and (iii) options to acquire 102,162 shares of Class A Stock. (2) Represents the percentage of Class A Stock beneficially owned, as calculated in accordance with Rule 13d-3(d)(1)(i) under the Act. The shares beneficially owned represent 6.2%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20" w:top="111" w:right="499" w:bottom="17"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080"/>
          </w:cols>
          <w:pgMar w:left="320" w:top="111" w:right="499" w:bottom="17" w:gutter="0" w:footer="0" w:header="0"/>
          <w:type w:val="continuous"/>
        </w:sectPr>
      </w:pPr>
    </w:p>
    <w:bookmarkStart w:id="9" w:name="page10"/>
    <w:bookmarkEnd w:id="9"/>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Texas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1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1) Nell M. Blatherwick 2) David M. McCoy 3) Alexander I. Abell 4) Andrew Rowan Nelson 5) Thomas P. Danis Revocable Trust 6) Prism 1, LLC 7) Prism 2, LLC 8) Reserve 2 LLC 9) Charles K. Huebner Trust 10) Jon I. Madorsky Revocable Trust</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Reporting Person is c/o 4514 Cole Avenue, Suite 1600 Dallas, Texas 75205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01" w:lineRule="auto"/>
        <w:tabs>
          <w:tab w:leader="none" w:pos="920" w:val="left"/>
        </w:tabs>
        <w:numPr>
          <w:ilvl w:val="0"/>
          <w:numId w:val="1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Each natural person Reporting Person is a citizen of the United States. Thomas P. Danis Revocable Trust is organized under the laws of Illinois Prism 1, LLC is an Alaska limited liability company Prism 2, LLC is a Wyoming limited liability company Reserve 2, LLC is a Wyoming limited liability company Charles K. Huebner Trust is organized under the laws of Illinois Jon I. Madorsky Revocable Trust is organized under the laws of Florida</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1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pages. %</w:t>
      </w:r>
    </w:p>
    <w:p>
      <w:pPr>
        <w:spacing w:after="0" w:line="20" w:lineRule="exact"/>
        <w:rPr>
          <w:sz w:val="20"/>
          <w:szCs w:val="20"/>
          <w:color w:val="auto"/>
        </w:rPr>
      </w:pPr>
    </w:p>
    <w:p>
      <w:pPr>
        <w:ind w:left="920" w:hanging="912"/>
        <w:spacing w:after="0"/>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the cover pages.</w:t>
      </w:r>
    </w:p>
    <w:p>
      <w:pPr>
        <w:spacing w:after="0" w:line="287" w:lineRule="exact"/>
        <w:rPr>
          <w:sz w:val="20"/>
          <w:szCs w:val="20"/>
          <w:color w:val="auto"/>
        </w:rPr>
      </w:pPr>
    </w:p>
    <w:p>
      <w:pPr>
        <w:ind w:left="920" w:right="6180" w:firstLine="6"/>
        <w:spacing w:after="0" w:line="486" w:lineRule="auto"/>
        <w:tabs>
          <w:tab w:leader="none" w:pos="12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w:t>
      </w:r>
    </w:p>
    <w:p>
      <w:pPr>
        <w:spacing w:after="0" w:line="1" w:lineRule="exact"/>
        <w:rPr>
          <w:rFonts w:ascii="Times New Roman" w:cs="Times New Roman" w:eastAsia="Times New Roman" w:hAnsi="Times New Roman"/>
          <w:sz w:val="22"/>
          <w:szCs w:val="22"/>
          <w:color w:val="auto"/>
        </w:rPr>
      </w:pPr>
    </w:p>
    <w:p>
      <w:pPr>
        <w:ind w:left="920" w:right="5260" w:firstLine="6"/>
        <w:spacing w:after="0" w:line="486" w:lineRule="auto"/>
        <w:tabs>
          <w:tab w:leader="none" w:pos="129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the cover pages.</w:t>
      </w:r>
    </w:p>
    <w:p>
      <w:pPr>
        <w:sectPr>
          <w:pgSz w:w="11900" w:h="17038" w:orient="portrait"/>
          <w:cols w:equalWidth="0" w:num="1">
            <w:col w:w="11080"/>
          </w:cols>
          <w:pgMar w:left="360" w:top="111" w:right="459" w:bottom="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See row 8 of the cover pages. Percent of class is based on (i) the number of shares that may be deemed to be beneficially owned by each Reporting Person as of December 31, 2024 and (ii) the number of shares of Class A common stock outstanding (54,850,578 shares) and Class B common stock outstanding (56,772,177 shares) as of November 4, 2024 as reported by the Issuer in its Form 10-Q filed with the Securities and Exchange Commission on November 8, 2024. Each Reporting Person is party to, or is a permitted transferee of a Reporting Person that is party to, that certain Controlled Company Agreement, dated as of October 9, 2021, as amended, with the Issuer and the other parties signatory thereto, pursuant to which, among other things, each stockholder group has certain director designation rights and has agreed to vote their shares for the designated director nominees. The Reporting Persons may be deemed to be members of a Section 13(d) group that collectively beneficially owns more than 10% of the Issuer's common stock. Each Reporting Person declares that neither the filing of this Schedule 13G nor anything herein shall be construed as an admission that such person is, for the purposes of Section 13(d) or 13(g) of the Securities Exchange Act of 1934, as amended, the beneficial owner of any securities held by any other Reporting Person covered by this Schedule 13G.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Nell M. Blatherwick</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Nell M. Blatherwick</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Nell M. Blatherwick</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David M. McCoy</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M. McCoy</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David M. McCoy</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Alexander I. Abell</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I. Abell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Alexander I. Abell</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Andrew Rowan Nelson</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Rowan Nelson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Andrew Rowan Nelson</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Thomas P. Danis Revocable Living Trust</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Name/Title: Thomas P. Danis, Jr., Trustee</w:t>
      </w:r>
    </w:p>
    <w:p>
      <w:pPr>
        <w:sectPr>
          <w:pgSz w:w="11900" w:h="16838" w:orient="portrait"/>
          <w:cols w:equalWidth="0" w:num="1">
            <w:col w:w="11140"/>
          </w:cols>
          <w:pgMar w:left="360" w:top="409" w:right="399" w:bottom="0" w:gutter="0" w:footer="0" w:header="0"/>
          <w:type w:val="continuous"/>
        </w:sectPr>
      </w:pPr>
    </w:p>
    <w:bookmarkStart w:id="11" w:name="page12"/>
    <w:bookmarkEnd w:id="11"/>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Prism 1,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Name/Title: Thomas P. Danis, Jr., Manager</w:t>
      </w:r>
    </w:p>
    <w:p>
      <w:pPr>
        <w:spacing w:after="0" w:line="56"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Prism 2,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Name/Title: Thomas P. Danis, Jr., Manager</w:t>
      </w:r>
    </w:p>
    <w:p>
      <w:pPr>
        <w:spacing w:after="0" w:line="56"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Reserve 2,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Danis, Jr.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Name/Title: Thomas P. Danis, Jr., Manager</w:t>
      </w:r>
    </w:p>
    <w:p>
      <w:pPr>
        <w:spacing w:after="0" w:line="56"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Charles K. Huebner Trust</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K. Huebner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Charles K. Huebner, Trustee</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Jon I. Madorsky Revocable Trust</w:t>
      </w:r>
    </w:p>
    <w:p>
      <w:pPr>
        <w:spacing w:after="0" w:line="152"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I. Madorsky</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Jon I. Madorsky, Trustee</w:t>
      </w:r>
    </w:p>
    <w:p>
      <w:pPr>
        <w:spacing w:after="0" w:line="44"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9019"/>
          </w:cols>
          <w:pgMar w:left="144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Filer Agreement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undersigned hereby agree and acknowledge that the statement containing the information required by Schedule 13G, to which this agreement is attached as an exhibit, is filed on behalf of each of them, and any amendments or supplements to the Schedule 13G shall also be filed on behalf of each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Andrew Rowan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 dated March 10,</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2003</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1,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2,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Reserve 2,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Charles K. Huebner Trust dated January 16, 2001</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K. Huebner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Jon I. Madorsky Revocable Trust dated December 1, 2008</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I. Madorsky</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2"/>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2"/>
      <w:numFmt w:val="bullet"/>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2"/>
      <w:numFmt w:val="bullet"/>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2"/>
      <w:numFmt w:val="bullet"/>
      <w:start w:val="1"/>
    </w:lvl>
  </w:abstractNum>
  <w:abstractNum w:abstractNumId="9">
    <w:nsid w:val="6B68079A"/>
    <w:multiLevelType w:val="hybridMultilevel"/>
    <w:lvl w:ilvl="0">
      <w:lvlJc w:val="left"/>
      <w:lvlText w:val="2"/>
      <w:numFmt w:val="bullet"/>
      <w:start w:val="1"/>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2025-02-14T15:37:16Z</dcterms:created>
  <dcterms:modified xsi:type="dcterms:W3CDTF">2025-02-14T15:37:16Z</dcterms:modified>
</cp:coreProperties>
</file>