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1, 2025</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P10,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1249" w:right="339" w:bottom="1440" w:gutter="0" w:footer="0" w:header="0"/>
        </w:sectPr>
      </w:pPr>
    </w:p>
    <w:p>
      <w:pPr>
        <w:spacing w:after="0" w:line="201" w:lineRule="exact"/>
        <w:rPr>
          <w:sz w:val="24"/>
          <w:szCs w:val="24"/>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8"/>
          <w:szCs w:val="18"/>
          <w:b w:val="1"/>
          <w:bCs w:val="1"/>
          <w:color w:val="auto"/>
        </w:rPr>
        <w:t>001-40937</w:t>
      </w:r>
    </w:p>
    <w:p>
      <w:pPr>
        <w:spacing w:after="0" w:line="31"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87-2908160</w:t>
      </w:r>
    </w:p>
    <w:p>
      <w:pPr>
        <w:spacing w:after="0" w:line="31"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5160" w:space="720"/>
            <w:col w:w="2220" w:space="720"/>
            <w:col w:w="2420"/>
          </w:cols>
          <w:pgMar w:left="320" w:top="1249"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4514 Cole Avenue, Suite 1600, Dallas, Texas 75205</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(214) 865-7998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ectPr>
          <w:pgSz w:w="11900" w:h="16838" w:orient="portrait"/>
          <w:cols w:equalWidth="0" w:num="1">
            <w:col w:w="11240"/>
          </w:cols>
          <w:pgMar w:left="320" w:top="1249" w:right="339" w:bottom="1440" w:gutter="0" w:footer="0" w:header="0"/>
          <w:type w:val="continuous"/>
        </w:sectPr>
      </w:pPr>
    </w:p>
    <w:p>
      <w:pPr>
        <w:spacing w:after="0" w:line="2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00" w:hanging="279"/>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00" w:hanging="279"/>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60" w:hanging="239"/>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40" w:firstLine="21"/>
        <w:spacing w:after="0" w:line="500" w:lineRule="auto"/>
        <w:tabs>
          <w:tab w:leader="none" w:pos="24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or to be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236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8"/>
              </w:rPr>
              <w:t>Trading</w:t>
            </w:r>
          </w:p>
        </w:tc>
        <w:tc>
          <w:tcPr>
            <w:tcW w:w="36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Name of each exchange on which</w:t>
            </w:r>
          </w:p>
        </w:tc>
      </w:tr>
      <w:tr>
        <w:trPr>
          <w:trHeight w:val="234"/>
        </w:trPr>
        <w:tc>
          <w:tcPr>
            <w:tcW w:w="5240" w:type="dxa"/>
            <w:vAlign w:val="bottom"/>
            <w:tcBorders>
              <w:bottom w:val="single" w:sz="8" w:color="auto"/>
            </w:tcBorders>
          </w:tcPr>
          <w:p>
            <w:pPr>
              <w:ind w:left="2440"/>
              <w:spacing w:after="0"/>
              <w:rPr>
                <w:sz w:val="20"/>
                <w:szCs w:val="20"/>
                <w:color w:val="auto"/>
              </w:rPr>
            </w:pPr>
            <w:r>
              <w:rPr>
                <w:rFonts w:ascii="Times New Roman" w:cs="Times New Roman" w:eastAsia="Times New Roman" w:hAnsi="Times New Roman"/>
                <w:sz w:val="18"/>
                <w:szCs w:val="18"/>
                <w:color w:val="auto"/>
              </w:rPr>
              <w:t>Title of Each Class</w:t>
            </w:r>
          </w:p>
        </w:tc>
        <w:tc>
          <w:tcPr>
            <w:tcW w:w="2360" w:type="dxa"/>
            <w:vAlign w:val="bottom"/>
            <w:tcBorders>
              <w:bottom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w w:val="99"/>
              </w:rPr>
              <w:t>Symbol</w:t>
            </w:r>
          </w:p>
        </w:tc>
        <w:tc>
          <w:tcPr>
            <w:tcW w:w="36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registered</w:t>
            </w:r>
          </w:p>
        </w:tc>
      </w:tr>
      <w:tr>
        <w:trPr>
          <w:trHeight w:val="232"/>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Class A Common Stock, $0.001 par value per share</w:t>
            </w:r>
          </w:p>
        </w:tc>
        <w:tc>
          <w:tcPr>
            <w:tcW w:w="2360" w:type="dxa"/>
            <w:vAlign w:val="bottom"/>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PX</w:t>
            </w:r>
          </w:p>
        </w:tc>
        <w:tc>
          <w:tcPr>
            <w:tcW w:w="36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391" w:lineRule="exact"/>
        <w:rPr>
          <w:sz w:val="24"/>
          <w:szCs w:val="24"/>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8980"/>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w:t>
      </w:r>
    </w:p>
    <w:p>
      <w:pPr>
        <w:spacing w:after="0" w:line="99"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type w:val="continuous"/>
        </w:sectPr>
      </w:pPr>
    </w:p>
    <w:bookmarkStart w:id="1" w:name="page2"/>
    <w:bookmarkEnd w:id="1"/>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Chief Accounting Officer</w:t>
      </w:r>
    </w:p>
    <w:p>
      <w:pPr>
        <w:spacing w:after="0" w:line="119" w:lineRule="exact"/>
        <w:rPr>
          <w:sz w:val="20"/>
          <w:szCs w:val="20"/>
          <w:color w:val="auto"/>
        </w:rPr>
      </w:pPr>
    </w:p>
    <w:p>
      <w:pPr>
        <w:ind w:firstLine="749"/>
        <w:spacing w:after="0" w:line="289" w:lineRule="auto"/>
        <w:rPr>
          <w:sz w:val="20"/>
          <w:szCs w:val="20"/>
          <w:color w:val="auto"/>
        </w:rPr>
      </w:pPr>
      <w:r>
        <w:rPr>
          <w:rFonts w:ascii="Times New Roman" w:cs="Times New Roman" w:eastAsia="Times New Roman" w:hAnsi="Times New Roman"/>
          <w:sz w:val="17"/>
          <w:szCs w:val="17"/>
          <w:color w:val="auto"/>
        </w:rPr>
        <w:t>On January 1, 2025, the board of directors of P10, Inc. (the “Company”), appointed Andrew Corsi to the position of Chief Accounting Officer. In this position, Mr. Corsi will replace and succeed Amanda Coussens as the Company’s principal accounting officer. Ms. Coussens will continue to serve as the Chief Financial Officer and the Company’s principal financial officer. Mr. Corsi has served as Corporate Controller of the Company since April 2021.</w:t>
      </w:r>
    </w:p>
    <w:p>
      <w:pPr>
        <w:spacing w:after="0" w:line="158"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Mr. Corsi, age 39, is the Company’s Chief Accounting Officer, a position he has served in since January 2025. Prior to that, he served as the Company’s Corporate Controller from April 2021 to January 2025. Prior to joining the Company, Mr. Corsi worked at Goldman, Sachs &amp; Co. serving as a Vice President from January 2017 to March 2021 and as an Associate from July 2014 to December 2016. Mr. Corsi started his career at Ernst &amp; Young as a consultant working with public companies. He is also a licensed CPA in Texas. Mr. Corsi earned a Master of Science and Bachelor of Arts, with honors, in Accounting from Michigan State University, Broad College of Business.</w:t>
      </w:r>
    </w:p>
    <w:p>
      <w:pPr>
        <w:spacing w:after="0" w:line="183" w:lineRule="exact"/>
        <w:rPr>
          <w:sz w:val="20"/>
          <w:szCs w:val="20"/>
          <w:color w:val="auto"/>
        </w:rPr>
      </w:pPr>
    </w:p>
    <w:p>
      <w:pPr>
        <w:ind w:right="220" w:firstLine="749"/>
        <w:spacing w:after="0" w:line="266" w:lineRule="auto"/>
        <w:rPr>
          <w:sz w:val="20"/>
          <w:szCs w:val="20"/>
          <w:color w:val="auto"/>
        </w:rPr>
      </w:pPr>
      <w:r>
        <w:rPr>
          <w:rFonts w:ascii="Times New Roman" w:cs="Times New Roman" w:eastAsia="Times New Roman" w:hAnsi="Times New Roman"/>
          <w:sz w:val="18"/>
          <w:szCs w:val="18"/>
          <w:color w:val="auto"/>
        </w:rPr>
        <w:t>There are no arrangements or understandings between Mr. Corsi and any other person pursuant to which Mr. Corsi was appointed as Chief Accounting Officer. There are also no family relationships between Mr. Corsi and any director or executive officer of the Company and Mr. Corsi has no direct or indirect interest in any related party transaction required to be disclosed pursuant to Item 404(a)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0"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P10, INC.</w:t>
      </w:r>
    </w:p>
    <w:p>
      <w:pPr>
        <w:spacing w:after="0" w:line="374"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January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Amanda Coussens</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1124585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7"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2025-01-07T12:54:09Z</dcterms:created>
  <dcterms:modified xsi:type="dcterms:W3CDTF">2025-01-07T12:54:09Z</dcterms:modified>
</cp:coreProperties>
</file>