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5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8"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0"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February 12, 2026</w:t>
      </w:r>
    </w:p>
    <w:p>
      <w:pPr>
        <w:spacing w:after="0" w:line="16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38"/>
          <w:szCs w:val="38"/>
          <w:b w:val="1"/>
          <w:bCs w:val="1"/>
          <w:color w:val="auto"/>
        </w:rPr>
        <w:t>Ridgepost Capital, Inc.</w:t>
      </w:r>
    </w:p>
    <w:p>
      <w:pPr>
        <w:spacing w:after="0" w:line="4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65"/>
          </w:cols>
          <w:pgMar w:left="315" w:top="1111" w:right="319" w:bottom="1440" w:gutter="0" w:footer="0" w:header="0"/>
        </w:sectPr>
      </w:pPr>
    </w:p>
    <w:p>
      <w:pPr>
        <w:spacing w:after="0" w:line="174" w:lineRule="exact"/>
        <w:rPr>
          <w:sz w:val="24"/>
          <w:szCs w:val="24"/>
          <w:color w:val="auto"/>
        </w:rPr>
      </w:pPr>
    </w:p>
    <w:p>
      <w:pPr>
        <w:ind w:left="2185"/>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4" w:lineRule="exact"/>
        <w:rPr>
          <w:sz w:val="24"/>
          <w:szCs w:val="24"/>
          <w:color w:val="auto"/>
        </w:rPr>
      </w:pPr>
    </w:p>
    <w:p>
      <w:pPr>
        <w:ind w:left="1685"/>
        <w:spacing w:after="0"/>
        <w:rPr>
          <w:sz w:val="20"/>
          <w:szCs w:val="20"/>
          <w:color w:val="auto"/>
        </w:rPr>
      </w:pPr>
      <w:r>
        <w:rPr>
          <w:rFonts w:ascii="Times New Roman" w:cs="Times New Roman" w:eastAsia="Times New Roman" w:hAnsi="Times New Roman"/>
          <w:sz w:val="15"/>
          <w:szCs w:val="15"/>
          <w:color w:val="auto"/>
        </w:rPr>
        <w:t>(State or other jurisdiction</w:t>
      </w:r>
    </w:p>
    <w:p>
      <w:pPr>
        <w:spacing w:after="0" w:line="17" w:lineRule="exact"/>
        <w:rPr>
          <w:sz w:val="24"/>
          <w:szCs w:val="24"/>
          <w:color w:val="auto"/>
        </w:rPr>
      </w:pPr>
    </w:p>
    <w:p>
      <w:pPr>
        <w:ind w:left="1985"/>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001-40937</w:t>
      </w:r>
    </w:p>
    <w:p>
      <w:pPr>
        <w:spacing w:after="0" w:line="2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5"/>
          <w:szCs w:val="15"/>
          <w:color w:val="auto"/>
        </w:rPr>
        <w:t>(Commission</w:t>
      </w:r>
    </w:p>
    <w:p>
      <w:pPr>
        <w:spacing w:after="0" w:line="17"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5"/>
          <w:szCs w:val="15"/>
          <w:color w:val="auto"/>
        </w:rPr>
        <w:t>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87-2908160</w:t>
      </w:r>
    </w:p>
    <w:p>
      <w:pPr>
        <w:spacing w:after="0" w:line="2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(IRS Employer</w:t>
      </w:r>
    </w:p>
    <w:p>
      <w:pPr>
        <w:spacing w:after="0" w:line="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186" w:lineRule="exact"/>
        <w:rPr>
          <w:sz w:val="24"/>
          <w:szCs w:val="24"/>
          <w:color w:val="auto"/>
        </w:rPr>
      </w:pPr>
    </w:p>
    <w:p>
      <w:pPr>
        <w:sectPr>
          <w:pgSz w:w="11900" w:h="16838" w:orient="portrait"/>
          <w:cols w:equalWidth="0" w:num="3">
            <w:col w:w="5225" w:space="720"/>
            <w:col w:w="2220" w:space="720"/>
            <w:col w:w="2380"/>
          </w:cols>
          <w:pgMar w:left="315" w:top="1111" w:right="31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2699 Howell Street, Suite 1000, Dallas, Texas 75204</w:t>
      </w:r>
    </w:p>
    <w:p>
      <w:pPr>
        <w:spacing w:after="0" w:line="2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(214) 865-7998</w:t>
      </w:r>
    </w:p>
    <w:p>
      <w:pPr>
        <w:spacing w:after="0" w:line="2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P10, Inc.</w:t>
      </w:r>
    </w:p>
    <w:p>
      <w:pPr>
        <w:spacing w:after="0" w:line="2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ectPr>
          <w:pgSz w:w="11900" w:h="16838" w:orient="portrait"/>
          <w:cols w:equalWidth="0" w:num="1">
            <w:col w:w="11265"/>
          </w:cols>
          <w:pgMar w:left="315" w:top="1111" w:right="319" w:bottom="1440" w:gutter="0" w:footer="0" w:header="0"/>
          <w:type w:val="continuous"/>
        </w:sectPr>
      </w:pPr>
    </w:p>
    <w:p>
      <w:pPr>
        <w:spacing w:after="0" w:line="189"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305" w:hanging="305"/>
        <w:spacing w:after="0"/>
        <w:tabs>
          <w:tab w:leader="none" w:pos="3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05" w:hanging="305"/>
        <w:spacing w:after="0"/>
        <w:tabs>
          <w:tab w:leader="none" w:pos="3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265" w:hanging="265"/>
        <w:spacing w:after="0"/>
        <w:tabs>
          <w:tab w:leader="none" w:pos="2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5" w:right="3960" w:hanging="5"/>
        <w:spacing w:after="0" w:line="493" w:lineRule="auto"/>
        <w:tabs>
          <w:tab w:leader="none" w:pos="26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or to be registered pursuant to Section 12(b) of the Act:</w:t>
      </w:r>
    </w:p>
    <w:p>
      <w:pPr>
        <w:spacing w:after="0" w:line="1"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48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w w:val="98"/>
              </w:rPr>
              <w:t>Trading</w:t>
            </w:r>
          </w:p>
        </w:tc>
        <w:tc>
          <w:tcPr>
            <w:tcW w:w="3600" w:type="dxa"/>
            <w:vAlign w:val="bottom"/>
          </w:tcPr>
          <w:p>
            <w:pPr>
              <w:jc w:val="center"/>
              <w:ind w:right="241"/>
              <w:spacing w:after="0"/>
              <w:rPr>
                <w:sz w:val="20"/>
                <w:szCs w:val="20"/>
                <w:color w:val="auto"/>
              </w:rPr>
            </w:pPr>
            <w:r>
              <w:rPr>
                <w:rFonts w:ascii="Times New Roman" w:cs="Times New Roman" w:eastAsia="Times New Roman" w:hAnsi="Times New Roman"/>
                <w:sz w:val="16"/>
                <w:szCs w:val="16"/>
                <w:color w:val="auto"/>
                <w:w w:val="97"/>
              </w:rPr>
              <w:t>Name of each exchange on which</w:t>
            </w:r>
          </w:p>
        </w:tc>
      </w:tr>
      <w:tr>
        <w:trPr>
          <w:trHeight w:val="206"/>
        </w:trPr>
        <w:tc>
          <w:tcPr>
            <w:tcW w:w="20" w:type="dxa"/>
            <w:vAlign w:val="bottom"/>
          </w:tcPr>
          <w:p>
            <w:pPr>
              <w:spacing w:after="0"/>
              <w:rPr>
                <w:sz w:val="17"/>
                <w:szCs w:val="17"/>
                <w:color w:val="auto"/>
              </w:rPr>
            </w:pPr>
          </w:p>
        </w:tc>
        <w:tc>
          <w:tcPr>
            <w:tcW w:w="516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6"/>
                <w:szCs w:val="16"/>
                <w:color w:val="auto"/>
              </w:rPr>
              <w:t>Title of Each Class</w:t>
            </w:r>
          </w:p>
        </w:tc>
        <w:tc>
          <w:tcPr>
            <w:tcW w:w="2480" w:type="dxa"/>
            <w:vAlign w:val="bottom"/>
            <w:tcBorders>
              <w:bottom w:val="single" w:sz="8" w:color="auto"/>
            </w:tcBorders>
          </w:tcPr>
          <w:p>
            <w:pPr>
              <w:jc w:val="center"/>
              <w:ind w:left="761"/>
              <w:spacing w:after="0"/>
              <w:rPr>
                <w:sz w:val="20"/>
                <w:szCs w:val="20"/>
                <w:color w:val="auto"/>
              </w:rPr>
            </w:pPr>
            <w:r>
              <w:rPr>
                <w:rFonts w:ascii="Times New Roman" w:cs="Times New Roman" w:eastAsia="Times New Roman" w:hAnsi="Times New Roman"/>
                <w:sz w:val="16"/>
                <w:szCs w:val="16"/>
                <w:color w:val="auto"/>
                <w:w w:val="96"/>
              </w:rPr>
              <w:t>Symbol</w:t>
            </w:r>
          </w:p>
        </w:tc>
        <w:tc>
          <w:tcPr>
            <w:tcW w:w="360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6"/>
                <w:szCs w:val="16"/>
                <w:color w:val="auto"/>
                <w:w w:val="98"/>
              </w:rPr>
              <w:t>registered</w:t>
            </w:r>
          </w:p>
        </w:tc>
      </w:tr>
      <w:tr>
        <w:trPr>
          <w:trHeight w:val="163"/>
        </w:trPr>
        <w:tc>
          <w:tcPr>
            <w:tcW w:w="20" w:type="dxa"/>
            <w:vAlign w:val="bottom"/>
          </w:tcPr>
          <w:p>
            <w:pPr>
              <w:spacing w:after="0"/>
              <w:rPr>
                <w:sz w:val="14"/>
                <w:szCs w:val="14"/>
                <w:color w:val="auto"/>
              </w:rPr>
            </w:pPr>
          </w:p>
        </w:tc>
        <w:tc>
          <w:tcPr>
            <w:tcW w:w="5160" w:type="dxa"/>
            <w:vAlign w:val="bottom"/>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Class A Common Stock, $0.001 par value per share</w:t>
            </w:r>
          </w:p>
        </w:tc>
        <w:tc>
          <w:tcPr>
            <w:tcW w:w="2480" w:type="dxa"/>
            <w:vAlign w:val="bottom"/>
          </w:tcPr>
          <w:p>
            <w:pPr>
              <w:jc w:val="center"/>
              <w:ind w:left="761"/>
              <w:spacing w:after="0" w:line="162" w:lineRule="exact"/>
              <w:rPr>
                <w:sz w:val="20"/>
                <w:szCs w:val="20"/>
                <w:color w:val="auto"/>
              </w:rPr>
            </w:pPr>
            <w:r>
              <w:rPr>
                <w:rFonts w:ascii="Times New Roman" w:cs="Times New Roman" w:eastAsia="Times New Roman" w:hAnsi="Times New Roman"/>
                <w:sz w:val="16"/>
                <w:szCs w:val="16"/>
                <w:b w:val="1"/>
                <w:bCs w:val="1"/>
                <w:color w:val="auto"/>
                <w:w w:val="97"/>
              </w:rPr>
              <w:t>RPC</w:t>
            </w:r>
          </w:p>
        </w:tc>
        <w:tc>
          <w:tcPr>
            <w:tcW w:w="3600" w:type="dxa"/>
            <w:vAlign w:val="bottom"/>
          </w:tcPr>
          <w:p>
            <w:pPr>
              <w:jc w:val="center"/>
              <w:ind w:right="241"/>
              <w:spacing w:after="0" w:line="162" w:lineRule="exact"/>
              <w:rPr>
                <w:sz w:val="20"/>
                <w:szCs w:val="20"/>
                <w:color w:val="auto"/>
              </w:rPr>
            </w:pPr>
            <w:r>
              <w:rPr>
                <w:rFonts w:ascii="Times New Roman" w:cs="Times New Roman" w:eastAsia="Times New Roman" w:hAnsi="Times New Roman"/>
                <w:sz w:val="16"/>
                <w:szCs w:val="16"/>
                <w:b w:val="1"/>
                <w:bCs w:val="1"/>
                <w:color w:val="auto"/>
                <w:w w:val="98"/>
              </w:rPr>
              <w:t>New York Stock Exchange</w:t>
            </w:r>
          </w:p>
        </w:tc>
      </w:tr>
      <w:tr>
        <w:trPr>
          <w:trHeight w:val="208"/>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00" w:type="dxa"/>
            <w:vAlign w:val="bottom"/>
          </w:tcPr>
          <w:p>
            <w:pPr>
              <w:jc w:val="center"/>
              <w:ind w:right="241"/>
              <w:spacing w:after="0"/>
              <w:rPr>
                <w:sz w:val="20"/>
                <w:szCs w:val="20"/>
                <w:color w:val="auto"/>
              </w:rPr>
            </w:pPr>
            <w:r>
              <w:rPr>
                <w:rFonts w:ascii="Times New Roman" w:cs="Times New Roman" w:eastAsia="Times New Roman" w:hAnsi="Times New Roman"/>
                <w:sz w:val="16"/>
                <w:szCs w:val="16"/>
                <w:b w:val="1"/>
                <w:bCs w:val="1"/>
                <w:color w:val="auto"/>
                <w:w w:val="99"/>
              </w:rPr>
              <w:t>NYSE Texas, Inc.</w:t>
            </w:r>
          </w:p>
        </w:tc>
      </w:tr>
    </w:tbl>
    <w:p>
      <w:pPr>
        <w:spacing w:after="0" w:line="361" w:lineRule="exact"/>
        <w:rPr>
          <w:sz w:val="24"/>
          <w:szCs w:val="24"/>
          <w:color w:val="auto"/>
        </w:rPr>
      </w:pPr>
    </w:p>
    <w:p>
      <w:pPr>
        <w:jc w:val="both"/>
        <w:ind w:left="5" w:right="2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85"/>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99" w:lineRule="exact"/>
        <w:rPr>
          <w:sz w:val="24"/>
          <w:szCs w:val="24"/>
          <w:color w:val="auto"/>
        </w:rPr>
      </w:pPr>
    </w:p>
    <w:p>
      <w:pPr>
        <w:jc w:val="both"/>
        <w:ind w:left="5" w:right="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753110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111"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6" w:lineRule="exact"/>
        <w:rPr>
          <w:sz w:val="20"/>
          <w:szCs w:val="20"/>
          <w:color w:val="auto"/>
        </w:rPr>
      </w:pPr>
    </w:p>
    <w:p>
      <w:pPr>
        <w:jc w:val="both"/>
        <w:ind w:firstLine="851"/>
        <w:spacing w:after="0" w:line="261" w:lineRule="auto"/>
        <w:rPr>
          <w:sz w:val="20"/>
          <w:szCs w:val="20"/>
          <w:color w:val="auto"/>
        </w:rPr>
      </w:pPr>
      <w:r>
        <w:rPr>
          <w:rFonts w:ascii="Times New Roman" w:cs="Times New Roman" w:eastAsia="Times New Roman" w:hAnsi="Times New Roman"/>
          <w:sz w:val="16"/>
          <w:szCs w:val="16"/>
          <w:color w:val="auto"/>
        </w:rPr>
        <w:t>On February 12, 2026, Ridgepost Capital, Inc. (“Ridgepost Capital”) issued a press release and posted an investor presentation on its website announcing financial results for the quarter and year ended December 31, 2025. The press release and investor presentation are attached hereto as Exhibits 99.1 and 99.2, respectively, and are incorporated herein by reference.</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Exhibits 99.1 and 99.2 </w:t>
      </w:r>
      <w:r>
        <w:rPr>
          <w:rFonts w:ascii="Times New Roman" w:cs="Times New Roman" w:eastAsia="Times New Roman" w:hAnsi="Times New Roman"/>
          <w:sz w:val="16"/>
          <w:szCs w:val="16"/>
          <w:color w:val="212529"/>
        </w:rPr>
        <w:t>are being furnished under both Item 2.02 “Results of Operations and Financial Condition” and Item 7.01 “Regulation FD Disclosure.”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6" w:lineRule="exact"/>
        <w:rPr>
          <w:sz w:val="20"/>
          <w:szCs w:val="20"/>
          <w:color w:val="auto"/>
        </w:rPr>
      </w:pPr>
    </w:p>
    <w:p>
      <w:pPr>
        <w:jc w:val="both"/>
        <w:ind w:right="20" w:firstLine="851"/>
        <w:spacing w:after="0" w:line="276" w:lineRule="auto"/>
        <w:rPr>
          <w:sz w:val="20"/>
          <w:szCs w:val="20"/>
          <w:color w:val="auto"/>
        </w:rPr>
      </w:pPr>
      <w:r>
        <w:rPr>
          <w:rFonts w:ascii="Times New Roman" w:cs="Times New Roman" w:eastAsia="Times New Roman" w:hAnsi="Times New Roman"/>
          <w:sz w:val="16"/>
          <w:szCs w:val="16"/>
          <w:color w:val="212529"/>
        </w:rPr>
        <w:t>On February 12, 2026, Ridgepost Capital announced that its Board of Directors declared a cash dividend of $0.0375 per share of its outstanding Class A and Class B common stock, payable on March 20, 2026 to stockholders of record as of the close of business on February 27, 2026.</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Exhibit No.</w:t>
            </w:r>
          </w:p>
        </w:tc>
        <w:tc>
          <w:tcPr>
            <w:tcW w:w="9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20"/>
        </w:trPr>
        <w:tc>
          <w:tcPr>
            <w:tcW w:w="2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169"/>
        </w:trPr>
        <w:tc>
          <w:tcPr>
            <w:tcW w:w="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0000FF"/>
                <w:w w:val="85"/>
              </w:rPr>
              <w:t>99.</w:t>
            </w:r>
            <w:r>
              <w:rPr>
                <w:rFonts w:ascii="Times New Roman" w:cs="Times New Roman" w:eastAsia="Times New Roman" w:hAnsi="Times New Roman"/>
                <w:sz w:val="16"/>
                <w:szCs w:val="16"/>
                <w:u w:val="single" w:color="auto"/>
                <w:color w:val="0000FF"/>
                <w:w w:val="85"/>
              </w:rPr>
              <w:t>1</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54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Press Release, dated February 12, 2026</w:t>
            </w:r>
          </w:p>
        </w:tc>
      </w:tr>
      <w:tr>
        <w:trPr>
          <w:trHeight w:val="20"/>
        </w:trPr>
        <w:tc>
          <w:tcPr>
            <w:tcW w:w="280" w:type="dxa"/>
            <w:vAlign w:val="bottom"/>
            <w:tcBorders>
              <w:left w:val="single" w:sz="8" w:color="0000EE"/>
            </w:tcBorders>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169"/>
        </w:trPr>
        <w:tc>
          <w:tcPr>
            <w:tcW w:w="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0000FF"/>
                <w:w w:val="85"/>
              </w:rPr>
              <w:t>99.</w:t>
            </w:r>
            <w:r>
              <w:rPr>
                <w:rFonts w:ascii="Times New Roman" w:cs="Times New Roman" w:eastAsia="Times New Roman" w:hAnsi="Times New Roman"/>
                <w:sz w:val="16"/>
                <w:szCs w:val="16"/>
                <w:u w:val="single" w:color="auto"/>
                <w:color w:val="0000FF"/>
                <w:w w:val="85"/>
              </w:rPr>
              <w:t>2</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54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Investor Presentation, dated February 12, 2026</w:t>
            </w:r>
          </w:p>
        </w:tc>
      </w:tr>
      <w:tr>
        <w:trPr>
          <w:trHeight w:val="20"/>
        </w:trPr>
        <w:tc>
          <w:tcPr>
            <w:tcW w:w="280" w:type="dxa"/>
            <w:vAlign w:val="bottom"/>
            <w:tcBorders>
              <w:lef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205"/>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9"/>
              </w:rPr>
              <w:t>104</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1422"/>
        </w:trPr>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12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firstLine="751"/>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6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Ridgepost Capital, Inc.</w:t>
            </w:r>
          </w:p>
        </w:tc>
      </w:tr>
      <w:tr>
        <w:trPr>
          <w:trHeight w:val="378"/>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12, 2026</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 Amanda Coussens</w:t>
            </w:r>
          </w:p>
        </w:tc>
      </w:tr>
      <w:tr>
        <w:trPr>
          <w:trHeight w:val="165"/>
        </w:trPr>
        <w:tc>
          <w:tcPr>
            <w:tcW w:w="5760" w:type="dxa"/>
            <w:vAlign w:val="bottom"/>
          </w:tcPr>
          <w:p>
            <w:pPr>
              <w:spacing w:after="0"/>
              <w:rPr>
                <w:sz w:val="14"/>
                <w:szCs w:val="14"/>
                <w:color w:val="auto"/>
              </w:rPr>
            </w:pPr>
          </w:p>
        </w:tc>
        <w:tc>
          <w:tcPr>
            <w:tcW w:w="550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Amanda Coussens</w:t>
            </w:r>
          </w:p>
        </w:tc>
      </w:tr>
      <w:tr>
        <w:trPr>
          <w:trHeight w:val="206"/>
        </w:trPr>
        <w:tc>
          <w:tcPr>
            <w:tcW w:w="576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422"/>
        </w:trPr>
        <w:tc>
          <w:tcPr>
            <w:tcW w:w="576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126" w:right="319" w:bottom="1440" w:gutter="0" w:footer="0" w:header="0"/>
        </w:sectPr>
      </w:pPr>
    </w:p>
    <w:bookmarkStart w:id="3" w:name="page4"/>
    <w:bookmarkEnd w:id="3"/>
    <w:p>
      <w:pPr>
        <w:spacing w:after="0" w:line="3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1431290</wp:posOffset>
            </wp:positionH>
            <wp:positionV relativeFrom="page">
              <wp:posOffset>449580</wp:posOffset>
            </wp:positionV>
            <wp:extent cx="1464310" cy="443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64310" cy="4432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2F2F45"/>
        </w:rPr>
        <w:t>Ridgepost Capital Reports Fourth Quarter and Full Year 2025 Earnings Results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2F2F45"/>
        </w:rPr>
        <w:t>Record Full Year Fundraising and Deployment of $5.1 Billion</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2F2F45"/>
        </w:rPr>
        <w:t>Fee-Paying AUM increased 15% year over year</w:t>
      </w:r>
    </w:p>
    <w:p>
      <w:pPr>
        <w:spacing w:after="0" w:line="183" w:lineRule="exact"/>
        <w:rPr>
          <w:sz w:val="20"/>
          <w:szCs w:val="20"/>
          <w:color w:val="auto"/>
        </w:rPr>
      </w:pPr>
    </w:p>
    <w:p>
      <w:pPr>
        <w:jc w:val="both"/>
        <w:ind w:left="820" w:right="1259"/>
        <w:spacing w:after="0" w:line="252" w:lineRule="auto"/>
        <w:rPr>
          <w:sz w:val="20"/>
          <w:szCs w:val="20"/>
          <w:color w:val="auto"/>
        </w:rPr>
      </w:pPr>
      <w:r>
        <w:rPr>
          <w:rFonts w:ascii="Arial" w:cs="Arial" w:eastAsia="Arial" w:hAnsi="Arial"/>
          <w:sz w:val="17"/>
          <w:szCs w:val="17"/>
          <w:color w:val="2F2F45"/>
        </w:rPr>
        <w:t xml:space="preserve">DALLAS, February 12, 2026 (GLOBE NEWSWIRE) – </w:t>
      </w:r>
      <w:r>
        <w:rPr>
          <w:rFonts w:ascii="Arial" w:cs="Arial" w:eastAsia="Arial" w:hAnsi="Arial"/>
          <w:sz w:val="17"/>
          <w:szCs w:val="17"/>
          <w:color w:val="000000"/>
        </w:rPr>
        <w:t>Ridgepost Capital, Inc</w:t>
      </w:r>
      <w:r>
        <w:rPr>
          <w:rFonts w:ascii="Arial" w:cs="Arial" w:eastAsia="Arial" w:hAnsi="Arial"/>
          <w:sz w:val="17"/>
          <w:szCs w:val="17"/>
          <w:color w:val="2F2F45"/>
        </w:rPr>
        <w:t xml:space="preserve"> (NYSE: RPC) (“Ridgepost Capital” or the “Company”), a leading private markets solutions provider, today reported financial results for the fourth quarter and year ended December 31, 2025.</w:t>
      </w:r>
    </w:p>
    <w:p>
      <w:pPr>
        <w:spacing w:after="0" w:line="139"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Fourth Quarter 2025 Financial Highlights</w:t>
      </w:r>
    </w:p>
    <w:p>
      <w:pPr>
        <w:spacing w:after="0" w:line="12" w:lineRule="exact"/>
        <w:rPr>
          <w:sz w:val="20"/>
          <w:szCs w:val="20"/>
          <w:color w:val="auto"/>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7"/>
          <w:szCs w:val="17"/>
          <w:color w:val="2F2F45"/>
        </w:rPr>
        <w:t>Revenue: $81.0 million compared to $85.0 million in the prior year.</w:t>
      </w:r>
    </w:p>
    <w:p>
      <w:pPr>
        <w:spacing w:after="0" w:line="5"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7"/>
          <w:szCs w:val="17"/>
          <w:color w:val="2F2F45"/>
        </w:rPr>
        <w:t>Fee-Related Revenue: $81.0 million compared to $85.0 million in the prior year.</w:t>
      </w:r>
    </w:p>
    <w:p>
      <w:pPr>
        <w:spacing w:after="0" w:line="5"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7"/>
          <w:szCs w:val="17"/>
          <w:color w:val="2F2F45"/>
        </w:rPr>
        <w:t>Fee-Paying Assets Under Management: $29.4 billion, a 15% increase year over year.</w:t>
      </w:r>
    </w:p>
    <w:p>
      <w:pPr>
        <w:spacing w:after="0" w:line="5"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7"/>
          <w:szCs w:val="17"/>
          <w:color w:val="2F2F45"/>
        </w:rPr>
        <w:t>GAAP Net Income: $11.0 million compared to $5.7 million in the prior year.</w:t>
      </w:r>
    </w:p>
    <w:p>
      <w:pPr>
        <w:spacing w:after="0" w:line="5"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7"/>
          <w:szCs w:val="17"/>
          <w:color w:val="2F2F45"/>
        </w:rPr>
        <w:t>Fee-Related Earnings: $39.0 million compared to $42.7 million in the prior year.</w:t>
      </w:r>
    </w:p>
    <w:p>
      <w:pPr>
        <w:spacing w:after="0" w:line="5"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7"/>
          <w:szCs w:val="17"/>
          <w:color w:val="2F2F45"/>
        </w:rPr>
        <w:t>Adjusted Net Income: $30.2 million compared to $35.3 million in the prior year.</w:t>
      </w:r>
    </w:p>
    <w:p>
      <w:pPr>
        <w:spacing w:after="0" w:line="5"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7"/>
          <w:szCs w:val="17"/>
          <w:color w:val="2F2F45"/>
        </w:rPr>
        <w:t>Fully Diluted GAAP EPS: $0.09 compared to $0.05 in the prior year.</w:t>
      </w:r>
    </w:p>
    <w:p>
      <w:pPr>
        <w:spacing w:after="0" w:line="5"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2"/>
        </w:numPr>
        <w:rPr>
          <w:rFonts w:ascii="Times New Roman" w:cs="Times New Roman" w:eastAsia="Times New Roman" w:hAnsi="Times New Roman"/>
          <w:sz w:val="16"/>
          <w:szCs w:val="16"/>
          <w:color w:val="2F2F45"/>
        </w:rPr>
      </w:pPr>
      <w:r>
        <w:rPr>
          <w:rFonts w:ascii="Arial" w:cs="Arial" w:eastAsia="Arial" w:hAnsi="Arial"/>
          <w:sz w:val="17"/>
          <w:szCs w:val="17"/>
          <w:color w:val="2F2F45"/>
        </w:rPr>
        <w:t>Fully Diluted ANI per share: $0.26 compared to $0.30 in the prior year.</w:t>
      </w:r>
    </w:p>
    <w:p>
      <w:pPr>
        <w:spacing w:after="0" w:line="177"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Fiscal Year End 2025 Financial Highlights</w:t>
      </w:r>
    </w:p>
    <w:p>
      <w:pPr>
        <w:spacing w:after="0" w:line="12" w:lineRule="exact"/>
        <w:rPr>
          <w:sz w:val="20"/>
          <w:szCs w:val="20"/>
          <w:color w:val="auto"/>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2F2F45"/>
        </w:rPr>
      </w:pPr>
      <w:r>
        <w:rPr>
          <w:rFonts w:ascii="Arial" w:cs="Arial" w:eastAsia="Arial" w:hAnsi="Arial"/>
          <w:sz w:val="17"/>
          <w:szCs w:val="17"/>
          <w:color w:val="2F2F45"/>
        </w:rPr>
        <w:t>Revenue: $297.3 million compared to $296.4 million in the prior year.</w:t>
      </w:r>
    </w:p>
    <w:p>
      <w:pPr>
        <w:spacing w:after="0" w:line="5"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2F2F45"/>
        </w:rPr>
      </w:pPr>
      <w:r>
        <w:rPr>
          <w:rFonts w:ascii="Arial" w:cs="Arial" w:eastAsia="Arial" w:hAnsi="Arial"/>
          <w:sz w:val="17"/>
          <w:szCs w:val="17"/>
          <w:color w:val="2F2F45"/>
        </w:rPr>
        <w:t>Fee-Related Revenue: $297.3 million compared to $291.3 million in the prior year.</w:t>
      </w:r>
    </w:p>
    <w:p>
      <w:pPr>
        <w:spacing w:after="0" w:line="5"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2F2F45"/>
        </w:rPr>
      </w:pPr>
      <w:r>
        <w:rPr>
          <w:rFonts w:ascii="Arial" w:cs="Arial" w:eastAsia="Arial" w:hAnsi="Arial"/>
          <w:sz w:val="17"/>
          <w:szCs w:val="17"/>
          <w:color w:val="2F2F45"/>
        </w:rPr>
        <w:t>Fee-Paying Assets Under Management: $29.4 billion, a 15% increase year over year.</w:t>
      </w:r>
    </w:p>
    <w:p>
      <w:pPr>
        <w:spacing w:after="0" w:line="5"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2F2F45"/>
        </w:rPr>
      </w:pPr>
      <w:r>
        <w:rPr>
          <w:rFonts w:ascii="Arial" w:cs="Arial" w:eastAsia="Arial" w:hAnsi="Arial"/>
          <w:sz w:val="17"/>
          <w:szCs w:val="17"/>
          <w:color w:val="2F2F45"/>
        </w:rPr>
        <w:t>GAAP Net Income: $23.0 million compared to $19.7 million in the prior year.</w:t>
      </w:r>
    </w:p>
    <w:p>
      <w:pPr>
        <w:spacing w:after="0" w:line="5"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2F2F45"/>
        </w:rPr>
      </w:pPr>
      <w:r>
        <w:rPr>
          <w:rFonts w:ascii="Arial" w:cs="Arial" w:eastAsia="Arial" w:hAnsi="Arial"/>
          <w:sz w:val="17"/>
          <w:szCs w:val="17"/>
          <w:color w:val="2F2F45"/>
        </w:rPr>
        <w:t>Fee-Related Earnings: $141.1 million compared to $142.1 million in the prior year.</w:t>
      </w:r>
    </w:p>
    <w:p>
      <w:pPr>
        <w:spacing w:after="0" w:line="5"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2F2F45"/>
        </w:rPr>
      </w:pPr>
      <w:r>
        <w:rPr>
          <w:rFonts w:ascii="Arial" w:cs="Arial" w:eastAsia="Arial" w:hAnsi="Arial"/>
          <w:sz w:val="17"/>
          <w:szCs w:val="17"/>
          <w:color w:val="2F2F45"/>
        </w:rPr>
        <w:t>Adjusted Net Income: $108.9 million compared to $120.2 million in the prior year.</w:t>
      </w:r>
    </w:p>
    <w:p>
      <w:pPr>
        <w:spacing w:after="0" w:line="5"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2F2F45"/>
        </w:rPr>
      </w:pPr>
      <w:r>
        <w:rPr>
          <w:rFonts w:ascii="Arial" w:cs="Arial" w:eastAsia="Arial" w:hAnsi="Arial"/>
          <w:sz w:val="17"/>
          <w:szCs w:val="17"/>
          <w:color w:val="2F2F45"/>
        </w:rPr>
        <w:t>Fully Diluted GAAP EPS: $0.17 compared to $0.16 in the prior year.</w:t>
      </w:r>
    </w:p>
    <w:p>
      <w:pPr>
        <w:spacing w:after="0" w:line="5" w:lineRule="exact"/>
        <w:rPr>
          <w:rFonts w:ascii="Times New Roman" w:cs="Times New Roman" w:eastAsia="Times New Roman" w:hAnsi="Times New Roman"/>
          <w:sz w:val="16"/>
          <w:szCs w:val="16"/>
          <w:color w:val="2F2F45"/>
        </w:rPr>
      </w:pPr>
    </w:p>
    <w:p>
      <w:pPr>
        <w:ind w:left="1380" w:hanging="282"/>
        <w:spacing w:after="0"/>
        <w:tabs>
          <w:tab w:leader="none" w:pos="1380" w:val="left"/>
        </w:tabs>
        <w:numPr>
          <w:ilvl w:val="0"/>
          <w:numId w:val="3"/>
        </w:numPr>
        <w:rPr>
          <w:rFonts w:ascii="Times New Roman" w:cs="Times New Roman" w:eastAsia="Times New Roman" w:hAnsi="Times New Roman"/>
          <w:sz w:val="16"/>
          <w:szCs w:val="16"/>
          <w:color w:val="2F2F45"/>
        </w:rPr>
      </w:pPr>
      <w:r>
        <w:rPr>
          <w:rFonts w:ascii="Arial" w:cs="Arial" w:eastAsia="Arial" w:hAnsi="Arial"/>
          <w:sz w:val="17"/>
          <w:szCs w:val="17"/>
          <w:color w:val="2F2F45"/>
        </w:rPr>
        <w:t>Fully Diluted ANI per share: $0.92 compared to $1.00 in the prior year.</w:t>
      </w:r>
    </w:p>
    <w:p>
      <w:pPr>
        <w:spacing w:after="0" w:line="179" w:lineRule="exact"/>
        <w:rPr>
          <w:sz w:val="20"/>
          <w:szCs w:val="20"/>
          <w:color w:val="auto"/>
        </w:rPr>
      </w:pPr>
    </w:p>
    <w:p>
      <w:pPr>
        <w:ind w:left="820" w:right="1539"/>
        <w:spacing w:after="0" w:line="273" w:lineRule="auto"/>
        <w:rPr>
          <w:sz w:val="20"/>
          <w:szCs w:val="20"/>
          <w:color w:val="auto"/>
        </w:rPr>
      </w:pPr>
      <w:r>
        <w:rPr>
          <w:rFonts w:ascii="Arial" w:cs="Arial" w:eastAsia="Arial" w:hAnsi="Arial"/>
          <w:sz w:val="17"/>
          <w:szCs w:val="17"/>
          <w:color w:val="2F2F45"/>
        </w:rPr>
        <w:t xml:space="preserve">A presentation of the quarterly financials may be accessed </w:t>
      </w:r>
      <w:r>
        <w:rPr>
          <w:rFonts w:ascii="Arial" w:cs="Arial" w:eastAsia="Arial" w:hAnsi="Arial"/>
          <w:sz w:val="17"/>
          <w:szCs w:val="17"/>
          <w:color w:val="000000"/>
        </w:rPr>
        <w:t>here</w:t>
      </w:r>
      <w:r>
        <w:rPr>
          <w:rFonts w:ascii="Arial" w:cs="Arial" w:eastAsia="Arial" w:hAnsi="Arial"/>
          <w:sz w:val="17"/>
          <w:szCs w:val="17"/>
          <w:color w:val="2F2F45"/>
        </w:rPr>
        <w:t xml:space="preserve"> and is available on the Company’s website.</w:t>
      </w:r>
    </w:p>
    <w:p>
      <w:pPr>
        <w:spacing w:after="0" w:line="123" w:lineRule="exact"/>
        <w:rPr>
          <w:sz w:val="20"/>
          <w:szCs w:val="20"/>
          <w:color w:val="auto"/>
        </w:rPr>
      </w:pPr>
    </w:p>
    <w:p>
      <w:pPr>
        <w:ind w:left="820" w:right="859" w:firstLine="48"/>
        <w:spacing w:after="0" w:line="236" w:lineRule="auto"/>
        <w:rPr>
          <w:sz w:val="20"/>
          <w:szCs w:val="20"/>
          <w:color w:val="auto"/>
        </w:rPr>
      </w:pPr>
      <w:r>
        <w:rPr>
          <w:rFonts w:ascii="Arial" w:cs="Arial" w:eastAsia="Arial" w:hAnsi="Arial"/>
          <w:sz w:val="17"/>
          <w:szCs w:val="17"/>
          <w:color w:val="2F2F45"/>
        </w:rPr>
        <w:t>“Today marks our first earnings report as Ridgepost Capital, an identity that represents the work we’ve done over the past few years to expand our platform and integrate our strategies,” said Luke Sarsfield, Ridgepost Capital Chairman and Chief Executive Officer. “During 2025, we raised and deployed a record $5.1 billion in organic gross new fee-paying assets and exceeded our initial annual organic fundraising guidance by over $1 billion. Additionally, subsequent to quarter end, we advanced our long-term strategy of partnering with best-in-class investment managers with the announced acquisition of Stellus Capital Management, adding a leading direct lending franchise to our platform. These milestones, along with the opening of our Dubai office and collaboration with CAIS, enable us to meaningfully increase our global footprint, scale our platform with intention, and capture the growing demand for alternatives in the wealth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434340</wp:posOffset>
            </wp:positionV>
            <wp:extent cx="5917565" cy="975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17565" cy="97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20"/>
        <w:spacing w:after="0"/>
        <w:rPr>
          <w:sz w:val="20"/>
          <w:szCs w:val="20"/>
          <w:color w:val="auto"/>
        </w:rPr>
      </w:pPr>
      <w:r>
        <w:rPr>
          <w:rFonts w:ascii="Verdana" w:cs="Verdana" w:eastAsia="Verdana" w:hAnsi="Verdana"/>
          <w:sz w:val="14"/>
          <w:szCs w:val="14"/>
          <w:color w:val="302C45"/>
        </w:rPr>
        <w:t>RIDGEPOSTCAPITAL.COM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405130</wp:posOffset>
            </wp:positionV>
            <wp:extent cx="616839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ind w:left="820"/>
        <w:spacing w:after="0"/>
        <w:rPr>
          <w:sz w:val="20"/>
          <w:szCs w:val="20"/>
          <w:color w:val="auto"/>
        </w:rPr>
      </w:pPr>
      <w:r>
        <w:rPr>
          <w:rFonts w:ascii="Arial" w:cs="Arial" w:eastAsia="Arial" w:hAnsi="Arial"/>
          <w:sz w:val="17"/>
          <w:szCs w:val="17"/>
          <w:b w:val="1"/>
          <w:bCs w:val="1"/>
          <w:color w:val="2F2F45"/>
        </w:rPr>
        <w:t>Stock Repurchase Program</w:t>
      </w:r>
    </w:p>
    <w:p>
      <w:pPr>
        <w:spacing w:after="0" w:line="12" w:lineRule="exact"/>
        <w:rPr>
          <w:sz w:val="20"/>
          <w:szCs w:val="20"/>
          <w:color w:val="auto"/>
        </w:rPr>
      </w:pPr>
    </w:p>
    <w:p>
      <w:pPr>
        <w:jc w:val="both"/>
        <w:ind w:left="820" w:right="819"/>
        <w:spacing w:after="0" w:line="238" w:lineRule="auto"/>
        <w:rPr>
          <w:sz w:val="20"/>
          <w:szCs w:val="20"/>
          <w:color w:val="auto"/>
        </w:rPr>
      </w:pPr>
      <w:r>
        <w:rPr>
          <w:rFonts w:ascii="Arial" w:cs="Arial" w:eastAsia="Arial" w:hAnsi="Arial"/>
          <w:sz w:val="17"/>
          <w:szCs w:val="17"/>
          <w:color w:val="2F2F45"/>
        </w:rPr>
        <w:t>In the fourth quarter, the Company repurchased approximately 522,728 shares at an average price of $9.54 per share. In 2025, the Company repurchased approximately 4,348,949 shares at an average price of $10.91 per share, for a total of $47.4 million in the year. The repurchase activity left approximately $21 million available under the repurchase authorization at the end of the fourth quarter.</w:t>
      </w:r>
    </w:p>
    <w:p>
      <w:pPr>
        <w:spacing w:after="0" w:line="148"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Declaration of Dividend</w:t>
      </w:r>
    </w:p>
    <w:p>
      <w:pPr>
        <w:spacing w:after="0" w:line="12" w:lineRule="exact"/>
        <w:rPr>
          <w:sz w:val="20"/>
          <w:szCs w:val="20"/>
          <w:color w:val="auto"/>
        </w:rPr>
      </w:pPr>
    </w:p>
    <w:p>
      <w:pPr>
        <w:ind w:left="820" w:right="999"/>
        <w:spacing w:after="0" w:line="229" w:lineRule="auto"/>
        <w:rPr>
          <w:sz w:val="20"/>
          <w:szCs w:val="20"/>
          <w:color w:val="auto"/>
        </w:rPr>
      </w:pPr>
      <w:r>
        <w:rPr>
          <w:rFonts w:ascii="Arial" w:cs="Arial" w:eastAsia="Arial" w:hAnsi="Arial"/>
          <w:sz w:val="17"/>
          <w:szCs w:val="17"/>
          <w:color w:val="2F2F45"/>
        </w:rPr>
        <w:t>The Board of Directors of the Company has declared a quarterly cash dividend of $0.0375 per share on Class A and Class B common stock, payable on March 20</w:t>
      </w:r>
      <w:r>
        <w:rPr>
          <w:rFonts w:ascii="Arial" w:cs="Arial" w:eastAsia="Arial" w:hAnsi="Arial"/>
          <w:sz w:val="23"/>
          <w:szCs w:val="23"/>
          <w:color w:val="2F2F45"/>
          <w:vertAlign w:val="superscript"/>
        </w:rPr>
        <w:t>th</w:t>
      </w:r>
      <w:r>
        <w:rPr>
          <w:rFonts w:ascii="Arial" w:cs="Arial" w:eastAsia="Arial" w:hAnsi="Arial"/>
          <w:sz w:val="17"/>
          <w:szCs w:val="17"/>
          <w:color w:val="2F2F45"/>
        </w:rPr>
        <w:t>, 2026, to the holders of record as of the close of business on February 27</w:t>
      </w:r>
      <w:r>
        <w:rPr>
          <w:rFonts w:ascii="Arial" w:cs="Arial" w:eastAsia="Arial" w:hAnsi="Arial"/>
          <w:sz w:val="23"/>
          <w:szCs w:val="23"/>
          <w:color w:val="2F2F45"/>
          <w:vertAlign w:val="superscript"/>
        </w:rPr>
        <w:t>th</w:t>
      </w:r>
      <w:r>
        <w:rPr>
          <w:rFonts w:ascii="Arial" w:cs="Arial" w:eastAsia="Arial" w:hAnsi="Arial"/>
          <w:sz w:val="17"/>
          <w:szCs w:val="17"/>
          <w:color w:val="2F2F45"/>
        </w:rPr>
        <w:t>, 2026.</w:t>
      </w:r>
    </w:p>
    <w:p>
      <w:pPr>
        <w:spacing w:after="0" w:line="71"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Conference Call Details</w:t>
      </w:r>
    </w:p>
    <w:p>
      <w:pPr>
        <w:spacing w:after="0" w:line="12" w:lineRule="exact"/>
        <w:rPr>
          <w:sz w:val="20"/>
          <w:szCs w:val="20"/>
          <w:color w:val="auto"/>
        </w:rPr>
      </w:pPr>
    </w:p>
    <w:p>
      <w:pPr>
        <w:ind w:left="820" w:right="959"/>
        <w:spacing w:after="0" w:line="253" w:lineRule="auto"/>
        <w:rPr>
          <w:sz w:val="20"/>
          <w:szCs w:val="20"/>
          <w:color w:val="auto"/>
        </w:rPr>
      </w:pPr>
      <w:r>
        <w:rPr>
          <w:rFonts w:ascii="Arial" w:cs="Arial" w:eastAsia="Arial" w:hAnsi="Arial"/>
          <w:sz w:val="17"/>
          <w:szCs w:val="17"/>
          <w:color w:val="2F2F45"/>
        </w:rPr>
        <w:t>The Company will host a conference call at 8:30 a.m. Eastern Time on Thursday, February 12, 2026. All participants must register prior to joining the event.</w:t>
      </w:r>
    </w:p>
    <w:p>
      <w:pPr>
        <w:spacing w:after="0" w:line="140" w:lineRule="exact"/>
        <w:rPr>
          <w:sz w:val="20"/>
          <w:szCs w:val="20"/>
          <w:color w:val="auto"/>
        </w:rPr>
      </w:pPr>
    </w:p>
    <w:p>
      <w:pPr>
        <w:ind w:left="1380" w:hanging="282"/>
        <w:spacing w:after="0"/>
        <w:tabs>
          <w:tab w:leader="none" w:pos="1380" w:val="left"/>
        </w:tabs>
        <w:numPr>
          <w:ilvl w:val="0"/>
          <w:numId w:val="4"/>
        </w:numPr>
        <w:rPr>
          <w:rFonts w:ascii="Times New Roman" w:cs="Times New Roman" w:eastAsia="Times New Roman" w:hAnsi="Times New Roman"/>
          <w:sz w:val="17"/>
          <w:szCs w:val="17"/>
          <w:color w:val="2F2F45"/>
        </w:rPr>
      </w:pPr>
      <w:r>
        <w:rPr>
          <w:rFonts w:ascii="Arial" w:cs="Arial" w:eastAsia="Arial" w:hAnsi="Arial"/>
          <w:sz w:val="17"/>
          <w:szCs w:val="17"/>
          <w:color w:val="2F2F45"/>
        </w:rPr>
        <w:t xml:space="preserve">To join and view the live webcast, please register </w:t>
      </w:r>
      <w:r>
        <w:rPr>
          <w:rFonts w:ascii="Arial" w:cs="Arial" w:eastAsia="Arial" w:hAnsi="Arial"/>
          <w:sz w:val="17"/>
          <w:szCs w:val="17"/>
          <w:color w:val="000000"/>
        </w:rPr>
        <w:t>here</w:t>
      </w:r>
      <w:r>
        <w:rPr>
          <w:rFonts w:ascii="Arial" w:cs="Arial" w:eastAsia="Arial" w:hAnsi="Arial"/>
          <w:sz w:val="17"/>
          <w:szCs w:val="17"/>
          <w:color w:val="2F2F45"/>
        </w:rPr>
        <w:t>.</w:t>
      </w:r>
    </w:p>
    <w:p>
      <w:pPr>
        <w:spacing w:after="0" w:line="20" w:lineRule="exact"/>
        <w:rPr>
          <w:rFonts w:ascii="Times New Roman" w:cs="Times New Roman" w:eastAsia="Times New Roman" w:hAnsi="Times New Roman"/>
          <w:sz w:val="17"/>
          <w:szCs w:val="17"/>
          <w:color w:val="2F2F45"/>
        </w:rPr>
      </w:pPr>
    </w:p>
    <w:p>
      <w:pPr>
        <w:ind w:left="1380" w:hanging="282"/>
        <w:spacing w:after="0"/>
        <w:tabs>
          <w:tab w:leader="none" w:pos="1380" w:val="left"/>
        </w:tabs>
        <w:numPr>
          <w:ilvl w:val="0"/>
          <w:numId w:val="4"/>
        </w:numPr>
        <w:rPr>
          <w:rFonts w:ascii="Times New Roman" w:cs="Times New Roman" w:eastAsia="Times New Roman" w:hAnsi="Times New Roman"/>
          <w:sz w:val="17"/>
          <w:szCs w:val="17"/>
          <w:color w:val="2F2F45"/>
        </w:rPr>
      </w:pPr>
      <w:r>
        <w:rPr>
          <w:rFonts w:ascii="Arial" w:cs="Arial" w:eastAsia="Arial" w:hAnsi="Arial"/>
          <w:sz w:val="17"/>
          <w:szCs w:val="17"/>
          <w:color w:val="2F2F45"/>
        </w:rPr>
        <w:t xml:space="preserve">To join by telephone, please register </w:t>
      </w:r>
      <w:r>
        <w:rPr>
          <w:rFonts w:ascii="Arial" w:cs="Arial" w:eastAsia="Arial" w:hAnsi="Arial"/>
          <w:sz w:val="17"/>
          <w:szCs w:val="17"/>
          <w:color w:val="000000"/>
        </w:rPr>
        <w:t>here</w:t>
      </w:r>
      <w:r>
        <w:rPr>
          <w:rFonts w:ascii="Arial" w:cs="Arial" w:eastAsia="Arial" w:hAnsi="Arial"/>
          <w:sz w:val="17"/>
          <w:szCs w:val="17"/>
          <w:color w:val="2F2F45"/>
        </w:rPr>
        <w:t>.</w:t>
      </w:r>
    </w:p>
    <w:p>
      <w:pPr>
        <w:spacing w:after="0" w:line="5" w:lineRule="exact"/>
        <w:rPr>
          <w:sz w:val="20"/>
          <w:szCs w:val="20"/>
          <w:color w:val="auto"/>
        </w:rPr>
      </w:pPr>
    </w:p>
    <w:p>
      <w:pPr>
        <w:ind w:left="820" w:right="1079"/>
        <w:spacing w:after="0" w:line="253" w:lineRule="auto"/>
        <w:rPr>
          <w:sz w:val="20"/>
          <w:szCs w:val="20"/>
          <w:color w:val="auto"/>
        </w:rPr>
      </w:pPr>
      <w:r>
        <w:rPr>
          <w:rFonts w:ascii="Arial" w:cs="Arial" w:eastAsia="Arial" w:hAnsi="Arial"/>
          <w:sz w:val="17"/>
          <w:szCs w:val="17"/>
          <w:color w:val="2F2F45"/>
        </w:rPr>
        <w:t xml:space="preserve">For those unable to participate in the live event, a replay will be made available on Ridgepost Capital’s investor relations page at </w:t>
      </w:r>
      <w:r>
        <w:rPr>
          <w:rFonts w:ascii="Arial" w:cs="Arial" w:eastAsia="Arial" w:hAnsi="Arial"/>
          <w:sz w:val="17"/>
          <w:szCs w:val="17"/>
          <w:color w:val="000000"/>
        </w:rPr>
        <w:t>www.ridgepostcapital.com</w:t>
      </w:r>
      <w:r>
        <w:rPr>
          <w:rFonts w:ascii="Arial" w:cs="Arial" w:eastAsia="Arial" w:hAnsi="Arial"/>
          <w:sz w:val="17"/>
          <w:szCs w:val="17"/>
          <w:color w:val="2F2F45"/>
        </w:rPr>
        <w:t>.</w:t>
      </w:r>
    </w:p>
    <w:p>
      <w:pPr>
        <w:spacing w:after="0" w:line="138"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About Ridgepost Capital</w:t>
      </w:r>
    </w:p>
    <w:p>
      <w:pPr>
        <w:spacing w:after="0" w:line="12" w:lineRule="exact"/>
        <w:rPr>
          <w:sz w:val="20"/>
          <w:szCs w:val="20"/>
          <w:color w:val="auto"/>
        </w:rPr>
      </w:pPr>
    </w:p>
    <w:p>
      <w:pPr>
        <w:ind w:left="820" w:right="819"/>
        <w:spacing w:after="0" w:line="237" w:lineRule="auto"/>
        <w:rPr>
          <w:sz w:val="20"/>
          <w:szCs w:val="20"/>
          <w:color w:val="auto"/>
        </w:rPr>
      </w:pPr>
      <w:r>
        <w:rPr>
          <w:rFonts w:ascii="Arial" w:cs="Arial" w:eastAsia="Arial" w:hAnsi="Arial"/>
          <w:sz w:val="17"/>
          <w:szCs w:val="17"/>
          <w:color w:val="auto"/>
        </w:rPr>
        <w:t>Ridgepost Capital (NYSE: RPC) is a leading private markets solutions provider with over $43 billion in assets under management as of December 31, 2025. Ridgepost Capital invests across Private Equity, Private Credit, and Venture Capital in access-constrained strategies, with a focus on the middle and lower-middle market. Ridgepost Capital’s products have a global investor base and aim to deliver compelling risk-adjusted returns. For additional information, please visit www.ridgepostcapital.com.</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Forward-Looking Statements</w:t>
      </w:r>
    </w:p>
    <w:p>
      <w:pPr>
        <w:spacing w:after="0" w:line="95" w:lineRule="exact"/>
        <w:rPr>
          <w:sz w:val="20"/>
          <w:szCs w:val="20"/>
          <w:color w:val="auto"/>
        </w:rPr>
      </w:pPr>
    </w:p>
    <w:p>
      <w:pPr>
        <w:ind w:left="820" w:right="839"/>
        <w:spacing w:after="0" w:line="249" w:lineRule="auto"/>
        <w:rPr>
          <w:sz w:val="20"/>
          <w:szCs w:val="20"/>
          <w:color w:val="auto"/>
        </w:rPr>
      </w:pPr>
      <w:r>
        <w:rPr>
          <w:rFonts w:ascii="Arial" w:cs="Arial" w:eastAsia="Arial" w:hAnsi="Arial"/>
          <w:sz w:val="15"/>
          <w:szCs w:val="15"/>
          <w:color w:val="302C45"/>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reflect management’s current plans, estimates, and expectations, and are inherently uncertain. All forward-looking statements are subject to known and unknown risks, uncertainties, assumptions and other important factors that may cause actual results to be materially different, including risks related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our ability to make acquisitions and successfully integrate the businesses we acquire, including Stellus Capital Management, LLC; assumptions relating to our operations, financial results, financial condition, business prospects and growth strategy; the timing and amount of any share repurchases and our ability to manage the effects of events outside of our control. The foregoing list of factors is not exhaustive. For more information regarding these risks and uncertainties as well as additional risks that we face, you should refer to the “Risk Factors” included in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1283335</wp:posOffset>
            </wp:positionV>
            <wp:extent cx="616839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68390" cy="40640"/>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139700</wp:posOffset>
            </wp:positionV>
            <wp:extent cx="5940425" cy="975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0425" cy="975995"/>
                    </a:xfrm>
                    <a:prstGeom prst="rect">
                      <a:avLst/>
                    </a:prstGeom>
                    <a:noFill/>
                  </pic:spPr>
                </pic:pic>
              </a:graphicData>
            </a:graphic>
          </wp:anchor>
        </w:drawing>
      </w:r>
    </w:p>
    <w:p>
      <w:pPr>
        <w:sectPr>
          <w:pgSz w:w="11900" w:h="16838" w:orient="portrait"/>
          <w:cols w:equalWidth="0" w:num="1">
            <w:col w:w="9019"/>
          </w:cols>
          <w:pgMar w:left="1440" w:top="1183" w:right="1440" w:bottom="1440" w:gutter="0" w:footer="0" w:header="0"/>
        </w:sectPr>
      </w:pPr>
    </w:p>
    <w:bookmarkStart w:id="5" w:name="page6"/>
    <w:bookmarkEnd w:id="5"/>
    <w:p>
      <w:pPr>
        <w:ind w:left="820" w:right="959"/>
        <w:spacing w:after="0" w:line="239" w:lineRule="auto"/>
        <w:rPr>
          <w:sz w:val="20"/>
          <w:szCs w:val="20"/>
          <w:color w:val="auto"/>
        </w:rPr>
      </w:pPr>
      <w:r>
        <w:rPr>
          <w:rFonts w:ascii="Arial" w:cs="Arial" w:eastAsia="Arial" w:hAnsi="Arial"/>
          <w:sz w:val="16"/>
          <w:szCs w:val="16"/>
          <w:color w:val="302C45"/>
        </w:rPr>
        <w:t>annual report on Form 10-K for the year ended December 31, 2024, filed with the U.S. Securities and Exchange Commission (“SEC”) on February 28, 2025, and in our subsequent reports filed from time to time with the SEC. The forward-looking statements included in this release are made only as of the date hereof. We undertake no obligation to update or revise any forward-looking statement as a result of new information or future events, except as otherwise required by law.</w:t>
      </w:r>
    </w:p>
    <w:p>
      <w:pPr>
        <w:spacing w:after="0" w:line="25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2F2F45"/>
        </w:rPr>
        <w:t>Use of Non-GAAP Financial Measures by Ridgepost Capital</w:t>
      </w:r>
    </w:p>
    <w:p>
      <w:pPr>
        <w:spacing w:after="0" w:line="90" w:lineRule="exact"/>
        <w:rPr>
          <w:sz w:val="20"/>
          <w:szCs w:val="20"/>
          <w:color w:val="auto"/>
        </w:rPr>
      </w:pPr>
    </w:p>
    <w:p>
      <w:pPr>
        <w:ind w:left="820" w:right="819"/>
        <w:spacing w:after="0" w:line="250" w:lineRule="auto"/>
        <w:rPr>
          <w:sz w:val="20"/>
          <w:szCs w:val="20"/>
          <w:color w:val="auto"/>
        </w:rPr>
      </w:pPr>
      <w:r>
        <w:rPr>
          <w:rFonts w:ascii="Arial" w:cs="Arial" w:eastAsia="Arial" w:hAnsi="Arial"/>
          <w:sz w:val="15"/>
          <w:szCs w:val="15"/>
          <w:color w:val="302C45"/>
        </w:rPr>
        <w:t>The non-GAAP financial measures contained in this press release (including, without limitation, Fee-Related Revenue (“FRR”), Fee-Related Earnings (“FRE”), Fee-Related Earnings Margin, Adjusted Net Income (“ANI”), and Fully Diluted ANI per share)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to their most directly comparable GAAP measure is included later in this press release. The Company believes the presentation of these non-GAAP measures provides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These non-GAAP measures should not be considered substitutes for net income or cash flows from operating, investing, or financing activities.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spacing w:after="0" w:line="200" w:lineRule="exact"/>
        <w:rPr>
          <w:sz w:val="20"/>
          <w:szCs w:val="20"/>
          <w:color w:val="auto"/>
        </w:rPr>
      </w:pPr>
    </w:p>
    <w:p>
      <w:pPr>
        <w:spacing w:after="0" w:line="227"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2F2F45"/>
        </w:rPr>
        <w:t>Key Financial &amp; Operating Metrics</w:t>
      </w:r>
    </w:p>
    <w:p>
      <w:pPr>
        <w:spacing w:after="0" w:line="90" w:lineRule="exact"/>
        <w:rPr>
          <w:sz w:val="20"/>
          <w:szCs w:val="20"/>
          <w:color w:val="auto"/>
        </w:rPr>
      </w:pPr>
    </w:p>
    <w:p>
      <w:pPr>
        <w:ind w:left="820" w:right="859"/>
        <w:spacing w:after="0" w:line="241" w:lineRule="auto"/>
        <w:rPr>
          <w:sz w:val="20"/>
          <w:szCs w:val="20"/>
          <w:color w:val="auto"/>
        </w:rPr>
      </w:pPr>
      <w:r>
        <w:rPr>
          <w:rFonts w:ascii="Arial" w:cs="Arial" w:eastAsia="Arial" w:hAnsi="Arial"/>
          <w:sz w:val="16"/>
          <w:szCs w:val="16"/>
          <w:color w:val="302C45"/>
        </w:rPr>
        <w:t>Fee-paying assets under management reflect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234"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2F2F45"/>
        </w:rPr>
        <w:t>Ridgepost Capital Investor Contact:</w:t>
      </w:r>
    </w:p>
    <w:p>
      <w:pPr>
        <w:spacing w:after="0" w:line="7" w:lineRule="exact"/>
        <w:rPr>
          <w:sz w:val="20"/>
          <w:szCs w:val="20"/>
          <w:color w:val="auto"/>
        </w:rPr>
      </w:pPr>
    </w:p>
    <w:p>
      <w:pPr>
        <w:ind w:left="820"/>
        <w:spacing w:after="0"/>
        <w:rPr>
          <w:sz w:val="20"/>
          <w:szCs w:val="20"/>
          <w:color w:val="auto"/>
        </w:rPr>
      </w:pPr>
      <w:r>
        <w:rPr>
          <w:rFonts w:ascii="Verdana" w:cs="Verdana" w:eastAsia="Verdana" w:hAnsi="Verdana"/>
          <w:sz w:val="16"/>
          <w:szCs w:val="16"/>
          <w:color w:val="467886"/>
        </w:rPr>
        <w:t>info@ridgepostcapital.com</w:t>
      </w:r>
    </w:p>
    <w:p>
      <w:pPr>
        <w:ind w:left="820"/>
        <w:spacing w:after="0" w:line="233" w:lineRule="auto"/>
        <w:rPr>
          <w:sz w:val="20"/>
          <w:szCs w:val="20"/>
          <w:color w:val="auto"/>
        </w:rPr>
      </w:pPr>
      <w:r>
        <w:rPr>
          <w:rFonts w:ascii="Arial" w:cs="Arial" w:eastAsia="Arial" w:hAnsi="Arial"/>
          <w:sz w:val="19"/>
          <w:szCs w:val="19"/>
          <w:b w:val="1"/>
          <w:bCs w:val="1"/>
          <w:color w:val="2F2F45"/>
        </w:rPr>
        <w:t>Ridgepost Capital Media Contact:</w:t>
      </w:r>
    </w:p>
    <w:p>
      <w:pPr>
        <w:ind w:left="820"/>
        <w:spacing w:after="0" w:line="234" w:lineRule="auto"/>
        <w:rPr>
          <w:sz w:val="20"/>
          <w:szCs w:val="20"/>
          <w:color w:val="auto"/>
        </w:rPr>
      </w:pPr>
      <w:r>
        <w:rPr>
          <w:rFonts w:ascii="Arial" w:cs="Arial" w:eastAsia="Arial" w:hAnsi="Arial"/>
          <w:sz w:val="19"/>
          <w:szCs w:val="19"/>
          <w:color w:val="2F2F45"/>
        </w:rPr>
        <w:t>Josh Clarkson</w:t>
      </w:r>
    </w:p>
    <w:p>
      <w:pPr>
        <w:ind w:left="820"/>
        <w:spacing w:after="0" w:line="235" w:lineRule="auto"/>
        <w:rPr>
          <w:sz w:val="20"/>
          <w:szCs w:val="20"/>
          <w:color w:val="auto"/>
        </w:rPr>
      </w:pPr>
      <w:r>
        <w:rPr>
          <w:rFonts w:ascii="Arial" w:cs="Arial" w:eastAsia="Arial" w:hAnsi="Arial"/>
          <w:sz w:val="19"/>
          <w:szCs w:val="19"/>
          <w:color w:val="2F2F45"/>
        </w:rPr>
        <w:t>Taylor Donahue</w:t>
      </w:r>
    </w:p>
    <w:p>
      <w:pPr>
        <w:spacing w:after="0" w:line="1" w:lineRule="exact"/>
        <w:rPr>
          <w:sz w:val="20"/>
          <w:szCs w:val="20"/>
          <w:color w:val="auto"/>
        </w:rPr>
      </w:pPr>
    </w:p>
    <w:p>
      <w:pPr>
        <w:ind w:left="820"/>
        <w:spacing w:after="0"/>
        <w:rPr>
          <w:sz w:val="20"/>
          <w:szCs w:val="20"/>
          <w:color w:val="auto"/>
        </w:rPr>
      </w:pPr>
      <w:r>
        <w:rPr>
          <w:rFonts w:ascii="Verdana" w:cs="Verdana" w:eastAsia="Verdana" w:hAnsi="Verdana"/>
          <w:sz w:val="16"/>
          <w:szCs w:val="16"/>
          <w:color w:val="467886"/>
        </w:rPr>
        <w:t>pro-ridgepost@prosek.com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2878455</wp:posOffset>
            </wp:positionV>
            <wp:extent cx="616839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68390" cy="40640"/>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1734185</wp:posOffset>
            </wp:positionV>
            <wp:extent cx="5940425" cy="975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40425" cy="975995"/>
                    </a:xfrm>
                    <a:prstGeom prst="rect">
                      <a:avLst/>
                    </a:prstGeom>
                    <a:noFill/>
                  </pic:spPr>
                </pic:pic>
              </a:graphicData>
            </a:graphic>
          </wp:anchor>
        </w:drawing>
      </w:r>
    </w:p>
    <w:p>
      <w:pPr>
        <w:sectPr>
          <w:pgSz w:w="11900" w:h="16838" w:orient="portrait"/>
          <w:cols w:equalWidth="0" w:num="1">
            <w:col w:w="9019"/>
          </w:cols>
          <w:pgMar w:left="1440" w:top="1284" w:right="1440"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9"/>
          <w:szCs w:val="19"/>
          <w:b w:val="1"/>
          <w:bCs w:val="1"/>
          <w:color w:val="2F2F45"/>
        </w:rPr>
        <w:t>Reconciliation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146685</wp:posOffset>
            </wp:positionV>
            <wp:extent cx="4686300" cy="2402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686300" cy="2402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820" w:right="819" w:hanging="6"/>
        <w:spacing w:after="0" w:line="241" w:lineRule="auto"/>
        <w:tabs>
          <w:tab w:leader="none" w:pos="1009" w:val="left"/>
        </w:tabs>
        <w:numPr>
          <w:ilvl w:val="0"/>
          <w:numId w:val="5"/>
        </w:numPr>
        <w:rPr>
          <w:rFonts w:ascii="Arial" w:cs="Arial" w:eastAsia="Arial" w:hAnsi="Arial"/>
          <w:sz w:val="13"/>
          <w:szCs w:val="13"/>
          <w:color w:val="302C45"/>
        </w:rPr>
      </w:pPr>
      <w:r>
        <w:rPr>
          <w:rFonts w:ascii="Arial" w:cs="Arial" w:eastAsia="Arial" w:hAnsi="Arial"/>
          <w:sz w:val="13"/>
          <w:szCs w:val="13"/>
          <w:color w:val="302C45"/>
        </w:rPr>
        <w:t>Fully Diluted ANI per share calculations include the total of all common stock, outstanding restricted stock units and stock options under the treasury stock method, and the redeemable non-controlling interests of Ridgepost Capital, LLC converted to Class A stock as of each period presented.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2F2F45"/>
        </w:rPr>
        <w:t>Notes to Reconciliation of Non-GAAP Financial Measures</w:t>
      </w:r>
    </w:p>
    <w:p>
      <w:pPr>
        <w:spacing w:after="0" w:line="216" w:lineRule="exact"/>
        <w:rPr>
          <w:sz w:val="20"/>
          <w:szCs w:val="20"/>
          <w:color w:val="auto"/>
        </w:rPr>
      </w:pPr>
    </w:p>
    <w:p>
      <w:pPr>
        <w:ind w:left="820" w:right="959"/>
        <w:spacing w:after="0" w:line="237" w:lineRule="auto"/>
        <w:rPr>
          <w:sz w:val="20"/>
          <w:szCs w:val="20"/>
          <w:color w:val="auto"/>
        </w:rPr>
      </w:pPr>
      <w:r>
        <w:rPr>
          <w:rFonts w:ascii="Arial" w:cs="Arial" w:eastAsia="Arial" w:hAnsi="Arial"/>
          <w:sz w:val="16"/>
          <w:szCs w:val="16"/>
          <w:color w:val="302C45"/>
        </w:rPr>
        <w:t>Above is a calculation of our unaudited non-GAAP financial measures. These are not measures of financial performance under GAAP and should not be construed as a substitute for the most directly comparable GAAP measures, which are reconciled in the table above.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63" w:lineRule="exact"/>
        <w:rPr>
          <w:sz w:val="20"/>
          <w:szCs w:val="20"/>
          <w:color w:val="auto"/>
        </w:rPr>
      </w:pPr>
    </w:p>
    <w:p>
      <w:pPr>
        <w:ind w:left="820" w:right="839"/>
        <w:spacing w:after="0" w:line="236" w:lineRule="auto"/>
        <w:rPr>
          <w:sz w:val="20"/>
          <w:szCs w:val="20"/>
          <w:color w:val="auto"/>
        </w:rPr>
      </w:pPr>
      <w:r>
        <w:rPr>
          <w:rFonts w:ascii="Arial" w:cs="Arial" w:eastAsia="Arial" w:hAnsi="Arial"/>
          <w:sz w:val="16"/>
          <w:szCs w:val="16"/>
          <w:color w:val="302C45"/>
        </w:rPr>
        <w:t>We use Adjusted Net Income, or ANI, Fee-Related Revenue, Fee-Related Earnings and Fee-Related Earnings Margin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an estimate of our cash flows generated by our core operations. ANI is calculated as Fee-Related Earnings, plus Non-Fee Related Income, less strategic alliance noncontrolling interests expense, less actual cash paid for interest and federal, state, and foreign income taxes.</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6"/>
          <w:szCs w:val="16"/>
          <w:color w:val="302C45"/>
        </w:rPr>
        <w:t>In order to compute Fee-Related Earnings, we adjust our GAAP Net Income for certain items, including:</w:t>
      </w:r>
    </w:p>
    <w:p>
      <w:pPr>
        <w:spacing w:after="0" w:line="183" w:lineRule="exact"/>
        <w:rPr>
          <w:sz w:val="20"/>
          <w:szCs w:val="20"/>
          <w:color w:val="auto"/>
        </w:rPr>
      </w:pPr>
    </w:p>
    <w:p>
      <w:pPr>
        <w:ind w:left="1380" w:right="1319" w:hanging="282"/>
        <w:spacing w:after="0"/>
        <w:tabs>
          <w:tab w:leader="none" w:pos="1380" w:val="left"/>
        </w:tabs>
        <w:numPr>
          <w:ilvl w:val="0"/>
          <w:numId w:val="6"/>
        </w:numPr>
        <w:rPr>
          <w:rFonts w:ascii="Times New Roman" w:cs="Times New Roman" w:eastAsia="Times New Roman" w:hAnsi="Times New Roman"/>
          <w:sz w:val="16"/>
          <w:szCs w:val="16"/>
          <w:color w:val="302C45"/>
        </w:rPr>
      </w:pPr>
      <w:r>
        <w:rPr>
          <w:rFonts w:ascii="Arial" w:cs="Arial" w:eastAsia="Arial" w:hAnsi="Arial"/>
          <w:sz w:val="16"/>
          <w:szCs w:val="16"/>
          <w:color w:val="302C45"/>
        </w:rPr>
        <w:t>Expenses that typically do not require us to pay them in cash in the current period (such as depreciation, amortization and stock-based compensation);</w:t>
      </w:r>
    </w:p>
    <w:p>
      <w:pPr>
        <w:ind w:left="1380" w:hanging="282"/>
        <w:spacing w:after="0"/>
        <w:tabs>
          <w:tab w:leader="none" w:pos="1380" w:val="left"/>
        </w:tabs>
        <w:numPr>
          <w:ilvl w:val="0"/>
          <w:numId w:val="6"/>
        </w:numPr>
        <w:rPr>
          <w:rFonts w:ascii="Times New Roman" w:cs="Times New Roman" w:eastAsia="Times New Roman" w:hAnsi="Times New Roman"/>
          <w:sz w:val="16"/>
          <w:szCs w:val="16"/>
          <w:color w:val="302C45"/>
        </w:rPr>
      </w:pPr>
      <w:r>
        <w:rPr>
          <w:rFonts w:ascii="Arial" w:cs="Arial" w:eastAsia="Arial" w:hAnsi="Arial"/>
          <w:sz w:val="16"/>
          <w:szCs w:val="16"/>
          <w:color w:val="302C45"/>
        </w:rPr>
        <w:t>Earn out related compensation;</w:t>
      </w:r>
    </w:p>
    <w:p>
      <w:pPr>
        <w:spacing w:after="0" w:line="4" w:lineRule="exact"/>
        <w:rPr>
          <w:rFonts w:ascii="Times New Roman" w:cs="Times New Roman" w:eastAsia="Times New Roman" w:hAnsi="Times New Roman"/>
          <w:sz w:val="16"/>
          <w:szCs w:val="16"/>
          <w:color w:val="302C45"/>
        </w:rPr>
      </w:pPr>
    </w:p>
    <w:p>
      <w:pPr>
        <w:ind w:left="1380" w:hanging="282"/>
        <w:spacing w:after="0"/>
        <w:tabs>
          <w:tab w:leader="none" w:pos="1380" w:val="left"/>
        </w:tabs>
        <w:numPr>
          <w:ilvl w:val="0"/>
          <w:numId w:val="6"/>
        </w:numPr>
        <w:rPr>
          <w:rFonts w:ascii="Times New Roman" w:cs="Times New Roman" w:eastAsia="Times New Roman" w:hAnsi="Times New Roman"/>
          <w:sz w:val="16"/>
          <w:szCs w:val="16"/>
          <w:color w:val="302C45"/>
        </w:rPr>
      </w:pPr>
      <w:r>
        <w:rPr>
          <w:rFonts w:ascii="Arial" w:cs="Arial" w:eastAsia="Arial" w:hAnsi="Arial"/>
          <w:sz w:val="16"/>
          <w:szCs w:val="16"/>
          <w:color w:val="302C45"/>
        </w:rPr>
        <w:t>The cost of financing our business;</w:t>
      </w:r>
    </w:p>
    <w:p>
      <w:pPr>
        <w:spacing w:after="0" w:line="4" w:lineRule="exact"/>
        <w:rPr>
          <w:rFonts w:ascii="Times New Roman" w:cs="Times New Roman" w:eastAsia="Times New Roman" w:hAnsi="Times New Roman"/>
          <w:sz w:val="16"/>
          <w:szCs w:val="16"/>
          <w:color w:val="302C45"/>
        </w:rPr>
      </w:pPr>
    </w:p>
    <w:p>
      <w:pPr>
        <w:ind w:left="1380" w:right="899" w:hanging="282"/>
        <w:spacing w:after="0" w:line="230" w:lineRule="auto"/>
        <w:tabs>
          <w:tab w:leader="none" w:pos="1380" w:val="left"/>
        </w:tabs>
        <w:numPr>
          <w:ilvl w:val="0"/>
          <w:numId w:val="6"/>
        </w:numPr>
        <w:rPr>
          <w:rFonts w:ascii="Times New Roman" w:cs="Times New Roman" w:eastAsia="Times New Roman" w:hAnsi="Times New Roman"/>
          <w:sz w:val="16"/>
          <w:szCs w:val="16"/>
          <w:color w:val="302C45"/>
        </w:rPr>
      </w:pPr>
      <w:r>
        <w:rPr>
          <w:rFonts w:ascii="Arial" w:cs="Arial" w:eastAsia="Arial" w:hAnsi="Arial"/>
          <w:sz w:val="16"/>
          <w:szCs w:val="16"/>
          <w:color w:val="302C45"/>
        </w:rPr>
        <w:t>One-time expenses related to restructuring of the management team including placement/search fees;</w:t>
      </w:r>
    </w:p>
    <w:p>
      <w:pPr>
        <w:spacing w:after="0" w:line="1" w:lineRule="exact"/>
        <w:rPr>
          <w:rFonts w:ascii="Times New Roman" w:cs="Times New Roman" w:eastAsia="Times New Roman" w:hAnsi="Times New Roman"/>
          <w:sz w:val="16"/>
          <w:szCs w:val="16"/>
          <w:color w:val="302C45"/>
        </w:rPr>
      </w:pPr>
    </w:p>
    <w:p>
      <w:pPr>
        <w:ind w:left="1380" w:hanging="282"/>
        <w:spacing w:after="0"/>
        <w:tabs>
          <w:tab w:leader="none" w:pos="1380" w:val="left"/>
        </w:tabs>
        <w:numPr>
          <w:ilvl w:val="0"/>
          <w:numId w:val="6"/>
        </w:numPr>
        <w:rPr>
          <w:rFonts w:ascii="Times New Roman" w:cs="Times New Roman" w:eastAsia="Times New Roman" w:hAnsi="Times New Roman"/>
          <w:sz w:val="16"/>
          <w:szCs w:val="16"/>
          <w:color w:val="302C45"/>
        </w:rPr>
      </w:pPr>
      <w:r>
        <w:rPr>
          <w:rFonts w:ascii="Arial" w:cs="Arial" w:eastAsia="Arial" w:hAnsi="Arial"/>
          <w:sz w:val="16"/>
          <w:szCs w:val="16"/>
          <w:color w:val="302C45"/>
        </w:rPr>
        <w:t>Expenses related to one-time technical accounting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1207135</wp:posOffset>
            </wp:positionV>
            <wp:extent cx="616839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68390" cy="40640"/>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63500</wp:posOffset>
            </wp:positionV>
            <wp:extent cx="5940425" cy="975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40425" cy="975995"/>
                    </a:xfrm>
                    <a:prstGeom prst="rect">
                      <a:avLst/>
                    </a:prstGeom>
                    <a:noFill/>
                  </pic:spPr>
                </pic:pic>
              </a:graphicData>
            </a:graphic>
          </wp:anchor>
        </w:drawing>
      </w:r>
    </w:p>
    <w:p>
      <w:pPr>
        <w:sectPr>
          <w:pgSz w:w="11900" w:h="16838" w:orient="portrait"/>
          <w:cols w:equalWidth="0" w:num="1">
            <w:col w:w="9019"/>
          </w:cols>
          <w:pgMar w:left="1440" w:top="1180" w:right="1440" w:bottom="1440" w:gutter="0" w:footer="0" w:header="0"/>
        </w:sectPr>
      </w:pPr>
    </w:p>
    <w:bookmarkStart w:id="7" w:name="page8"/>
    <w:bookmarkEnd w:id="7"/>
    <w:p>
      <w:pPr>
        <w:ind w:left="1380" w:right="879" w:hanging="282"/>
        <w:spacing w:after="0" w:line="235" w:lineRule="auto"/>
        <w:tabs>
          <w:tab w:leader="none" w:pos="1380" w:val="left"/>
        </w:tabs>
        <w:numPr>
          <w:ilvl w:val="0"/>
          <w:numId w:val="7"/>
        </w:numPr>
        <w:rPr>
          <w:rFonts w:ascii="Times New Roman" w:cs="Times New Roman" w:eastAsia="Times New Roman" w:hAnsi="Times New Roman"/>
          <w:sz w:val="16"/>
          <w:szCs w:val="16"/>
          <w:color w:val="302C45"/>
        </w:rPr>
      </w:pPr>
      <w:r>
        <w:rPr>
          <w:rFonts w:ascii="Arial" w:cs="Arial" w:eastAsia="Arial" w:hAnsi="Arial"/>
          <w:sz w:val="16"/>
          <w:szCs w:val="16"/>
          <w:color w:val="302C45"/>
        </w:rPr>
        <w:t>Acquisition-related expenses which reflect the actual costs incurred during the period for the acquisition of new businesses, which primarily consists of fees for professional services including legal, accounting, and advisory, as well as bonuses paid to employees directly related to the acquisition;</w:t>
      </w:r>
    </w:p>
    <w:p>
      <w:pPr>
        <w:spacing w:after="0" w:line="2" w:lineRule="exact"/>
        <w:rPr>
          <w:rFonts w:ascii="Times New Roman" w:cs="Times New Roman" w:eastAsia="Times New Roman" w:hAnsi="Times New Roman"/>
          <w:sz w:val="16"/>
          <w:szCs w:val="16"/>
          <w:color w:val="302C45"/>
        </w:rPr>
      </w:pPr>
    </w:p>
    <w:p>
      <w:pPr>
        <w:ind w:left="1380" w:hanging="282"/>
        <w:spacing w:after="0"/>
        <w:tabs>
          <w:tab w:leader="none" w:pos="1380" w:val="left"/>
        </w:tabs>
        <w:numPr>
          <w:ilvl w:val="0"/>
          <w:numId w:val="7"/>
        </w:numPr>
        <w:rPr>
          <w:rFonts w:ascii="Times New Roman" w:cs="Times New Roman" w:eastAsia="Times New Roman" w:hAnsi="Times New Roman"/>
          <w:sz w:val="16"/>
          <w:szCs w:val="16"/>
          <w:color w:val="302C45"/>
        </w:rPr>
      </w:pPr>
      <w:r>
        <w:rPr>
          <w:rFonts w:ascii="Arial" w:cs="Arial" w:eastAsia="Arial" w:hAnsi="Arial"/>
          <w:sz w:val="16"/>
          <w:szCs w:val="16"/>
          <w:color w:val="302C45"/>
        </w:rPr>
        <w:t>The effects of income taxes; and</w:t>
      </w:r>
    </w:p>
    <w:p>
      <w:pPr>
        <w:spacing w:after="0" w:line="4" w:lineRule="exact"/>
        <w:rPr>
          <w:rFonts w:ascii="Times New Roman" w:cs="Times New Roman" w:eastAsia="Times New Roman" w:hAnsi="Times New Roman"/>
          <w:sz w:val="16"/>
          <w:szCs w:val="16"/>
          <w:color w:val="302C45"/>
        </w:rPr>
      </w:pPr>
    </w:p>
    <w:p>
      <w:pPr>
        <w:ind w:left="1380" w:hanging="282"/>
        <w:spacing w:after="0"/>
        <w:tabs>
          <w:tab w:leader="none" w:pos="1380" w:val="left"/>
        </w:tabs>
        <w:numPr>
          <w:ilvl w:val="0"/>
          <w:numId w:val="7"/>
        </w:numPr>
        <w:rPr>
          <w:rFonts w:ascii="Times New Roman" w:cs="Times New Roman" w:eastAsia="Times New Roman" w:hAnsi="Times New Roman"/>
          <w:sz w:val="16"/>
          <w:szCs w:val="16"/>
          <w:color w:val="302C45"/>
        </w:rPr>
      </w:pPr>
      <w:r>
        <w:rPr>
          <w:rFonts w:ascii="Arial" w:cs="Arial" w:eastAsia="Arial" w:hAnsi="Arial"/>
          <w:sz w:val="16"/>
          <w:szCs w:val="16"/>
          <w:color w:val="302C45"/>
        </w:rPr>
        <w:t>Non-Fee Related Income.</w:t>
      </w:r>
    </w:p>
    <w:p>
      <w:pPr>
        <w:spacing w:after="0" w:line="357" w:lineRule="exact"/>
        <w:rPr>
          <w:sz w:val="20"/>
          <w:szCs w:val="20"/>
          <w:color w:val="auto"/>
        </w:rPr>
      </w:pPr>
    </w:p>
    <w:p>
      <w:pPr>
        <w:ind w:left="820"/>
        <w:spacing w:after="0"/>
        <w:rPr>
          <w:sz w:val="20"/>
          <w:szCs w:val="20"/>
          <w:color w:val="auto"/>
        </w:rPr>
      </w:pPr>
      <w:r>
        <w:rPr>
          <w:rFonts w:ascii="Arial" w:cs="Arial" w:eastAsia="Arial" w:hAnsi="Arial"/>
          <w:sz w:val="16"/>
          <w:szCs w:val="16"/>
          <w:color w:val="302C45"/>
        </w:rPr>
        <w:t>Fee-Related Revenue is calculated as Total Revenues less Non-Fee Related Revenue.</w:t>
      </w:r>
    </w:p>
    <w:p>
      <w:pPr>
        <w:spacing w:after="0" w:line="183" w:lineRule="exact"/>
        <w:rPr>
          <w:sz w:val="20"/>
          <w:szCs w:val="20"/>
          <w:color w:val="auto"/>
        </w:rPr>
      </w:pPr>
    </w:p>
    <w:p>
      <w:pPr>
        <w:ind w:left="820" w:right="999"/>
        <w:spacing w:after="0" w:line="260" w:lineRule="auto"/>
        <w:rPr>
          <w:sz w:val="20"/>
          <w:szCs w:val="20"/>
          <w:color w:val="auto"/>
        </w:rPr>
      </w:pPr>
      <w:r>
        <w:rPr>
          <w:rFonts w:ascii="Arial" w:cs="Arial" w:eastAsia="Arial" w:hAnsi="Arial"/>
          <w:sz w:val="16"/>
          <w:szCs w:val="16"/>
          <w:color w:val="302C45"/>
        </w:rPr>
        <w:t>Fee-Related Earnings is a non -GAAP performance measure used to monitor our baseline earnings less any incentive fee revenue and excluding any incentive fee-related expenses.</w:t>
      </w:r>
    </w:p>
    <w:p>
      <w:pPr>
        <w:spacing w:after="0" w:line="145" w:lineRule="exact"/>
        <w:rPr>
          <w:sz w:val="20"/>
          <w:szCs w:val="20"/>
          <w:color w:val="auto"/>
        </w:rPr>
      </w:pPr>
    </w:p>
    <w:p>
      <w:pPr>
        <w:ind w:left="820"/>
        <w:spacing w:after="0"/>
        <w:rPr>
          <w:sz w:val="20"/>
          <w:szCs w:val="20"/>
          <w:color w:val="auto"/>
        </w:rPr>
      </w:pPr>
      <w:r>
        <w:rPr>
          <w:rFonts w:ascii="Arial" w:cs="Arial" w:eastAsia="Arial" w:hAnsi="Arial"/>
          <w:sz w:val="16"/>
          <w:szCs w:val="16"/>
          <w:color w:val="302C45"/>
        </w:rPr>
        <w:t>Fee-Related Earnings Margin is calculated as Fee-Related Earnings divided by Fee-Related Revenue.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302C45"/>
        </w:rPr>
        <w:t>Adjusted Net Income reflects net cash paid for federal and state income taxes and cash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5466715</wp:posOffset>
            </wp:positionV>
            <wp:extent cx="616839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68390" cy="40640"/>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4323080</wp:posOffset>
            </wp:positionV>
            <wp:extent cx="5940425" cy="975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40425" cy="975995"/>
                    </a:xfrm>
                    <a:prstGeom prst="rect">
                      <a:avLst/>
                    </a:prstGeom>
                    <a:noFill/>
                  </pic:spPr>
                </pic:pic>
              </a:graphicData>
            </a:graphic>
          </wp:anchor>
        </w:drawing>
      </w:r>
    </w:p>
    <w:p>
      <w:pPr>
        <w:sectPr>
          <w:pgSz w:w="11900" w:h="16838" w:orient="portrait"/>
          <w:cols w:equalWidth="0" w:num="1">
            <w:col w:w="9019"/>
          </w:cols>
          <w:pgMar w:left="1440" w:top="1189" w:right="1440"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840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70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587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55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5855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705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587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70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587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705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587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70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587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62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5862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5645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5645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2026-02-12T06:12:29Z</dcterms:created>
  <dcterms:modified xsi:type="dcterms:W3CDTF">2026-02-12T06:12:29Z</dcterms:modified>
</cp:coreProperties>
</file>