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210 Capital, LLC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P10,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5"/>
                <w:szCs w:val="5"/>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9"/>
                <w:szCs w:val="9"/>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6"/>
                <w:szCs w:val="16"/>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20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12/09/2024</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0000FF"/>
              </w:rPr>
              <w:t>See Remarks</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640" w:type="dxa"/>
            <w:vAlign w:val="bottom"/>
            <w:tcBorders>
              <w:bottom w:val="single" w:sz="8" w:color="2C2C2C"/>
            </w:tcBorders>
            <w:gridSpan w:val="7"/>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8"/>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line="20" w:lineRule="exact"/>
              <w:rPr>
                <w:sz w:val="1"/>
                <w:szCs w:val="1"/>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11"/>
            <w:vMerge w:val="continue"/>
          </w:tcPr>
          <w:p>
            <w:pPr>
              <w:spacing w:after="0"/>
              <w:rPr>
                <w:sz w:val="12"/>
                <w:szCs w:val="12"/>
                <w:color w:val="auto"/>
              </w:rPr>
            </w:pPr>
          </w:p>
        </w:tc>
        <w:tc>
          <w:tcPr>
            <w:tcW w:w="340" w:type="dxa"/>
            <w:vAlign w:val="bottom"/>
          </w:tcPr>
          <w:p>
            <w:pPr>
              <w:spacing w:after="0"/>
              <w:rPr>
                <w:sz w:val="12"/>
                <w:szCs w:val="12"/>
                <w:color w:val="auto"/>
              </w:rPr>
            </w:pPr>
          </w:p>
        </w:tc>
        <w:tc>
          <w:tcPr>
            <w:tcW w:w="342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75205</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20" w:type="dxa"/>
            <w:vAlign w:val="bottom"/>
            <w:gridSpan w:val="8"/>
          </w:tcPr>
          <w:p>
            <w:pPr>
              <w:ind w:left="20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98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2"/>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6"/>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5"/>
                <w:szCs w:val="15"/>
                <w:color w:val="auto"/>
              </w:rPr>
            </w:pPr>
          </w:p>
        </w:tc>
        <w:tc>
          <w:tcPr>
            <w:tcW w:w="210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60" w:type="dxa"/>
            <w:vAlign w:val="bottom"/>
            <w:gridSpan w:val="8"/>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20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(D)</w:t>
            </w:r>
          </w:p>
        </w:tc>
        <w:tc>
          <w:tcPr>
            <w:tcW w:w="2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12/09/2024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vMerge w:val="restart"/>
          </w:tcPr>
          <w:p>
            <w:pPr>
              <w:jc w:val="center"/>
              <w:ind w:left="59"/>
              <w:spacing w:after="0"/>
              <w:rPr>
                <w:sz w:val="20"/>
                <w:szCs w:val="20"/>
                <w:color w:val="auto"/>
              </w:rPr>
            </w:pPr>
            <w:r>
              <w:rPr>
                <w:rFonts w:ascii="Times New Roman" w:cs="Times New Roman" w:eastAsia="Times New Roman" w:hAnsi="Times New Roman"/>
                <w:sz w:val="13"/>
                <w:szCs w:val="13"/>
                <w:color w:val="0000FF"/>
                <w:w w:val="82"/>
              </w:rPr>
              <w:t>S</w:t>
            </w:r>
          </w:p>
        </w:tc>
        <w:tc>
          <w:tcPr>
            <w:tcW w:w="460" w:type="dxa"/>
            <w:vAlign w:val="bottom"/>
          </w:tcPr>
          <w:p>
            <w:pPr>
              <w:spacing w:after="0"/>
              <w:rPr>
                <w:sz w:val="21"/>
                <w:szCs w:val="21"/>
                <w:color w:val="auto"/>
              </w:rPr>
            </w:pPr>
          </w:p>
        </w:tc>
        <w:tc>
          <w:tcPr>
            <w:tcW w:w="82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275,000</w:t>
            </w:r>
          </w:p>
        </w:tc>
        <w:tc>
          <w:tcPr>
            <w:tcW w:w="16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5"/>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13.2632</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500,000</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12/10/2024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vMerge w:val="restart"/>
          </w:tcPr>
          <w:p>
            <w:pPr>
              <w:jc w:val="center"/>
              <w:ind w:left="59"/>
              <w:spacing w:after="0"/>
              <w:rPr>
                <w:sz w:val="20"/>
                <w:szCs w:val="20"/>
                <w:color w:val="auto"/>
              </w:rPr>
            </w:pPr>
            <w:r>
              <w:rPr>
                <w:rFonts w:ascii="Times New Roman" w:cs="Times New Roman" w:eastAsia="Times New Roman" w:hAnsi="Times New Roman"/>
                <w:sz w:val="13"/>
                <w:szCs w:val="13"/>
                <w:color w:val="0000FF"/>
                <w:w w:val="82"/>
              </w:rPr>
              <w:t>S</w:t>
            </w:r>
          </w:p>
        </w:tc>
        <w:tc>
          <w:tcPr>
            <w:tcW w:w="460" w:type="dxa"/>
            <w:vAlign w:val="bottom"/>
          </w:tcPr>
          <w:p>
            <w:pPr>
              <w:spacing w:after="0"/>
              <w:rPr>
                <w:sz w:val="21"/>
                <w:szCs w:val="21"/>
                <w:color w:val="auto"/>
              </w:rPr>
            </w:pPr>
          </w:p>
        </w:tc>
        <w:tc>
          <w:tcPr>
            <w:tcW w:w="82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145,000</w:t>
            </w:r>
          </w:p>
        </w:tc>
        <w:tc>
          <w:tcPr>
            <w:tcW w:w="16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5"/>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13.3836</w:t>
            </w:r>
            <w:r>
              <w:rPr>
                <w:rFonts w:ascii="Times New Roman" w:cs="Times New Roman" w:eastAsia="Times New Roman" w:hAnsi="Times New Roman"/>
                <w:sz w:val="22"/>
                <w:szCs w:val="22"/>
                <w:color w:val="008000"/>
                <w:vertAlign w:val="superscript"/>
              </w:rPr>
              <w:t>(5)</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355,000</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12/11/2024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vMerge w:val="restart"/>
          </w:tcPr>
          <w:p>
            <w:pPr>
              <w:jc w:val="center"/>
              <w:ind w:left="59"/>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(6)</w:t>
            </w:r>
          </w:p>
        </w:tc>
        <w:tc>
          <w:tcPr>
            <w:tcW w:w="460" w:type="dxa"/>
            <w:vAlign w:val="bottom"/>
          </w:tcPr>
          <w:p>
            <w:pPr>
              <w:spacing w:after="0"/>
              <w:rPr>
                <w:sz w:val="21"/>
                <w:szCs w:val="21"/>
                <w:color w:val="auto"/>
              </w:rPr>
            </w:pPr>
          </w:p>
        </w:tc>
        <w:tc>
          <w:tcPr>
            <w:tcW w:w="82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155,000</w:t>
            </w:r>
          </w:p>
        </w:tc>
        <w:tc>
          <w:tcPr>
            <w:tcW w:w="16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5"/>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13.5233</w:t>
            </w:r>
            <w:r>
              <w:rPr>
                <w:rFonts w:ascii="Times New Roman" w:cs="Times New Roman" w:eastAsia="Times New Roman" w:hAnsi="Times New Roman"/>
                <w:sz w:val="22"/>
                <w:szCs w:val="22"/>
                <w:color w:val="008000"/>
                <w:vertAlign w:val="superscript"/>
              </w:rPr>
              <w:t>(7)</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200,000</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top w:val="single" w:sz="8" w:color="2C2C2C"/>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jc w:val="center"/>
              <w:ind w:right="473"/>
              <w:spacing w:after="0"/>
              <w:rPr>
                <w:sz w:val="20"/>
                <w:szCs w:val="20"/>
                <w:color w:val="auto"/>
              </w:rPr>
            </w:pPr>
            <w:r>
              <w:rPr>
                <w:rFonts w:ascii="Times New Roman" w:cs="Times New Roman" w:eastAsia="Times New Roman" w:hAnsi="Times New Roman"/>
                <w:sz w:val="17"/>
                <w:szCs w:val="17"/>
                <w:color w:val="0000FF"/>
                <w:w w:val="93"/>
              </w:rPr>
              <w:t>0</w:t>
            </w:r>
          </w:p>
        </w:tc>
        <w:tc>
          <w:tcPr>
            <w:tcW w:w="2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(8)</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3"/>
              <w:spacing w:after="0"/>
              <w:rPr>
                <w:sz w:val="20"/>
                <w:szCs w:val="20"/>
                <w:color w:val="auto"/>
              </w:rPr>
            </w:pPr>
            <w:r>
              <w:rPr>
                <w:rFonts w:ascii="Times New Roman" w:cs="Times New Roman" w:eastAsia="Times New Roman" w:hAnsi="Times New Roman"/>
                <w:sz w:val="17"/>
                <w:szCs w:val="17"/>
                <w:color w:val="0000FF"/>
                <w:w w:val="93"/>
              </w:rPr>
              <w:t>0</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(9)</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4"/>
                <w:szCs w:val="14"/>
                <w:color w:val="auto"/>
              </w:rPr>
            </w:pP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210 Capital,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75205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3"/>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Alpert Robert H</w:t>
              </w:r>
            </w:hyperlink>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-4100195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20" w:type="dxa"/>
            <w:vAlign w:val="bottom"/>
            <w:gridSpan w:val="2"/>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Webb C Clark</w:t>
              </w:r>
            </w:hyperlink>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-2209165</wp:posOffset>
            </wp:positionV>
            <wp:extent cx="2809240" cy="72390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7239000"/>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COVENANT RHA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CCW/LAW Holdings,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RHA Investments,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(v) RHA Investments, Inc. ("RHA Investments"), in its capacity as general partner of RHA Partners; and (vi) Mr. Alpert, individually and in his capacity as President and sole shareholder of RHA Investments (collectively, the "Reporting Persons").</w:t>
      </w:r>
    </w:p>
    <w:p>
      <w:pPr>
        <w:spacing w:after="0" w:line="24" w:lineRule="exact"/>
        <w:rPr>
          <w:rFonts w:ascii="Times New Roman" w:cs="Times New Roman" w:eastAsia="Times New Roman" w:hAnsi="Times New Roman"/>
          <w:sz w:val="13"/>
          <w:szCs w:val="13"/>
          <w:color w:val="008000"/>
        </w:rPr>
      </w:pPr>
    </w:p>
    <w:p>
      <w:pPr>
        <w:ind w:left="20" w:right="2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p>
      <w:pPr>
        <w:spacing w:after="0" w:line="7"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$13.25 to $13.35,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20" w:right="2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210/P10. By virtue of their relationship with 210/P10 described in Footnote 1, each Reporting Person may be deemed to beneficially own the securities of the Issuer owned directly by 210/P10.</w:t>
      </w:r>
    </w:p>
    <w:p>
      <w:pPr>
        <w:spacing w:after="0" w:line="7"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$13.25 to $13.515,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20" w:right="1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prices for the transactions reported herein were lower than the sales prices that were used to calculate short swing profits previously disgorged by or on behalf of Mr. Webb under Section 16(b) of the Securities Exchange Act of 1934, as amended, in connection with prior sales that may have been matchable with an inadvertent purchase made on behalf of Mr. Webb. Therefore, no further disgorgeable profits resulted from this reported sale.</w:t>
      </w:r>
    </w:p>
    <w:p>
      <w:pPr>
        <w:spacing w:after="0" w:line="20"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$13.40 to $13.695,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Alpert.</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Webb.</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The Reporting Persons may be deemed to be members of group under Section 13 that collectively beneficially owns more than 10% of the Issuer's Common Stock.</w:t>
      </w: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 Clark Webb,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32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32180"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7"/>
          <w:szCs w:val="17"/>
          <w:color w:val="0000FF"/>
        </w:rPr>
        <w:t>12/11/2024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096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0900"/>
          </w:cols>
          <w:pgMar w:left="480" w:top="125" w:right="519" w:bottom="0" w:gutter="0" w:footer="0" w:header="0"/>
        </w:sectPr>
      </w:pPr>
    </w:p>
    <w:bookmarkStart w:id="2" w:name="page3"/>
    <w:bookmarkEnd w:id="2"/>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13" Type="http://schemas.openxmlformats.org/officeDocument/2006/relationships/hyperlink" Target="http://www.sec.gov/cgi-bin/browse-edgar?action=getcompany&amp;CIK=0001694780" TargetMode="External"/><Relationship Id="rId14" Type="http://schemas.openxmlformats.org/officeDocument/2006/relationships/hyperlink" Target="http://www.sec.gov/cgi-bin/browse-edgar?action=getcompany&amp;CIK=0001841968" TargetMode="External"/><Relationship Id="rId15" Type="http://schemas.openxmlformats.org/officeDocument/2006/relationships/hyperlink" Target="http://www.sec.gov/cgi-bin/browse-edgar?action=getcompany&amp;CIK=0001694574" TargetMode="External"/><Relationship Id="rId17" Type="http://schemas.openxmlformats.org/officeDocument/2006/relationships/hyperlink" Target="http://www.sec.gov/cgi-bin/browse-edgar?action=getcompany&amp;CIK=0001694507" TargetMode="External"/><Relationship Id="rId19" Type="http://schemas.openxmlformats.org/officeDocument/2006/relationships/hyperlink" Target="http://www.sec.gov/cgi-bin/browse-edgar?action=getcompany&amp;CIK=0001274195" TargetMode="External"/><Relationship Id="rId20" Type="http://schemas.openxmlformats.org/officeDocument/2006/relationships/hyperlink" Target="http://www.sec.gov/cgi-bin/browse-edgar?action=getcompany&amp;CIK=0001694778" TargetMode="External"/><Relationship Id="rId21"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2024-12-11T19:58:41Z</dcterms:created>
  <dcterms:modified xsi:type="dcterms:W3CDTF">2024-12-11T19:58:41Z</dcterms:modified>
</cp:coreProperties>
</file>