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17, 2009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333-163301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3900" w:type="dxa"/>
            <w:vAlign w:val="bottom"/>
          </w:tcPr>
          <w:p>
            <w:pPr>
              <w:jc w:val="center"/>
              <w:ind w:right="2046"/>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left="204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3900" w:type="dxa"/>
            <w:vAlign w:val="bottom"/>
          </w:tcPr>
          <w:p>
            <w:pPr>
              <w:jc w:val="center"/>
              <w:ind w:right="20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480" w:type="dxa"/>
            <w:vAlign w:val="bottom"/>
          </w:tcPr>
          <w:p>
            <w:pPr>
              <w:jc w:val="center"/>
              <w:ind w:left="20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00" w:type="dxa"/>
            <w:vAlign w:val="bottom"/>
          </w:tcPr>
          <w:p>
            <w:pPr>
              <w:jc w:val="center"/>
              <w:ind w:right="2066"/>
              <w:spacing w:after="0"/>
              <w:rPr>
                <w:sz w:val="20"/>
                <w:szCs w:val="20"/>
                <w:color w:val="auto"/>
              </w:rPr>
            </w:pPr>
            <w:r>
              <w:rPr>
                <w:rFonts w:ascii="Arial" w:cs="Arial" w:eastAsia="Arial" w:hAnsi="Arial"/>
                <w:sz w:val="14"/>
                <w:szCs w:val="14"/>
                <w:b w:val="1"/>
                <w:bCs w:val="1"/>
                <w:color w:val="auto"/>
                <w:w w:val="88"/>
              </w:rPr>
              <w:t>incorporation or organization)</w:t>
            </w:r>
          </w:p>
        </w:tc>
        <w:tc>
          <w:tcPr>
            <w:tcW w:w="3480" w:type="dxa"/>
            <w:vAlign w:val="bottom"/>
          </w:tcPr>
          <w:p>
            <w:pPr>
              <w:jc w:val="center"/>
              <w:ind w:left="206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 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L. Willis,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S.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165"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the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2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632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63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80" w:type="dxa"/>
            <w:vAlign w:val="bottom"/>
          </w:tcPr>
          <w:p>
            <w:pPr>
              <w:ind w:left="7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8"/>
        </w:trPr>
        <w:tc>
          <w:tcPr>
            <w:tcW w:w="1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89"/>
        </w:trPr>
        <w:tc>
          <w:tcPr>
            <w:tcW w:w="1820" w:type="dxa"/>
            <w:vAlign w:val="bottom"/>
          </w:tcPr>
          <w:p>
            <w:pPr>
              <w:spacing w:after="0"/>
              <w:rPr>
                <w:sz w:val="24"/>
                <w:szCs w:val="24"/>
                <w:color w:val="auto"/>
              </w:rPr>
            </w:pPr>
          </w:p>
        </w:tc>
        <w:tc>
          <w:tcPr>
            <w:tcW w:w="6320" w:type="dxa"/>
            <w:vAlign w:val="bottom"/>
            <w:gridSpan w:val="3"/>
          </w:tcPr>
          <w:p>
            <w:pPr>
              <w:ind w:left="2200"/>
              <w:spacing w:after="0"/>
              <w:rPr>
                <w:sz w:val="20"/>
                <w:szCs w:val="20"/>
                <w:color w:val="auto"/>
              </w:rPr>
            </w:pPr>
            <w:r>
              <w:rPr>
                <w:rFonts w:ascii="Arial" w:cs="Arial" w:eastAsia="Arial" w:hAnsi="Arial"/>
                <w:sz w:val="18"/>
                <w:szCs w:val="18"/>
                <w:b w:val="1"/>
                <w:bCs w:val="1"/>
                <w:color w:val="auto"/>
              </w:rPr>
              <w:t>CALCULATION OF REGISTRATION FEE</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4"/>
          <w:szCs w:val="24"/>
          <w:color w:val="auto"/>
        </w:rPr>
      </w:pPr>
    </w:p>
    <w:p>
      <w:pPr>
        <w:sectPr>
          <w:pgSz w:w="11900" w:h="16838" w:orient="portrait"/>
          <w:cols w:equalWidth="0" w:num="1">
            <w:col w:w="11420"/>
          </w:cols>
          <w:pgMar w:left="240" w:top="230"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3"/>
        </w:trPr>
        <w:tc>
          <w:tcPr>
            <w:tcW w:w="20" w:type="dxa"/>
            <w:vAlign w:val="bottom"/>
          </w:tcPr>
          <w:p>
            <w:pPr>
              <w:spacing w:after="0"/>
              <w:rPr>
                <w:sz w:val="8"/>
                <w:szCs w:val="8"/>
                <w:color w:val="auto"/>
              </w:rPr>
            </w:pPr>
          </w:p>
        </w:tc>
        <w:tc>
          <w:tcPr>
            <w:tcW w:w="504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ind w:left="31"/>
              <w:spacing w:after="0" w:line="103" w:lineRule="exact"/>
              <w:rPr>
                <w:sz w:val="20"/>
                <w:szCs w:val="20"/>
                <w:color w:val="auto"/>
              </w:rPr>
            </w:pPr>
            <w:r>
              <w:rPr>
                <w:rFonts w:ascii="Arial" w:cs="Arial" w:eastAsia="Arial" w:hAnsi="Arial"/>
                <w:sz w:val="11"/>
                <w:szCs w:val="11"/>
                <w:b w:val="1"/>
                <w:bCs w:val="1"/>
                <w:color w:val="auto"/>
              </w:rPr>
              <w:t>Proposed</w:t>
            </w:r>
          </w:p>
        </w:tc>
        <w:tc>
          <w:tcPr>
            <w:tcW w:w="1600" w:type="dxa"/>
            <w:vAlign w:val="bottom"/>
            <w:tcBorders>
              <w:right w:val="single" w:sz="8" w:color="auto"/>
            </w:tcBorders>
          </w:tcPr>
          <w:p>
            <w:pPr>
              <w:jc w:val="center"/>
              <w:ind w:left="31"/>
              <w:spacing w:after="0" w:line="103" w:lineRule="exact"/>
              <w:rPr>
                <w:sz w:val="20"/>
                <w:szCs w:val="20"/>
                <w:color w:val="auto"/>
              </w:rPr>
            </w:pPr>
            <w:r>
              <w:rPr>
                <w:rFonts w:ascii="Arial" w:cs="Arial" w:eastAsia="Arial" w:hAnsi="Arial"/>
                <w:sz w:val="11"/>
                <w:szCs w:val="11"/>
                <w:b w:val="1"/>
                <w:bCs w:val="1"/>
                <w:color w:val="auto"/>
              </w:rPr>
              <w:t>Proposed</w:t>
            </w:r>
          </w:p>
        </w:tc>
        <w:tc>
          <w:tcPr>
            <w:tcW w:w="1560" w:type="dxa"/>
            <w:vAlign w:val="bottom"/>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ind w:left="420"/>
              <w:spacing w:after="0" w:line="149" w:lineRule="exact"/>
              <w:rPr>
                <w:sz w:val="20"/>
                <w:szCs w:val="20"/>
                <w:color w:val="auto"/>
              </w:rPr>
            </w:pPr>
            <w:r>
              <w:rPr>
                <w:rFonts w:ascii="Arial" w:cs="Arial" w:eastAsia="Arial" w:hAnsi="Arial"/>
                <w:sz w:val="14"/>
                <w:szCs w:val="14"/>
                <w:b w:val="1"/>
                <w:bCs w:val="1"/>
                <w:color w:val="auto"/>
              </w:rPr>
              <w:t>Amount To Be</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15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6"/>
              </w:rPr>
              <w:t>Registered(1)(2)</w:t>
            </w: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0"/>
              </w:rPr>
              <w:t>Price per Unit</w:t>
            </w: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0"/>
              </w:rPr>
              <w:t>Price(1)(2)</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 (3)(4)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9"/>
              </w:rPr>
              <w:t>—</w:t>
            </w: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9"/>
              </w:rPr>
              <w:t>—</w:t>
            </w:r>
          </w:p>
        </w:tc>
        <w:tc>
          <w:tcPr>
            <w:tcW w:w="15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9"/>
              </w:rPr>
              <w:t>—</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 (5)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9"/>
              </w:rPr>
              <w:t>—</w:t>
            </w: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9"/>
              </w:rPr>
              <w:t>—</w:t>
            </w:r>
          </w:p>
        </w:tc>
        <w:tc>
          <w:tcPr>
            <w:tcW w:w="15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9"/>
              </w:rPr>
              <w:t>—</w:t>
            </w:r>
          </w:p>
        </w:tc>
      </w:tr>
      <w:tr>
        <w:trPr>
          <w:trHeight w:val="210"/>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right w:val="single" w:sz="8" w:color="auto"/>
            </w:tcBorders>
          </w:tcPr>
          <w:p>
            <w:pPr>
              <w:jc w:val="center"/>
              <w:ind w:left="8"/>
              <w:spacing w:after="0"/>
              <w:rPr>
                <w:sz w:val="20"/>
                <w:szCs w:val="20"/>
                <w:color w:val="auto"/>
              </w:rPr>
            </w:pPr>
            <w:r>
              <w:rPr>
                <w:rFonts w:ascii="Arial" w:cs="Arial" w:eastAsia="Arial" w:hAnsi="Arial"/>
                <w:sz w:val="18"/>
                <w:szCs w:val="18"/>
                <w:color w:val="auto"/>
                <w:w w:val="88"/>
              </w:rPr>
              <w:t>$25,000,000 (6)</w:t>
            </w:r>
          </w:p>
        </w:tc>
        <w:tc>
          <w:tcPr>
            <w:tcW w:w="16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3"/>
              </w:rPr>
              <w:t>— (7)</w:t>
            </w:r>
          </w:p>
        </w:tc>
        <w:tc>
          <w:tcPr>
            <w:tcW w:w="1600" w:type="dxa"/>
            <w:vAlign w:val="bottom"/>
            <w:tcBorders>
              <w:right w:val="single" w:sz="8" w:color="auto"/>
            </w:tcBorders>
          </w:tcPr>
          <w:p>
            <w:pPr>
              <w:jc w:val="center"/>
              <w:ind w:left="11"/>
              <w:spacing w:after="0"/>
              <w:rPr>
                <w:sz w:val="20"/>
                <w:szCs w:val="20"/>
                <w:color w:val="auto"/>
              </w:rPr>
            </w:pPr>
            <w:r>
              <w:rPr>
                <w:rFonts w:ascii="Arial" w:cs="Arial" w:eastAsia="Arial" w:hAnsi="Arial"/>
                <w:sz w:val="18"/>
                <w:szCs w:val="18"/>
                <w:color w:val="auto"/>
                <w:w w:val="87"/>
              </w:rPr>
              <w:t>$25,000,000</w:t>
            </w:r>
          </w:p>
        </w:tc>
        <w:tc>
          <w:tcPr>
            <w:tcW w:w="1560" w:type="dxa"/>
            <w:vAlign w:val="bottom"/>
          </w:tcPr>
          <w:p>
            <w:pPr>
              <w:jc w:val="center"/>
              <w:ind w:left="8"/>
              <w:spacing w:after="0"/>
              <w:rPr>
                <w:sz w:val="20"/>
                <w:szCs w:val="20"/>
                <w:color w:val="auto"/>
              </w:rPr>
            </w:pPr>
            <w:r>
              <w:rPr>
                <w:rFonts w:ascii="Arial" w:cs="Arial" w:eastAsia="Arial" w:hAnsi="Arial"/>
                <w:sz w:val="18"/>
                <w:szCs w:val="18"/>
                <w:color w:val="auto"/>
                <w:w w:val="87"/>
              </w:rPr>
              <w:t>$1,395 (8)</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80" w:right="180" w:hanging="572"/>
        <w:spacing w:after="0" w:line="25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Or if any securities are issued in an amount denominated in a foreign currency or composite currency, such amount as shall result in an aggregate initial offering price equivalent thereto in United States dollars at the time of initial offering.</w:t>
      </w:r>
    </w:p>
    <w:p>
      <w:pPr>
        <w:ind w:left="580" w:right="2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has estimated the amount to be registered and the proposed maximum offering price solely for the purpose of calculating the registration fee pursuant to Rule 457(o). The amount is not specified as to each class of security pursuant to General Instruction II.D. of Form S-3 under the Securities Act.</w:t>
      </w:r>
    </w:p>
    <w:p>
      <w:pPr>
        <w:spacing w:after="0" w:line="1" w:lineRule="exact"/>
        <w:rPr>
          <w:rFonts w:ascii="Arial" w:cs="Arial" w:eastAsia="Arial" w:hAnsi="Arial"/>
          <w:sz w:val="18"/>
          <w:szCs w:val="18"/>
          <w:color w:val="auto"/>
        </w:rPr>
      </w:pPr>
    </w:p>
    <w:p>
      <w:pPr>
        <w:jc w:val="both"/>
        <w:ind w:left="580" w:right="40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any securities that may be registered hereunder, we are also registering an indeterminate number of shares of common stock as may be issued upon conversion or exchange of the securities issued directly hereunder. No separate consideration will be received for any shares of common stock so issued upon conversion or exchange.</w:t>
      </w:r>
    </w:p>
    <w:p>
      <w:pPr>
        <w:spacing w:after="0" w:line="1"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is accompanied by a preferred share purchase right pursuant to the Rights Agreement, dated as of December 13, 2001, as may be amended from time to time, between Active Power and EquiServe Trust N.A., as Rights Agent.</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only warrants to purchase common stock.</w:t>
      </w:r>
    </w:p>
    <w:p>
      <w:pPr>
        <w:spacing w:after="0" w:line="9"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securities registered hereunder may be sold separately, or as units with other securities registered hereby. The proposed maximum offering price per unit will be determined by us in connection with the issuance of the securities. General Instruction I.B.6 of Form S-3 permits certain issuers, including Active Power, Inc., to register no more than one-third of the aggregate market value of the voting and non-voting common equity held by non-affiliates of the issuer during a 12-month period. On December 15, 2009, the market value of common equity held by non-affiliates was $65,709,295 based on a closing market price of $1.00 per share on December 15, 2009 as reported by The Nasdaq Global Market. Active Power, Inc. has not offered any securities pursuant to General Instruction I.B.6 during the 12-month period ending on and including the date of this prospectus. In no event will the aggregate offering price of all securities issued from time to time pursuant to this Registration Statement exceed $25,000,000 or the equivalent thereof in one or more foreign currencies, foreign currency units or composite currencies. The aggregate amount of common stock registered hereunder is further limited to that which is permissible under Rule 415(a)(4) under the Securities Act, to the extent applicable.</w:t>
      </w:r>
    </w:p>
    <w:p>
      <w:pPr>
        <w:spacing w:after="0" w:line="6" w:lineRule="exact"/>
        <w:rPr>
          <w:rFonts w:ascii="Arial" w:cs="Arial" w:eastAsia="Arial" w:hAnsi="Arial"/>
          <w:sz w:val="16"/>
          <w:szCs w:val="16"/>
          <w:color w:val="auto"/>
        </w:rPr>
      </w:pPr>
    </w:p>
    <w:p>
      <w:pPr>
        <w:ind w:left="580" w:right="180" w:hanging="572"/>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determine the proposed maximum offering price per unit in connection with the issuance of the securities. Such price is not specified as to each class of security pursuant to General Instruction II.D. of Form S-3 under the Securities Act.</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DECEMBER 17,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 —</w:t>
      </w:r>
    </w:p>
    <w:p>
      <w:pPr>
        <w:spacing w:after="0" w:line="218" w:lineRule="exact"/>
        <w:rPr>
          <w:sz w:val="20"/>
          <w:szCs w:val="20"/>
          <w:color w:val="auto"/>
        </w:rPr>
      </w:pPr>
    </w:p>
    <w:p>
      <w:pPr>
        <w:ind w:left="4720" w:hanging="282"/>
        <w:spacing w:after="0"/>
        <w:tabs>
          <w:tab w:leader="none" w:pos="4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90" w:lineRule="exact"/>
        <w:rPr>
          <w:rFonts w:ascii="Arial" w:cs="Arial" w:eastAsia="Arial" w:hAnsi="Arial"/>
          <w:sz w:val="18"/>
          <w:szCs w:val="18"/>
          <w:color w:val="auto"/>
        </w:rPr>
      </w:pPr>
    </w:p>
    <w:p>
      <w:pPr>
        <w:ind w:left="4720" w:hanging="282"/>
        <w:spacing w:after="0"/>
        <w:tabs>
          <w:tab w:leader="none" w:pos="4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166"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See “</w:t>
      </w:r>
      <w:hyperlink w:anchor="page8">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5 for information you should consider before buying our securities.</w:t>
      </w:r>
    </w:p>
    <w:p>
      <w:pPr>
        <w:spacing w:after="0" w:line="1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we may offer and sell, in one or more offerings, in amounts, at prices and on terms determined at the time of any such offering, common stock, warrants, and any combination thereof, with a total value of up to $25,000,000.</w:t>
      </w:r>
    </w:p>
    <w:p>
      <w:pPr>
        <w:spacing w:after="0" w:line="132"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of December 15, 2009, the aggregate market value of our outstanding common stock held by non-affiliates was $65,709,295, based on 66,478,623 shares of outstanding common stock, of which 65,709,295 are held by non-affiliates, and a price of $1.00 per share, based on the closing sale price of our common stock on December 15, 2009 as reported by The Nasdaq Global Market. We have not offered any securities pursuant to General Instruction 1.B.6 of Form S-3 during the prior 12-month period that ends on and includes the date of this prospectus.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On December 15, 2009, the closing price of our common stock was $1.00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provide specific terms of these securities in supplements to this prospectus. You should read this prospectus and any supplement carefully before you purchase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may not be used to offer and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tbl>
      <w:tblPr>
        <w:tblLayout w:type="fixed"/>
        <w:tblInd w:w="4320" w:type="dxa"/>
        <w:tblCellMar>
          <w:top w:w="0" w:type="dxa"/>
          <w:left w:w="0" w:type="dxa"/>
          <w:bottom w:w="0" w:type="dxa"/>
          <w:right w:w="0" w:type="dxa"/>
        </w:tblCellMar>
      </w:tblPr>
      <w:tr>
        <w:trPr>
          <w:trHeight w:val="228"/>
        </w:trPr>
        <w:tc>
          <w:tcPr>
            <w:tcW w:w="2080" w:type="dxa"/>
            <w:vAlign w:val="bottom"/>
          </w:tcPr>
          <w:p>
            <w:pPr>
              <w:spacing w:after="0"/>
              <w:rPr>
                <w:sz w:val="20"/>
                <w:szCs w:val="20"/>
                <w:color w:val="auto"/>
              </w:rPr>
            </w:pPr>
            <w:r>
              <w:rPr>
                <w:rFonts w:ascii="Arial" w:cs="Arial" w:eastAsia="Arial" w:hAnsi="Arial"/>
                <w:sz w:val="18"/>
                <w:szCs w:val="18"/>
                <w:b w:val="1"/>
                <w:bCs w:val="1"/>
                <w:color w:val="auto"/>
                <w:w w:val="97"/>
              </w:rPr>
              <w:t>This prospectus is dated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 2009</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80" w:type="dxa"/>
            <w:vAlign w:val="bottom"/>
            <w:gridSpan w:val="2"/>
          </w:tcPr>
          <w:p>
            <w:pPr>
              <w:jc w:val="right"/>
              <w:ind w:right="4972"/>
              <w:spacing w:after="0"/>
              <w:rPr>
                <w:sz w:val="20"/>
                <w:szCs w:val="20"/>
                <w:color w:val="auto"/>
              </w:rPr>
            </w:pPr>
            <w:r>
              <w:rPr>
                <w:rFonts w:ascii="Arial" w:cs="Arial" w:eastAsia="Arial" w:hAnsi="Arial"/>
                <w:sz w:val="18"/>
                <w:szCs w:val="18"/>
                <w:b w:val="1"/>
                <w:bCs w:val="1"/>
                <w:color w:val="auto"/>
              </w:rPr>
              <w:t>Table of Contents</w:t>
            </w:r>
          </w:p>
        </w:tc>
      </w:tr>
      <w:tr>
        <w:trPr>
          <w:trHeight w:val="35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414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1340" w:type="dxa"/>
            <w:vAlign w:val="bottom"/>
            <w:gridSpan w:val="3"/>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 Regarding Forward-Looking Statements</w:t>
              </w:r>
            </w:hyperlink>
          </w:p>
        </w:tc>
        <w:tc>
          <w:tcPr>
            <w:tcW w:w="900" w:type="dxa"/>
            <w:vAlign w:val="bottom"/>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3240" w:type="dxa"/>
            <w:vAlign w:val="bottom"/>
            <w:gridSpan w:val="11"/>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14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Securities We May Offer</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380" w:type="dxa"/>
            <w:vAlign w:val="bottom"/>
            <w:gridSpan w:val="6"/>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2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Description of Common Stock</w:t>
              </w:r>
            </w:hyperlink>
          </w:p>
        </w:tc>
        <w:tc>
          <w:tcPr>
            <w:tcW w:w="1980" w:type="dxa"/>
            <w:vAlign w:val="bottom"/>
            <w:gridSpan w:val="4"/>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4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the Warrants</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2200" w:type="dxa"/>
            <w:vAlign w:val="bottom"/>
            <w:gridSpan w:val="5"/>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2740" w:type="dxa"/>
            <w:vAlign w:val="bottom"/>
            <w:gridSpan w:val="8"/>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3160" w:type="dxa"/>
            <w:vAlign w:val="bottom"/>
            <w:gridSpan w:val="10"/>
          </w:tcPr>
          <w:p>
            <w:pPr>
              <w:spacing w:after="0"/>
              <w:rPr>
                <w:sz w:val="17"/>
                <w:szCs w:val="17"/>
                <w:color w:val="auto"/>
              </w:rPr>
            </w:pPr>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196"/>
        </w:trPr>
        <w:tc>
          <w:tcPr>
            <w:tcW w:w="4140" w:type="dxa"/>
            <w:vAlign w:val="bottom"/>
            <w:gridSpan w:val="1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Information Not Required in the Prospectus</w:t>
              </w:r>
            </w:hyperlink>
          </w:p>
        </w:tc>
        <w:tc>
          <w:tcPr>
            <w:tcW w:w="7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accompanying prospectus supplement shall constitute an offer to sell or a solicitation of an offer to buy offered securities in any jurisdiction in which it is unlawful for such person to make such an offering or solicitation. Neither the delivery of this prospectus or any accompanying prospectus supplement nor any sale made hereunder shall under any circumstances imply that the information contained or incorporated by reference in this prospectus or in any accompanying prospectus supplement is correct as of any date subsequent to the date of this prospectus or any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reports, proxy statements and other information with the Securities and Exchange Commission, or the Commission, in accordance with the Securities Exchange Act of 1934, or the Exchange Act. You may read and copy our reports, proxy statements and other information filed by us at the Public Reference Room of the Commission at 100 F Street, N.E., Washington, D.C. 20549. Please call the Commission at 1-800-SEC-0330 for further information about the Public Reference Room. Our reports, proxy statements and other information filed with the Commission are available to the public over the Internet at the Commission’s website at www.sec.gov and on our Internet website at http://www.activepower.com.</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but before the end of any offering made under this prospectus and accompanying prospectus supplement (other than current reports or portions thereof furnished under Item 2.02, 7.01 or 8.01 of Form 8-K, unless such current reports or portions thereof specifically reference their contents as being filed):</w:t>
      </w:r>
    </w:p>
    <w:p>
      <w:pPr>
        <w:spacing w:after="0" w:line="39" w:lineRule="exact"/>
        <w:rPr>
          <w:sz w:val="20"/>
          <w:szCs w:val="20"/>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3, 2009, as amended by that certain Amendment No. 1 to Form 10-K filed with the SEC on October 28, 2009;</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2009, filed with the SEC on October 27,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March 17, 2009, May 14, 2009, June 1, 2009, July 6, 2009 and October 29, 2009.</w:t>
      </w:r>
    </w:p>
    <w:p>
      <w:pPr>
        <w:spacing w:after="0" w:line="19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580" w:hanging="415"/>
        <w:spacing w:after="0"/>
        <w:tabs>
          <w:tab w:leader="none" w:pos="5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836-6464</w:t>
      </w:r>
    </w:p>
    <w:p>
      <w:pPr>
        <w:spacing w:after="0" w:line="17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5"/>
          <w:szCs w:val="15"/>
          <w:color w:val="auto"/>
        </w:rPr>
        <w:t>This prospectus is part of a registration statement that we filed on Form S-3 with the Commission, using a “shelf” registration process. Under this shelf process, we may, from time to time, sell any combination of the securities described in this prospectus in one or more offerings up to a total dollar amount of $25,000,000. This prospectus provides you with a general description of the securities we may offer. Each time we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including the risk factors, together with the additional information described under the heading “Where You Can Find More Information.”</w:t>
      </w:r>
    </w:p>
    <w:p>
      <w:pPr>
        <w:spacing w:after="0" w:line="10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THIS PROSPECTUS MAY NOT BE USED TO OFFER AND SELL SECURITIES UNLESS IT IS ACCOMPANIED BY A PROSPECTUS SUPPLEMENT</w:t>
      </w:r>
      <w:r>
        <w:rPr>
          <w:rFonts w:ascii="Arial" w:cs="Arial" w:eastAsia="Arial" w:hAnsi="Arial"/>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5, and the information to which we refer you and the information incorporated into this prospectus by reference, for a complete understanding of our business and this offering.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150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own the registered trademarks ACTIVE POWER, CLEANSOURCE and COOLAIR in the United States and abroad. The ACTIVE POWER logo is a trademark of Active Power. All other trademarks, service marks or trade names referred to in this report are the property of their respective owners.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Commission,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in our most recent Annual Report on Form 10-K and Quarterly Report on Form 10-Q and in our future filings made with the Commission. Readers are cautioned not to place undue reliance on any forward-looking statements contained herein, which reflect management’s opinions only as of the date hereof. Except as required by law, Active Power undertakes no obligation to revise or publicly release the results of any revisions to any forward-looking statements. You are advised, however, to consult any additional disclosures we have made or will make in our reports to the Commission on Forms 10-K, 10-Q and 8-K. All subsequent written and oral forward-looking statements attributable to us or persons acting on our behalf are expressly qualified in their entirety by the cautionary statements contained in this prospectus.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2008, and our Quarterly Reports for the quarterly periods ended March 31, 2009, June 30, 2009 and September 30, 2009, all of which are incorporated herein by reference, and may be amended, supplemented or superseded from time to time by other reports we file with the Commission in the future. The risks and uncertainties we have described are not the only ones we face. Additional risks and uncertainties not presently known to us or that we currently deem immaterial may also affect our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WE MAY OFFER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up to $25,000,000 of common stock and warrants in one or more offerings and in any combination thereof. A prospectus supplement, which we will provide each time we offer securities, will describe the specific amounts, prices and terms of these securities.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working capital requirements, general corporate purposes and investments in and acquisitions of complementary businesses. We may also use a portion of the net proceeds to fund possible partnerships, minority investments, products or technologies. Currently, there are no commitments or agreements regarding such acquisitions or investments that are material. Pending their ultimate use, we intend to invest the net proceeds in bank demand deposits, certificates of deposit, investments in debt securities with maturities of three months or less when purchased, and money market funds which invest primarily in U.S. government obligations and commercial paper.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the date of this prospectus, our authorized capital stock consists of 160,000,000 shares. Those shares consist of 150,000,000 shares designated as common stock, $0.001 par value per share, and 10,000,000 shares designated as preferred stock, $0.001 par value per share. The only equity securities currently outstanding are shares of common stock. As of December 15, 2009, there were 66,478,623 shares of common stock issued and outstanding.</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description summarizes the material terms of our common stock. This summary is, however, subject to the provisions of our restated certificate of incorporation and any applicable certificate of designation for a series of preferred stock, our amended bylaws, a rights agreement between us and EquiServe Trust N.A., and applicable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Subject to preferences that may be applicable to any outstanding preferred stock, the holders of common stock are entitled to receive ratably any dividends or other distributions that may be declared from time to time by the board of directors out of funds legally available for that purpose. However, we are not currently paying any dividends. In the event of our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outstanding shares of common stock are fully paid and nonassessable, and any shares of common stock to be issued upon an offering pursuant to this prospectus and the related prospectus supplement will be fully paid and nonassessable upon issuance.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The transfer agent and registrar for the common stock is American Stock Transfer &amp; Trust Company,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Provisions of Delaware law and our currently in effect restated certificate of incorporation and amended bylaws could make the acquisition of our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 of our company to first negotiate with our board of directors.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900" w:right="5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securities.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Documents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currently in effect restated certificate of incorporation provides for our board of directors to be divided into three classes serving staggered terms. Approximately one-third of the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our company and could increase the likelihood that incumbent directors will retain their positions. In accordance with our currently in effect restated certificate of incorporation, directors may be removed by the affirmative vote of the holders of the outstanding shares of common stock only with cause.</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currently in effect amended bylaws establish an advance notice procedure for stockholder proposals to be brought before an annual meeting of our stockholders, including proposed nominations of persons for election to the board of directors. At an annual meeting, stockholders may only consider proposals or nominations specified in the notice of meeting or brought before the meeting by or at the direction of the board of directors. Stockholders may also consider a proposal or nomination by a person who was a stockholder of record on the record date for the meeting, who is entitled to vote at the meeting and who has given to our Secretary timely written notice, in proper form, of his or her intention to bring that business before the meeting. The amended bylaws do not give the board of directors the power to approve or disapprove stockholder nominations of candidates or proposals regarding other business to be conducted at a special or annual meeting of the stockholders. However, our amended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amended bylaws provide that only our board of directors may call a special meeting of stockholders. Because our stockholders do not have the right to call a special meeting, a stockholder could not force stockholder consideration of a proposal over the opposition of the board of directors by calling a special meeting of stockholders prior to such time as a majority of the board of directors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meeting.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currently in effect restated certificate of incorporation does not allow stockholders to act by written consent without a meeting. Without the availability of stockholder’s actions by written consent, a holder controlling a majority of our capital stock would not be able to amend our amended bylaws or remove directors without holding a stockholders’ meeting. The holder would have to obtain the consent of a majority of the board of directors to call a stockholders’ meeting and satisfy the notice periods determined by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Its address is 59 Maiden Lane, Plaza Level, New York, New York 10038.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trading symbol ACPW.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our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will describe the terms of the warrants, including the following:</w:t>
      </w:r>
    </w:p>
    <w:p>
      <w:pPr>
        <w:spacing w:after="0" w:line="51"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the common stock that may be purchased upon exercise of the warrants;</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securities issued with the warrants will be separately transferable;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of common stock that may be purchased upon exercise of a warrant and the exercise price for the warrants;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provisions with respect to the holder’s right to require us to repurchase the warrants upon a change in control or similar event; and</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additional terms of the warrants, including procedures and limitations relating to the exchange, exercise and settlement of the warrants.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equity warrants will not be entitled to:</w:t>
      </w:r>
    </w:p>
    <w:p>
      <w:pPr>
        <w:spacing w:after="0" w:line="90"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receive notice as stockholders with respect to any meeting of stockholders for the election of our directors or any other matter; or</w:t>
      </w:r>
    </w:p>
    <w:p>
      <w:pPr>
        <w:spacing w:after="0" w:line="124" w:lineRule="exact"/>
        <w:rPr>
          <w:rFonts w:ascii="Arial" w:cs="Arial" w:eastAsia="Arial" w:hAnsi="Arial"/>
          <w:sz w:val="15"/>
          <w:szCs w:val="15"/>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any rights as stockholders of Active Power.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240" w:top="459" w:right="11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securities:</w:t>
      </w:r>
    </w:p>
    <w:p>
      <w:pPr>
        <w:spacing w:after="0" w:line="51"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or through one or more underwriters or dealers;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agents;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distribute the securities from time to time in one or more transactions:</w:t>
      </w:r>
    </w:p>
    <w:p>
      <w:pPr>
        <w:spacing w:after="0" w:line="90"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prices related to prevailing market prices;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the method of distribution of each series of securities in the applicable prospectus supplement.</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our without the involvement of agents, underwriters or dealers, utilizing the Internet (sometimes referred to as the “world wide web”) or other forms of electronic bidding or ordering systems for the pricing and allocation of such securities, you will want to pay particular attention to the description of that system we will provide in a prospectus supplement.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1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Many variations of Internet or other electronic auction or pricing and allocation systems are likely to be developed in the future as new technology evolves, and we may utilize such systems in connection with the sale of securities. The specific rules of such an auction would be described to potential bidders in a prospectus supplement. You should review carefully the auction and other rules we will describe in a prospectus supplement in order to understand and participate intelligently in the applicable offering.</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connection with underwritten offerings of securities,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59" w:lineRule="exact"/>
        <w:rPr>
          <w:sz w:val="20"/>
          <w:szCs w:val="20"/>
          <w:color w:val="auto"/>
        </w:rPr>
      </w:pPr>
    </w:p>
    <w:p>
      <w:pPr>
        <w:ind w:left="1480" w:hanging="446"/>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50" w:lineRule="exact"/>
        <w:rPr>
          <w:rFonts w:ascii="Arial" w:cs="Arial" w:eastAsia="Arial" w:hAnsi="Arial"/>
          <w:sz w:val="18"/>
          <w:szCs w:val="18"/>
          <w:color w:val="auto"/>
        </w:rPr>
      </w:pPr>
    </w:p>
    <w:p>
      <w:pPr>
        <w:ind w:left="1480" w:right="400" w:hanging="446"/>
        <w:spacing w:after="0" w:line="259"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transactions may be effected on The Nasdaq Global Market, in the over-the-counter markets or otherwise. Underwriters are not required to engage in any of these activities, or to continue the activities if commenced.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grant underwriters who participate in the distribution of securities an option to purchase additional securities to cover over-allotments, if any, in connection with the distribution.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Some securities which we may issue under this prospectus may be new issues of securities with no established trading market. Underwriters involved in the public offering and sale of these series of securities may make a market in the securities. However, they are not obligated to make a market and may discontinue market making activity at any time. No assurance can be given as to the liquidity of the trading market for any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Underwriters or agents and their associates may be customers of, engage in transactions with or perform services for us in the ordinary course of business.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required, this prospectus may be amended and supplemented from time to time to describe a specific plan of distribution.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validity of the securities offered by this prospectus will be passed upon by Wilson Sonsini Goodrich &amp; Rosati, Professional Corporation, Austin,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estimated (other than the registration fee) expenses to be paid in connection with this offering are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Printing and engraving</w:t>
            </w:r>
          </w:p>
        </w:tc>
        <w:tc>
          <w:tcPr>
            <w:tcW w:w="1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Miscellaneous</w:t>
            </w:r>
          </w:p>
        </w:tc>
        <w:tc>
          <w:tcPr>
            <w:tcW w:w="1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62,395</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restated certificate of incorporation contains provisions that eliminate, to the maximum extent permitted by the Delaware General Corporation Law, the personal liability of directors and executive officers for monetary damages for breach of their fiduciary duties as a director or officer. Our restated certificate of incorporation and amended bylaws provide that we shall indemnify our directors and executive officers and may indemnify our employees and other agents to the fullest extent permitted by the Delaware General Corporation Law.</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Sections 145 and 102(b)(7) of the Delaware General Corporation Law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have entered into indemnification agreements with our directors and executive officers, in addition to the indemnification provided for in our restated certificate of incorporation and amended bylaws, and intend to enter into indemnification agreements with any new directors and executive officers in the future.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80" w:type="dxa"/>
            <w:vAlign w:val="bottom"/>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Exhibit Title</w:t>
            </w:r>
          </w:p>
        </w:tc>
      </w:tr>
      <w:tr>
        <w:trPr>
          <w:trHeight w:val="322"/>
        </w:trPr>
        <w:tc>
          <w:tcPr>
            <w:tcW w:w="52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6160" w:type="dxa"/>
            <w:vAlign w:val="bottom"/>
            <w:gridSpan w:val="2"/>
          </w:tcPr>
          <w:p>
            <w:pPr>
              <w:ind w:left="640"/>
              <w:spacing w:after="0"/>
              <w:rPr>
                <w:sz w:val="20"/>
                <w:szCs w:val="20"/>
                <w:color w:val="auto"/>
              </w:rPr>
            </w:pPr>
            <w:r>
              <w:rPr>
                <w:rFonts w:ascii="Arial" w:cs="Arial" w:eastAsia="Arial" w:hAnsi="Arial"/>
                <w:sz w:val="18"/>
                <w:szCs w:val="18"/>
                <w:color w:val="auto"/>
              </w:rPr>
              <w:t>Form of Underwriting Agreement</w:t>
            </w:r>
          </w:p>
        </w:tc>
      </w:tr>
      <w:tr>
        <w:trPr>
          <w:trHeight w:val="365"/>
        </w:trPr>
        <w:tc>
          <w:tcPr>
            <w:tcW w:w="520" w:type="dxa"/>
            <w:vAlign w:val="bottom"/>
          </w:tcPr>
          <w:p>
            <w:pPr>
              <w:spacing w:after="0"/>
              <w:rPr>
                <w:sz w:val="24"/>
                <w:szCs w:val="24"/>
                <w:color w:val="auto"/>
              </w:rPr>
            </w:pPr>
          </w:p>
        </w:tc>
        <w:tc>
          <w:tcPr>
            <w:tcW w:w="53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Exhibit Title</w:t>
            </w:r>
          </w:p>
        </w:tc>
        <w:tc>
          <w:tcPr>
            <w:tcW w:w="4580" w:type="dxa"/>
            <w:vAlign w:val="bottom"/>
          </w:tcPr>
          <w:p>
            <w:pPr>
              <w:spacing w:after="0"/>
              <w:rPr>
                <w:sz w:val="14"/>
                <w:szCs w:val="14"/>
                <w:color w:val="auto"/>
              </w:rPr>
            </w:pPr>
          </w:p>
        </w:tc>
      </w:tr>
      <w:tr>
        <w:trPr>
          <w:trHeight w:val="322"/>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Subscription Agreement</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7"/>
              </w:rPr>
              <w:t>Restated Certificate of Incorporation (filed as Exhibit 3.1 to Active Power’s Quarterly Report on Form 10-Q filed on July 28, 2006)</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4"/>
              </w:rPr>
              <w:t>Second Amended and Restated Bylaws (filed as Exhibit 3.2 to Active Power’s Current Report on Form 8-K filed on February 2,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0"/>
              </w:rPr>
              <w:t>Amendment to Second Amended and Restated Bylaws (filed as Exhibit 3.01 to Active Power’s Current Report on 8-K filed on December 7,</w:t>
            </w:r>
          </w:p>
        </w:tc>
      </w:tr>
      <w:tr>
        <w:trPr>
          <w:trHeight w:val="222"/>
        </w:trPr>
        <w:tc>
          <w:tcPr>
            <w:tcW w:w="520" w:type="dxa"/>
            <w:vAlign w:val="bottom"/>
          </w:tcPr>
          <w:p>
            <w:pPr>
              <w:spacing w:after="0"/>
              <w:rPr>
                <w:sz w:val="19"/>
                <w:szCs w:val="19"/>
                <w:color w:val="auto"/>
              </w:rPr>
            </w:pPr>
          </w:p>
        </w:tc>
        <w:tc>
          <w:tcPr>
            <w:tcW w:w="5440" w:type="dxa"/>
            <w:vAlign w:val="bottom"/>
          </w:tcPr>
          <w:p>
            <w:pPr>
              <w:ind w:left="760"/>
              <w:spacing w:after="0"/>
              <w:rPr>
                <w:sz w:val="20"/>
                <w:szCs w:val="20"/>
                <w:color w:val="auto"/>
              </w:rPr>
            </w:pPr>
            <w:r>
              <w:rPr>
                <w:rFonts w:ascii="Arial" w:cs="Arial" w:eastAsia="Arial" w:hAnsi="Arial"/>
                <w:sz w:val="18"/>
                <w:szCs w:val="18"/>
                <w:color w:val="auto"/>
              </w:rPr>
              <w:t>2007)</w:t>
            </w:r>
          </w:p>
        </w:tc>
        <w:tc>
          <w:tcPr>
            <w:tcW w:w="78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1"/>
              </w:rPr>
              <w:t>Specimen certificate for shares of Common Stock (filed as Exhibit 4.1 to Active Power’s IPO Registration Statement on Form S-l (SEC File</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No. 333-36946))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8"/>
              </w:rPr>
              <w:t>Rights Agreement, dated as of December 13, 2001, between Active Power and EquiServe Trust N.A., which includes the form of Certificate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9"/>
              </w:rPr>
              <w:t>Designation for the Series A Junior Participating Preferred Stock as Exhibit A, the form of Rights Certificate as Exhibit B and the Summary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5"/>
              </w:rPr>
              <w:t>Rights to Purchase Series A Preferred Stock as Exhibit C (filed as Exhibit 4.1 to Active Power’s Current Report on Form 8-K filed on</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December 14,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2"/>
              </w:rPr>
              <w:t>See Exhibits 3.1, 3.2 and 3.3 for provisions of the Certificate of Incorporation and Bylaws of the registrant defining the rights of holders of</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common stock</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4.5*</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Certificate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w w:val="97"/>
              </w:rPr>
              <w:t>24.1**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Power of Attorney (filed as Exhibit 24.1 to Active Power’s Registration Statement on Form S-3 filed on November 24,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be filed by amendment or as an exhibit to a report pursuant to Section 13(a) or 15(d) of the Securities Exchange Act of 1934, as amended, 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incorporated herein by reference.</w:t>
      </w:r>
    </w:p>
    <w:p>
      <w:pPr>
        <w:spacing w:after="0" w:line="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Active Power hereby undertakes: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480" w:hanging="567"/>
        <w:spacing w:after="0" w:line="290" w:lineRule="auto"/>
        <w:tabs>
          <w:tab w:leader="none" w:pos="148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2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150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1"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480" w:right="20" w:hanging="567"/>
        <w:spacing w:after="0" w:line="286"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w:t>
      </w:r>
    </w:p>
    <w:p>
      <w:pPr>
        <w:spacing w:after="0" w:line="46"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be the undersigned registrant;</w:t>
      </w:r>
    </w:p>
    <w:p>
      <w:pPr>
        <w:spacing w:after="0" w:line="5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61" w:lineRule="exact"/>
        <w:rPr>
          <w:rFonts w:ascii="Arial" w:cs="Arial" w:eastAsia="Arial" w:hAnsi="Arial"/>
          <w:sz w:val="18"/>
          <w:szCs w:val="18"/>
          <w:color w:val="auto"/>
        </w:rPr>
      </w:pPr>
    </w:p>
    <w:p>
      <w:pPr>
        <w:ind w:left="460" w:hanging="452"/>
        <w:spacing w:after="0" w:line="289"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17th day of December,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tabs>
          <w:tab w:leader="none" w:pos="826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14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580" w:type="dxa"/>
            <w:vAlign w:val="bottom"/>
          </w:tcPr>
          <w:p>
            <w:pPr>
              <w:spacing w:after="0"/>
              <w:rPr>
                <w:sz w:val="14"/>
                <w:szCs w:val="14"/>
                <w:color w:val="auto"/>
              </w:rPr>
            </w:pPr>
          </w:p>
        </w:tc>
        <w:tc>
          <w:tcPr>
            <w:tcW w:w="4300" w:type="dxa"/>
            <w:vAlign w:val="bottom"/>
            <w:gridSpan w:val="3"/>
          </w:tcPr>
          <w:p>
            <w:pPr>
              <w:ind w:left="1860"/>
              <w:spacing w:after="0"/>
              <w:rPr>
                <w:sz w:val="20"/>
                <w:szCs w:val="20"/>
                <w:color w:val="auto"/>
              </w:rPr>
            </w:pPr>
            <w:r>
              <w:rPr>
                <w:rFonts w:ascii="Arial" w:cs="Arial" w:eastAsia="Arial" w:hAnsi="Arial"/>
                <w:sz w:val="14"/>
                <w:szCs w:val="14"/>
                <w:b w:val="1"/>
                <w:bCs w:val="1"/>
                <w:color w:val="auto"/>
              </w:rPr>
              <w:t>Title</w:t>
            </w:r>
          </w:p>
        </w:tc>
        <w:tc>
          <w:tcPr>
            <w:tcW w:w="1360" w:type="dxa"/>
            <w:vAlign w:val="bottom"/>
          </w:tcPr>
          <w:p>
            <w:pPr>
              <w:spacing w:after="0"/>
              <w:rPr>
                <w:sz w:val="14"/>
                <w:szCs w:val="14"/>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4"/>
        </w:trPr>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A. C</w:t>
            </w:r>
            <w:r>
              <w:rPr>
                <w:rFonts w:ascii="Arial" w:cs="Arial" w:eastAsia="Arial" w:hAnsi="Arial"/>
                <w:sz w:val="14"/>
                <w:szCs w:val="14"/>
                <w:color w:val="auto"/>
                <w:w w:val="99"/>
              </w:rPr>
              <w:t>LISHEM</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1180" w:type="dxa"/>
            <w:vAlign w:val="bottom"/>
          </w:tcPr>
          <w:p>
            <w:pPr>
              <w:spacing w:after="0"/>
              <w:rPr>
                <w:sz w:val="18"/>
                <w:szCs w:val="18"/>
                <w:color w:val="auto"/>
              </w:rPr>
            </w:pPr>
          </w:p>
        </w:tc>
        <w:tc>
          <w:tcPr>
            <w:tcW w:w="260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5"/>
              </w:rPr>
              <w:t>James A. Clishem</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 (Principal</w:t>
            </w:r>
          </w:p>
        </w:tc>
        <w:tc>
          <w:tcPr>
            <w:tcW w:w="2200" w:type="dxa"/>
            <w:vAlign w:val="bottom"/>
            <w:gridSpan w:val="3"/>
          </w:tcPr>
          <w:p>
            <w:pPr>
              <w:jc w:val="center"/>
              <w:ind w:left="732"/>
              <w:spacing w:after="0"/>
              <w:rPr>
                <w:sz w:val="20"/>
                <w:szCs w:val="20"/>
                <w:color w:val="auto"/>
              </w:rPr>
            </w:pPr>
            <w:r>
              <w:rPr>
                <w:rFonts w:ascii="Arial" w:cs="Arial" w:eastAsia="Arial" w:hAnsi="Arial"/>
                <w:sz w:val="18"/>
                <w:szCs w:val="18"/>
                <w:color w:val="auto"/>
                <w:w w:val="87"/>
              </w:rPr>
              <w:t>December 17, 2009</w:t>
            </w:r>
          </w:p>
        </w:tc>
      </w:tr>
      <w:tr>
        <w:trPr>
          <w:trHeight w:val="222"/>
        </w:trPr>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color w:val="auto"/>
              </w:rPr>
              <w:t>Executive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2"/>
        </w:trPr>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K. P</w:t>
            </w:r>
            <w:r>
              <w:rPr>
                <w:rFonts w:ascii="Arial" w:cs="Arial" w:eastAsia="Arial" w:hAnsi="Arial"/>
                <w:sz w:val="14"/>
                <w:szCs w:val="14"/>
                <w:color w:val="auto"/>
                <w:w w:val="97"/>
              </w:rPr>
              <w:t>ENVER</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1180" w:type="dxa"/>
            <w:vAlign w:val="bottom"/>
          </w:tcPr>
          <w:p>
            <w:pPr>
              <w:spacing w:after="0"/>
              <w:rPr>
                <w:sz w:val="18"/>
                <w:szCs w:val="18"/>
                <w:color w:val="auto"/>
              </w:rPr>
            </w:pPr>
          </w:p>
        </w:tc>
        <w:tc>
          <w:tcPr>
            <w:tcW w:w="260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8"/>
              </w:rPr>
              <w:t>John K. Penver</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2200" w:type="dxa"/>
            <w:vAlign w:val="bottom"/>
            <w:gridSpan w:val="3"/>
          </w:tcPr>
          <w:p>
            <w:pPr>
              <w:jc w:val="center"/>
              <w:ind w:left="732"/>
              <w:spacing w:after="0"/>
              <w:rPr>
                <w:sz w:val="20"/>
                <w:szCs w:val="20"/>
                <w:color w:val="auto"/>
              </w:rPr>
            </w:pPr>
            <w:r>
              <w:rPr>
                <w:rFonts w:ascii="Arial" w:cs="Arial" w:eastAsia="Arial" w:hAnsi="Arial"/>
                <w:sz w:val="18"/>
                <w:szCs w:val="18"/>
                <w:color w:val="auto"/>
                <w:w w:val="87"/>
              </w:rPr>
              <w:t>December 17, 2009</w:t>
            </w:r>
          </w:p>
        </w:tc>
      </w:tr>
      <w:tr>
        <w:trPr>
          <w:trHeight w:val="222"/>
        </w:trPr>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color w:val="auto"/>
              </w:rPr>
              <w:t>Accounting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2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180" w:type="dxa"/>
            <w:vAlign w:val="bottom"/>
          </w:tcPr>
          <w:p>
            <w:pPr>
              <w:spacing w:after="0"/>
              <w:rPr>
                <w:sz w:val="19"/>
                <w:szCs w:val="19"/>
                <w:color w:val="auto"/>
              </w:rPr>
            </w:pPr>
          </w:p>
        </w:tc>
        <w:tc>
          <w:tcPr>
            <w:tcW w:w="260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9"/>
              </w:rPr>
              <w:t>Benjamin L. Scott</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2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180" w:type="dxa"/>
            <w:vAlign w:val="bottom"/>
          </w:tcPr>
          <w:p>
            <w:pPr>
              <w:spacing w:after="0"/>
              <w:rPr>
                <w:sz w:val="19"/>
                <w:szCs w:val="19"/>
                <w:color w:val="auto"/>
              </w:rPr>
            </w:pPr>
          </w:p>
        </w:tc>
        <w:tc>
          <w:tcPr>
            <w:tcW w:w="260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0"/>
              </w:rPr>
              <w:t>Ake Almgren</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2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180" w:type="dxa"/>
            <w:vAlign w:val="bottom"/>
          </w:tcPr>
          <w:p>
            <w:pPr>
              <w:spacing w:after="0"/>
              <w:rPr>
                <w:sz w:val="19"/>
                <w:szCs w:val="19"/>
                <w:color w:val="auto"/>
              </w:rPr>
            </w:pPr>
          </w:p>
        </w:tc>
        <w:tc>
          <w:tcPr>
            <w:tcW w:w="260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6"/>
              </w:rPr>
              <w:t>Rodney S. Bond</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32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180" w:type="dxa"/>
            <w:vAlign w:val="bottom"/>
          </w:tcPr>
          <w:p>
            <w:pPr>
              <w:spacing w:after="0"/>
              <w:rPr>
                <w:sz w:val="19"/>
                <w:szCs w:val="19"/>
                <w:color w:val="auto"/>
              </w:rPr>
            </w:pPr>
          </w:p>
        </w:tc>
        <w:tc>
          <w:tcPr>
            <w:tcW w:w="260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9"/>
              </w:rPr>
              <w:t>James E. deVenny III</w:t>
            </w: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65"/>
        </w:trPr>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gridSpan w:val="2"/>
          </w:tcPr>
          <w:p>
            <w:pPr>
              <w:ind w:left="1840"/>
              <w:spacing w:after="0"/>
              <w:rPr>
                <w:sz w:val="20"/>
                <w:szCs w:val="20"/>
                <w:color w:val="auto"/>
              </w:rPr>
            </w:pPr>
            <w:r>
              <w:rPr>
                <w:rFonts w:ascii="Arial" w:cs="Arial" w:eastAsia="Arial" w:hAnsi="Arial"/>
                <w:sz w:val="18"/>
                <w:szCs w:val="18"/>
                <w:color w:val="auto"/>
              </w:rPr>
              <w:t>18</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620"/>
        <w:spacing w:after="0"/>
        <w:tabs>
          <w:tab w:leader="none" w:pos="5620" w:val="left"/>
          <w:tab w:leader="none" w:pos="94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2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w w:val="87"/>
              </w:rPr>
              <w:t>Robert S. Greenberg</w:t>
            </w:r>
          </w:p>
        </w:tc>
        <w:tc>
          <w:tcPr>
            <w:tcW w:w="60" w:type="dxa"/>
            <w:vAlign w:val="bottom"/>
          </w:tcPr>
          <w:p>
            <w:pPr>
              <w:spacing w:after="0"/>
              <w:rPr>
                <w:sz w:val="19"/>
                <w:szCs w:val="19"/>
                <w:color w:val="auto"/>
              </w:rPr>
            </w:pPr>
          </w:p>
        </w:tc>
        <w:tc>
          <w:tcPr>
            <w:tcW w:w="62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r>
        <w:trPr>
          <w:trHeight w:val="432"/>
        </w:trPr>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28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23"/>
        </w:trPr>
        <w:tc>
          <w:tcPr>
            <w:tcW w:w="360" w:type="dxa"/>
            <w:vAlign w:val="bottom"/>
          </w:tcPr>
          <w:p>
            <w:pPr>
              <w:spacing w:after="0"/>
              <w:rPr>
                <w:sz w:val="19"/>
                <w:szCs w:val="19"/>
                <w:color w:val="auto"/>
              </w:rPr>
            </w:pPr>
          </w:p>
        </w:tc>
        <w:tc>
          <w:tcPr>
            <w:tcW w:w="3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Jan H. Lindelow</w:t>
            </w:r>
          </w:p>
        </w:tc>
        <w:tc>
          <w:tcPr>
            <w:tcW w:w="62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r>
      <w:tr>
        <w:trPr>
          <w:trHeight w:val="63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tc>
        <w:tc>
          <w:tcPr>
            <w:tcW w:w="1780" w:type="dxa"/>
            <w:vAlign w:val="bottom"/>
            <w:tcBorders>
              <w:bottom w:val="single" w:sz="8" w:color="auto"/>
            </w:tcBorders>
          </w:tcPr>
          <w:p>
            <w:pPr>
              <w:spacing w:after="0"/>
              <w:rPr>
                <w:sz w:val="24"/>
                <w:szCs w:val="24"/>
                <w:color w:val="auto"/>
              </w:rPr>
            </w:pPr>
          </w:p>
        </w:tc>
        <w:tc>
          <w:tcPr>
            <w:tcW w:w="4500" w:type="dxa"/>
            <w:vAlign w:val="bottom"/>
          </w:tcPr>
          <w:p>
            <w:pPr>
              <w:ind w:left="3120"/>
              <w:spacing w:after="0"/>
              <w:rPr>
                <w:sz w:val="20"/>
                <w:szCs w:val="20"/>
                <w:color w:val="auto"/>
              </w:rPr>
            </w:pPr>
            <w:r>
              <w:rPr>
                <w:rFonts w:ascii="Arial" w:cs="Arial" w:eastAsia="Arial" w:hAnsi="Arial"/>
                <w:sz w:val="18"/>
                <w:szCs w:val="18"/>
                <w:color w:val="auto"/>
                <w:w w:val="86"/>
              </w:rPr>
              <w:t>December 17, 2009</w:t>
            </w:r>
          </w:p>
        </w:tc>
      </w:tr>
      <w:tr>
        <w:trPr>
          <w:trHeight w:val="130"/>
        </w:trPr>
        <w:tc>
          <w:tcPr>
            <w:tcW w:w="360" w:type="dxa"/>
            <w:vAlign w:val="bottom"/>
          </w:tcPr>
          <w:p>
            <w:pPr>
              <w:spacing w:after="0"/>
              <w:rPr>
                <w:sz w:val="11"/>
                <w:szCs w:val="11"/>
                <w:color w:val="auto"/>
              </w:rPr>
            </w:pPr>
          </w:p>
        </w:tc>
        <w:tc>
          <w:tcPr>
            <w:tcW w:w="3480" w:type="dxa"/>
            <w:vAlign w:val="bottom"/>
            <w:gridSpan w:val="2"/>
          </w:tcPr>
          <w:p>
            <w:pPr>
              <w:jc w:val="center"/>
              <w:ind w:left="1826"/>
              <w:spacing w:after="0" w:line="131" w:lineRule="exact"/>
              <w:rPr>
                <w:sz w:val="20"/>
                <w:szCs w:val="20"/>
                <w:color w:val="auto"/>
              </w:rPr>
            </w:pPr>
            <w:r>
              <w:rPr>
                <w:rFonts w:ascii="Arial" w:cs="Arial" w:eastAsia="Arial" w:hAnsi="Arial"/>
                <w:sz w:val="14"/>
                <w:szCs w:val="14"/>
                <w:b w:val="1"/>
                <w:bCs w:val="1"/>
                <w:color w:val="auto"/>
                <w:w w:val="85"/>
              </w:rPr>
              <w:t>James A. Clishem</w:t>
            </w:r>
          </w:p>
        </w:tc>
        <w:tc>
          <w:tcPr>
            <w:tcW w:w="1780" w:type="dxa"/>
            <w:vAlign w:val="bottom"/>
          </w:tcPr>
          <w:p>
            <w:pPr>
              <w:spacing w:after="0"/>
              <w:rPr>
                <w:sz w:val="11"/>
                <w:szCs w:val="11"/>
                <w:color w:val="auto"/>
              </w:rPr>
            </w:pPr>
          </w:p>
        </w:tc>
        <w:tc>
          <w:tcPr>
            <w:tcW w:w="4500" w:type="dxa"/>
            <w:vAlign w:val="bottom"/>
          </w:tcPr>
          <w:p>
            <w:pPr>
              <w:spacing w:after="0"/>
              <w:rPr>
                <w:sz w:val="11"/>
                <w:szCs w:val="11"/>
                <w:color w:val="auto"/>
              </w:rPr>
            </w:pPr>
          </w:p>
        </w:tc>
      </w:tr>
      <w:tr>
        <w:trPr>
          <w:trHeight w:val="174"/>
        </w:trPr>
        <w:tc>
          <w:tcPr>
            <w:tcW w:w="360" w:type="dxa"/>
            <w:vAlign w:val="bottom"/>
          </w:tcPr>
          <w:p>
            <w:pPr>
              <w:spacing w:after="0"/>
              <w:rPr>
                <w:sz w:val="15"/>
                <w:szCs w:val="15"/>
                <w:color w:val="auto"/>
              </w:rPr>
            </w:pPr>
          </w:p>
        </w:tc>
        <w:tc>
          <w:tcPr>
            <w:tcW w:w="3480" w:type="dxa"/>
            <w:vAlign w:val="bottom"/>
            <w:gridSpan w:val="2"/>
          </w:tcPr>
          <w:p>
            <w:pPr>
              <w:jc w:val="center"/>
              <w:ind w:left="1826"/>
              <w:spacing w:after="0"/>
              <w:rPr>
                <w:sz w:val="20"/>
                <w:szCs w:val="20"/>
                <w:color w:val="auto"/>
              </w:rPr>
            </w:pPr>
            <w:r>
              <w:rPr>
                <w:rFonts w:ascii="Arial" w:cs="Arial" w:eastAsia="Arial" w:hAnsi="Arial"/>
                <w:sz w:val="14"/>
                <w:szCs w:val="14"/>
                <w:b w:val="1"/>
                <w:bCs w:val="1"/>
                <w:color w:val="auto"/>
                <w:w w:val="88"/>
              </w:rPr>
              <w:t>Attorney in Fact</w:t>
            </w:r>
          </w:p>
        </w:tc>
        <w:tc>
          <w:tcPr>
            <w:tcW w:w="1780" w:type="dxa"/>
            <w:vAlign w:val="bottom"/>
          </w:tcPr>
          <w:p>
            <w:pPr>
              <w:spacing w:after="0"/>
              <w:rPr>
                <w:sz w:val="15"/>
                <w:szCs w:val="15"/>
                <w:color w:val="auto"/>
              </w:rPr>
            </w:pPr>
          </w:p>
        </w:tc>
        <w:tc>
          <w:tcPr>
            <w:tcW w:w="4500" w:type="dxa"/>
            <w:vAlign w:val="bottom"/>
          </w:tcPr>
          <w:p>
            <w:pPr>
              <w:spacing w:after="0"/>
              <w:rPr>
                <w:sz w:val="15"/>
                <w:szCs w:val="15"/>
                <w:color w:val="auto"/>
              </w:rPr>
            </w:pPr>
          </w:p>
        </w:tc>
      </w:tr>
    </w:tbl>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00" w:type="dxa"/>
            <w:vAlign w:val="bottom"/>
            <w:gridSpan w:val="3"/>
          </w:tcPr>
          <w:p>
            <w:pPr>
              <w:ind w:left="46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Exhibit Title</w:t>
            </w:r>
          </w:p>
        </w:tc>
        <w:tc>
          <w:tcPr>
            <w:tcW w:w="4580" w:type="dxa"/>
            <w:vAlign w:val="bottom"/>
          </w:tcPr>
          <w:p>
            <w:pPr>
              <w:spacing w:after="0"/>
              <w:rPr>
                <w:sz w:val="14"/>
                <w:szCs w:val="14"/>
                <w:color w:val="auto"/>
              </w:rPr>
            </w:pPr>
          </w:p>
        </w:tc>
      </w:tr>
      <w:tr>
        <w:trPr>
          <w:trHeight w:val="322"/>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Subscription Agreement</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7"/>
              </w:rPr>
              <w:t>Restated Certificate of Incorporation (filed as Exhibit 3.1 to Active Power’s Quarterly Report on Form 10-Q filed on July 28, 2006)</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4"/>
              </w:rPr>
              <w:t>Second Amended and Restated Bylaws (filed as Exhibit 3.2 to Active Power’s Current Report on Form 8-K filed on February 2, 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0"/>
              </w:rPr>
              <w:t>Amendment to Second Amended and Restated Bylaws (filed as Exhibit 3.01 to Active Power’s Current Report on 8-K filed on December 7,</w:t>
            </w:r>
          </w:p>
        </w:tc>
      </w:tr>
      <w:tr>
        <w:trPr>
          <w:trHeight w:val="222"/>
        </w:trPr>
        <w:tc>
          <w:tcPr>
            <w:tcW w:w="520" w:type="dxa"/>
            <w:vAlign w:val="bottom"/>
          </w:tcPr>
          <w:p>
            <w:pPr>
              <w:spacing w:after="0"/>
              <w:rPr>
                <w:sz w:val="19"/>
                <w:szCs w:val="19"/>
                <w:color w:val="auto"/>
              </w:rPr>
            </w:pPr>
          </w:p>
        </w:tc>
        <w:tc>
          <w:tcPr>
            <w:tcW w:w="5440" w:type="dxa"/>
            <w:vAlign w:val="bottom"/>
          </w:tcPr>
          <w:p>
            <w:pPr>
              <w:ind w:left="760"/>
              <w:spacing w:after="0"/>
              <w:rPr>
                <w:sz w:val="20"/>
                <w:szCs w:val="20"/>
                <w:color w:val="auto"/>
              </w:rPr>
            </w:pPr>
            <w:r>
              <w:rPr>
                <w:rFonts w:ascii="Arial" w:cs="Arial" w:eastAsia="Arial" w:hAnsi="Arial"/>
                <w:sz w:val="18"/>
                <w:szCs w:val="18"/>
                <w:color w:val="auto"/>
              </w:rPr>
              <w:t>2007)</w:t>
            </w:r>
          </w:p>
        </w:tc>
        <w:tc>
          <w:tcPr>
            <w:tcW w:w="78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1"/>
              </w:rPr>
              <w:t>Specimen certificate for shares of Common Stock (filed as Exhibit 4.1 to Active Power’s IPO Registration Statement on Form S-l (SEC File</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No. 333-36946))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8"/>
              </w:rPr>
              <w:t>Rights Agreement, dated as of December 13, 2001, between Active Power and EquiServe Trust N.A., which includes the form of Certificate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89"/>
              </w:rPr>
              <w:t>Designation for the Series A Junior Participating Preferred Stock as Exhibit A, the form of Rights Certificate as Exhibit B and the Summary of</w:t>
            </w:r>
          </w:p>
        </w:tc>
      </w:tr>
      <w:tr>
        <w:trPr>
          <w:trHeight w:val="216"/>
        </w:trPr>
        <w:tc>
          <w:tcPr>
            <w:tcW w:w="520" w:type="dxa"/>
            <w:vAlign w:val="bottom"/>
          </w:tcPr>
          <w:p>
            <w:pPr>
              <w:spacing w:after="0"/>
              <w:rPr>
                <w:sz w:val="18"/>
                <w:szCs w:val="18"/>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5"/>
              </w:rPr>
              <w:t>Rights to Purchase Series A Preferred Stock as Exhibit C (filed as Exhibit 4.1 to Active Power’s Current Report on Form 8-K filed on</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December 14, 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w w:val="92"/>
              </w:rPr>
              <w:t>See Exhibits 3.1, 3.2 and 3.3 for provisions of the Certificate of Incorporation and Bylaws of the registrant defining the rights of holders of</w:t>
            </w:r>
          </w:p>
        </w:tc>
      </w:tr>
      <w:tr>
        <w:trPr>
          <w:trHeight w:val="222"/>
        </w:trPr>
        <w:tc>
          <w:tcPr>
            <w:tcW w:w="520" w:type="dxa"/>
            <w:vAlign w:val="bottom"/>
          </w:tcPr>
          <w:p>
            <w:pPr>
              <w:spacing w:after="0"/>
              <w:rPr>
                <w:sz w:val="19"/>
                <w:szCs w:val="19"/>
                <w:color w:val="auto"/>
              </w:rPr>
            </w:pP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common stock</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4.5*</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Form of Warrant Certificate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w w:val="97"/>
              </w:rPr>
              <w:t>24.1**</w:t>
            </w:r>
          </w:p>
        </w:tc>
        <w:tc>
          <w:tcPr>
            <w:tcW w:w="10800" w:type="dxa"/>
            <w:vAlign w:val="bottom"/>
            <w:gridSpan w:val="3"/>
          </w:tcPr>
          <w:p>
            <w:pPr>
              <w:ind w:left="760"/>
              <w:spacing w:after="0"/>
              <w:rPr>
                <w:sz w:val="20"/>
                <w:szCs w:val="20"/>
                <w:color w:val="auto"/>
              </w:rPr>
            </w:pPr>
            <w:r>
              <w:rPr>
                <w:rFonts w:ascii="Arial" w:cs="Arial" w:eastAsia="Arial" w:hAnsi="Arial"/>
                <w:sz w:val="18"/>
                <w:szCs w:val="18"/>
                <w:color w:val="auto"/>
              </w:rPr>
              <w:t>Power of Attorney (filed as Exhibit 24.1 to Active Power’s Registration Statement on Form S-3 filed on November 24,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be filed by amendment or as an exhibit to a report pursuant to Section 13(a) or 15(d) of the Securities Exchange Act of 1934, as amended, 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incorporated herein by reference.</w:t>
      </w:r>
    </w:p>
    <w:p>
      <w:pPr>
        <w:spacing w:after="0" w:line="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ectPr>
          <w:pgSz w:w="11900" w:h="16838" w:orient="portrait"/>
          <w:cols w:equalWidth="0" w:num="1">
            <w:col w:w="11320"/>
          </w:cols>
          <w:pgMar w:left="240" w:top="459"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17,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Active Power, Inc. — Registration Statement on Form S-3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have acted as counsel to Active Power, Inc., a Delaware corporation (the “Company”), in connection with the filing of a registration statement under the Securities Act of 1933, as amended (the “Act”) on Form S-3 (the “Registration Statement”) with the Securities and Exchange Commission (the “Commission”). The Registration Statement relates to the proposed issuance and sale, from time to time, pursuant to Rule 415 under the Act, as set forth in the Registration Statement, the prospectus contained therein (the “Prospectus”) and the supplements to the Prospectus referred to therein (each a “Prospectus Supplement”), of up to an aggregate offering price of $25,000,000, or the equivalent thereof, of shares of the Company’s common stock, $0.001 par value per share (the “Common Stock”) and warrants to purchase shares of Common Stock (the “Warrants”). The Common Stock and the Warrants are collectively referred to herein as the “Securities.”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Securities are to be sold from time to time as set forth in the Registration Statement, the Prospectus contained therein and the Prospectus Supplements. The Securities are to be sold pursuant to a purchase, underwriting or similar agreement in substantially the form to be filed as exhibits to, or incorporated by reference in, the Registration Statement.</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examined instruments, documents, certificates and records which we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records, documents, instruments and certificates we have reviewed; (d) the Registration Statement, and any amendments thereto (including post-effective amendments), will have become effective under the Act; (e) a Prospectus Supplement will have been filed with the Commission describing the securities offered thereby; (f) all securities will be issued and sold in compliance with applicable federal and state securities laws and in the manner stated in the Registration Statement and the applicable prospectus supplement; (g) a definitive purchase, underwriting or similar</w:t>
      </w:r>
    </w:p>
    <w:p>
      <w:pPr>
        <w:sectPr>
          <w:pgSz w:w="11900" w:h="16838" w:orient="portrait"/>
          <w:cols w:equalWidth="0" w:num="1">
            <w:col w:w="11420"/>
          </w:cols>
          <w:pgMar w:left="240" w:top="1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agreement with respect to any securities offered will have been duly authorized and validly executed and delivered by the Company and the other parties thereto;</w:t>
      </w:r>
    </w:p>
    <w:p>
      <w:pPr>
        <w:spacing w:after="0" w:line="50" w:lineRule="exact"/>
        <w:rPr>
          <w:sz w:val="20"/>
          <w:szCs w:val="20"/>
          <w:color w:val="auto"/>
        </w:rPr>
      </w:pPr>
    </w:p>
    <w:p>
      <w:pPr>
        <w:ind w:right="40" w:firstLine="8"/>
        <w:spacing w:after="0" w:line="302"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securities issuable upon conversion, exchange or exercise of any securities being offered will be duly authorized, created and, if appropriate, reserved for issuance upon such conversion, exchange or exercise; and (i) with respect to shares of Common Stock offered, there will be sufficient shares of Common Stock authorized under the Company’s organizational documents and not otherwise reserved for issuance.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such examination, we are of the opinion that:</w:t>
      </w:r>
    </w:p>
    <w:p>
      <w:pPr>
        <w:spacing w:after="0" w:line="90" w:lineRule="exact"/>
        <w:rPr>
          <w:sz w:val="20"/>
          <w:szCs w:val="20"/>
          <w:color w:val="auto"/>
        </w:rPr>
      </w:pPr>
    </w:p>
    <w:p>
      <w:pPr>
        <w:ind w:firstLine="464"/>
        <w:spacing w:after="0" w:line="253"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shares of Common Stock, when both: (a) the Board of Directors of the Company or a duly constituted and acting committee thereof (such Board of Directors or committee being hereinafter referred to as the “Board”) has taken all necessary corporate action to approve the issuance of and the terms of the offering of the shares of Common Stock and related matters; and (b) shares of Common Stock have been duly issued, sold and delivered in accordance with the applicable definitive purchase, underwriting or similar agreement approved by the Board, or upon the exercise of Warrants, upon payment of the consideration therefor (not less than the par value of the Common Stock) provided for therein, in each case as described in the Registration Statement, any amendment thereto, the Prospectus and any Prospectus Supplement relating thereto, then the shares of Common Stock will be validly issued, fully paid and nonassessable; and</w:t>
      </w:r>
    </w:p>
    <w:p>
      <w:pPr>
        <w:spacing w:after="0" w:line="147" w:lineRule="exact"/>
        <w:rPr>
          <w:rFonts w:ascii="Arial" w:cs="Arial" w:eastAsia="Arial" w:hAnsi="Arial"/>
          <w:sz w:val="18"/>
          <w:szCs w:val="18"/>
          <w:color w:val="auto"/>
        </w:rPr>
      </w:pPr>
    </w:p>
    <w:p>
      <w:pPr>
        <w:ind w:right="20" w:firstLine="464"/>
        <w:spacing w:after="0" w:line="291"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 respect to the Warrants, when both: (a) the Board has taken all necessary corporate action to approve the issuance of and the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and the certificates for the Warrants have been duly executed and delivered by the Company and such warrant agent, in each case as described in the Registration Statement, any amendment thereto, the Prospectus and any Prospectus Supplement relating thereto, then the Warrants will be validly issued and will constitute valid and binding obligations of the Company, enforceable against the Company in accordance with their terms.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90" w:lineRule="exact"/>
        <w:rPr>
          <w:sz w:val="20"/>
          <w:szCs w:val="20"/>
          <w:color w:val="auto"/>
        </w:rPr>
      </w:pPr>
    </w:p>
    <w:p>
      <w:pPr>
        <w:ind w:right="340" w:firstLine="921"/>
        <w:spacing w:after="0" w:line="268" w:lineRule="auto"/>
        <w:tabs>
          <w:tab w:leader="none" w:pos="11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ectPr>
          <w:pgSz w:w="11900" w:h="16838" w:orient="portrait"/>
          <w:cols w:equalWidth="0" w:num="1">
            <w:col w:w="11340"/>
          </w:cols>
          <w:pgMar w:left="240" w:top="280"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1160" w:hanging="23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171" w:lineRule="exact"/>
        <w:rPr>
          <w:rFonts w:ascii="Arial" w:cs="Arial" w:eastAsia="Arial" w:hAnsi="Arial"/>
          <w:sz w:val="18"/>
          <w:szCs w:val="18"/>
          <w:color w:val="auto"/>
        </w:rPr>
      </w:pPr>
    </w:p>
    <w:p>
      <w:pPr>
        <w:jc w:val="both"/>
        <w:ind w:right="280" w:firstLine="921"/>
        <w:spacing w:after="0" w:line="259" w:lineRule="auto"/>
        <w:tabs>
          <w:tab w:leader="none" w:pos="11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Attorneys at our Firm are admitted to the practice of law in the State of Texas, and we express no opinion as to the laws of any other jurisdiction, other than the Federal laws of the United States of America and the General Corporation Law of the State of Delaware (the “DGCL”). We are not licensed to practice law in the State of Delaware and, accordingly, our opinions as to the DGCL are based solely on a review of the official statutes of the State of Delaware and the applicable provisions of the Delaware Constitution and the reported judicial decisions interpreting such statutes and provisions.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00"/>
          </w:cols>
          <w:pgMar w:left="240" w:top="280"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Amendment No. 1 to the Registration Statement (Form S-3 No. 333-163301) and related Preliminary Prospectus of Active Power, Inc. for the registration of common stock and warrants and to the incorporation by reference therein of our reports dated February 27, 2009, with respect to the consolidated financial statements of Active Power, Inc., and the effectiveness of internal control over financial reporting of Active Power, Inc., included in its Annual Report (Form 10-K) for the year ended December 31, 2008, filed with the Securities and Exchange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17,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51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436C6125"/>
    <w:multiLevelType w:val="hybridMultilevel"/>
    <w:lvl w:ilvl="0">
      <w:lvlJc w:val="left"/>
      <w:lvlText w:val="%1"/>
      <w:numFmt w:val="decimal"/>
      <w:start w:val="1"/>
    </w:lvl>
    <w:lvl w:ilvl="1">
      <w:lvlJc w:val="left"/>
      <w:lvlText w:val="(%2)"/>
      <w:numFmt w:val="lowerRoman"/>
      <w:start w:val="3"/>
    </w:lvl>
  </w:abstractNum>
  <w:abstractNum w:abstractNumId="16">
    <w:nsid w:val="628C895D"/>
    <w:multiLevelType w:val="hybridMultilevel"/>
    <w:lvl w:ilvl="0">
      <w:lvlJc w:val="left"/>
      <w:lvlText w:val="(%1)"/>
      <w:numFmt w:val="decimal"/>
      <w:start w:val="2"/>
    </w:lvl>
    <w:lvl w:ilvl="1">
      <w:lvlJc w:val="left"/>
      <w:lvlText w:val="(%2)"/>
      <w:numFmt w:val="lowerRoman"/>
      <w:start w:val="1"/>
    </w:lvl>
  </w:abstractNum>
  <w:abstractNum w:abstractNumId="17">
    <w:nsid w:val="333AB105"/>
    <w:multiLevelType w:val="hybridMultilevel"/>
    <w:lvl w:ilvl="0">
      <w:lvlJc w:val="left"/>
      <w:lvlText w:val="%1"/>
      <w:numFmt w:val="lowerLetter"/>
      <w:start w:val="1"/>
    </w:lvl>
    <w:lvl w:ilvl="1">
      <w:lvlJc w:val="left"/>
      <w:lvlText w:val="(%2)"/>
      <w:numFmt w:val="lowerRoman"/>
      <w:start w:val="2"/>
    </w:lvl>
  </w:abstractNum>
  <w:abstractNum w:abstractNumId="18">
    <w:nsid w:val="721DA317"/>
    <w:multiLevelType w:val="hybridMultilevel"/>
    <w:lvl w:ilvl="0">
      <w:lvlJc w:val="left"/>
      <w:lvlText w:val="(%1)"/>
      <w:numFmt w:val="lowerLetter"/>
      <w:start w:val="2"/>
    </w:lvl>
    <w:lvl w:ilvl="1">
      <w:lvlJc w:val="left"/>
      <w:lvlText w:val="%2"/>
      <w:numFmt w:val="lowerRoman"/>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8"/>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2019-12-10T14:55:40Z</dcterms:created>
  <dcterms:modified xsi:type="dcterms:W3CDTF">2019-12-10T14:55:40Z</dcterms:modified>
</cp:coreProperties>
</file>