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460" w:right="1800" w:hanging="452"/>
        <w:spacing w:after="0" w:line="422"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2004</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460"/>
        <w:spacing w:after="0"/>
        <w:tabs>
          <w:tab w:leader="none" w:pos="4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w:t>
      </w:r>
    </w:p>
    <w:p>
      <w:pPr>
        <w:spacing w:after="0" w:line="12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6380" w:type="dxa"/>
            <w:vAlign w:val="bottom"/>
          </w:tcPr>
          <w:p>
            <w:pPr>
              <w:jc w:val="center"/>
              <w:ind w:right="2804"/>
              <w:spacing w:after="0"/>
              <w:rPr>
                <w:sz w:val="20"/>
                <w:szCs w:val="20"/>
                <w:color w:val="auto"/>
              </w:rPr>
            </w:pPr>
            <w:r>
              <w:rPr>
                <w:rFonts w:ascii="Arial" w:cs="Arial" w:eastAsia="Arial" w:hAnsi="Arial"/>
                <w:sz w:val="18"/>
                <w:szCs w:val="18"/>
                <w:b w:val="1"/>
                <w:bCs w:val="1"/>
                <w:color w:val="auto"/>
                <w:w w:val="88"/>
              </w:rPr>
              <w:t>Delaware</w:t>
            </w:r>
          </w:p>
        </w:tc>
        <w:tc>
          <w:tcPr>
            <w:tcW w:w="228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6380" w:type="dxa"/>
            <w:vAlign w:val="bottom"/>
          </w:tcPr>
          <w:p>
            <w:pPr>
              <w:jc w:val="center"/>
              <w:ind w:right="2804"/>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380" w:type="dxa"/>
            <w:vAlign w:val="bottom"/>
          </w:tcPr>
          <w:p>
            <w:pPr>
              <w:jc w:val="center"/>
              <w:ind w:right="280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28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380" w:type="dxa"/>
            <w:vAlign w:val="bottom"/>
          </w:tcPr>
          <w:p>
            <w:pPr>
              <w:jc w:val="center"/>
              <w:ind w:right="280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80" w:type="dxa"/>
            <w:vAlign w:val="bottom"/>
          </w:tcPr>
          <w:p>
            <w:pPr>
              <w:jc w:val="center"/>
              <w:ind w:left="2844"/>
              <w:spacing w:after="0"/>
              <w:rPr>
                <w:sz w:val="20"/>
                <w:szCs w:val="20"/>
                <w:color w:val="auto"/>
              </w:rPr>
            </w:pPr>
            <w:r>
              <w:rPr>
                <w:rFonts w:ascii="Arial" w:cs="Arial" w:eastAsia="Arial" w:hAnsi="Arial"/>
                <w:sz w:val="18"/>
                <w:szCs w:val="18"/>
                <w:b w:val="1"/>
                <w:bCs w:val="1"/>
                <w:color w:val="auto"/>
                <w:w w:val="89"/>
              </w:rPr>
              <w:t>(512) 836-6464</w:t>
            </w:r>
          </w:p>
        </w:tc>
        <w:tc>
          <w:tcPr>
            <w:tcW w:w="2280" w:type="dxa"/>
            <w:vAlign w:val="bottom"/>
          </w:tcPr>
          <w:p>
            <w:pPr>
              <w:spacing w:after="0"/>
              <w:rPr>
                <w:sz w:val="24"/>
                <w:szCs w:val="24"/>
                <w:color w:val="auto"/>
              </w:rPr>
            </w:pPr>
          </w:p>
        </w:tc>
      </w:tr>
      <w:tr>
        <w:trPr>
          <w:trHeight w:val="174"/>
        </w:trPr>
        <w:tc>
          <w:tcPr>
            <w:tcW w:w="6380" w:type="dxa"/>
            <w:vAlign w:val="bottom"/>
          </w:tcPr>
          <w:p>
            <w:pPr>
              <w:jc w:val="center"/>
              <w:ind w:left="2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80" w:type="dxa"/>
            <w:vAlign w:val="bottom"/>
          </w:tcPr>
          <w:p>
            <w:pPr>
              <w:spacing w:after="0"/>
              <w:rPr>
                <w:sz w:val="15"/>
                <w:szCs w:val="15"/>
                <w:color w:val="auto"/>
              </w:rPr>
            </w:pPr>
          </w:p>
        </w:tc>
      </w:tr>
      <w:tr>
        <w:trPr>
          <w:trHeight w:val="297"/>
        </w:trPr>
        <w:tc>
          <w:tcPr>
            <w:tcW w:w="866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r>
    </w:tbl>
    <w:p>
      <w:pPr>
        <w:spacing w:after="0" w:line="127"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The number of shares of common stock, par value of $0.001 per share, outstanding at March 31, 2004 was 42,315,696.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3"/>
          </w:tcPr>
          <w:p>
            <w:pPr>
              <w:jc w:val="center"/>
              <w:ind w:right="2440"/>
              <w:spacing w:after="0"/>
              <w:rPr>
                <w:sz w:val="20"/>
                <w:szCs w:val="20"/>
                <w:color w:val="auto"/>
              </w:rPr>
            </w:pPr>
            <w:r>
              <w:rPr>
                <w:rFonts w:ascii="Arial" w:cs="Arial" w:eastAsia="Arial" w:hAnsi="Arial"/>
                <w:sz w:val="18"/>
                <w:szCs w:val="18"/>
                <w:color w:val="auto"/>
                <w:w w:val="94"/>
              </w:rPr>
              <w:t>ACTIVE POWER, INC.</w:t>
            </w:r>
          </w:p>
        </w:tc>
        <w:tc>
          <w:tcPr>
            <w:tcW w:w="23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gridSpan w:val="3"/>
          </w:tcPr>
          <w:p>
            <w:pPr>
              <w:jc w:val="center"/>
              <w:ind w:right="2440"/>
              <w:spacing w:after="0"/>
              <w:rPr>
                <w:sz w:val="20"/>
                <w:szCs w:val="20"/>
                <w:color w:val="auto"/>
              </w:rPr>
            </w:pPr>
            <w:r>
              <w:rPr>
                <w:rFonts w:ascii="Arial" w:cs="Arial" w:eastAsia="Arial" w:hAnsi="Arial"/>
                <w:sz w:val="18"/>
                <w:szCs w:val="18"/>
                <w:color w:val="auto"/>
                <w:w w:val="98"/>
              </w:rPr>
              <w:t>INDEX</w:t>
            </w:r>
          </w:p>
        </w:tc>
        <w:tc>
          <w:tcPr>
            <w:tcW w:w="2360" w:type="dxa"/>
            <w:vAlign w:val="bottom"/>
          </w:tcPr>
          <w:p>
            <w:pPr>
              <w:spacing w:after="0"/>
              <w:rPr>
                <w:sz w:val="19"/>
                <w:szCs w:val="19"/>
                <w:color w:val="auto"/>
              </w:rPr>
            </w:pPr>
          </w:p>
        </w:tc>
      </w:tr>
      <w:tr>
        <w:trPr>
          <w:trHeight w:val="394"/>
        </w:trPr>
        <w:tc>
          <w:tcPr>
            <w:tcW w:w="90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290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160" w:type="dxa"/>
            <w:vAlign w:val="bottom"/>
            <w:gridSpan w:val="10"/>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36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STATEMENTS OF CASH FLOWS</w:t>
              </w:r>
            </w:hyperlink>
          </w:p>
        </w:tc>
        <w:tc>
          <w:tcPr>
            <w:tcW w:w="4980" w:type="dxa"/>
            <w:vAlign w:val="bottom"/>
            <w:gridSpan w:val="6"/>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44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440" w:type="dxa"/>
            <w:vAlign w:val="bottom"/>
            <w:tcBorders>
              <w:top w:val="single" w:sz="8" w:color="0000EE"/>
            </w:tcBorders>
          </w:tcPr>
          <w:p>
            <w:pPr>
              <w:spacing w:after="0"/>
              <w:rPr>
                <w:sz w:val="22"/>
                <w:szCs w:val="22"/>
                <w:color w:val="auto"/>
              </w:rPr>
            </w:pPr>
          </w:p>
        </w:tc>
        <w:tc>
          <w:tcPr>
            <w:tcW w:w="6400" w:type="dxa"/>
            <w:vAlign w:val="bottom"/>
            <w:tcBorders>
              <w:top w:val="single" w:sz="8" w:color="0000EE"/>
            </w:tcBorders>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Liquidity and Capital Resources</w:t>
              </w:r>
            </w:hyperlink>
          </w:p>
        </w:tc>
        <w:tc>
          <w:tcPr>
            <w:tcW w:w="222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4360" w:type="dxa"/>
            <w:vAlign w:val="bottom"/>
            <w:gridSpan w:val="4"/>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44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 That May Affect Future Results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2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4. Controls and Procedures</w:t>
              </w:r>
            </w:hyperlink>
          </w:p>
        </w:tc>
        <w:tc>
          <w:tcPr>
            <w:tcW w:w="2520" w:type="dxa"/>
            <w:vAlign w:val="bottom"/>
            <w:tcBorders>
              <w:top w:val="single" w:sz="8" w:color="0000EE"/>
            </w:tcBorders>
            <w:gridSpan w:val="12"/>
          </w:tcPr>
          <w:p>
            <w:pPr>
              <w:spacing w:after="0"/>
              <w:rPr>
                <w:sz w:val="22"/>
                <w:szCs w:val="22"/>
                <w:color w:val="auto"/>
              </w:rPr>
            </w:pPr>
          </w:p>
        </w:tc>
        <w:tc>
          <w:tcPr>
            <w:tcW w:w="4260" w:type="dxa"/>
            <w:vAlign w:val="bottom"/>
            <w:gridSpan w:val="3"/>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260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r>
              <w:rPr>
                <w:rFonts w:ascii="Arial" w:cs="Arial" w:eastAsia="Arial" w:hAnsi="Arial"/>
                <w:sz w:val="18"/>
                <w:szCs w:val="18"/>
                <w:color w:val="000000"/>
              </w:rPr>
              <w:t>.</w:t>
            </w:r>
          </w:p>
        </w:tc>
        <w:tc>
          <w:tcPr>
            <w:tcW w:w="6460" w:type="dxa"/>
            <w:vAlign w:val="bottom"/>
            <w:gridSpan w:val="13"/>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Changes in Securities, Use of Proceeds and Issuer Repurchases of Equity Securities</w:t>
              </w:r>
            </w:hyperlink>
            <w:r>
              <w:rPr>
                <w:rFonts w:ascii="Arial" w:cs="Arial" w:eastAsia="Arial" w:hAnsi="Arial"/>
                <w:sz w:val="18"/>
                <w:szCs w:val="18"/>
                <w:color w:val="000000"/>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6420" w:type="dxa"/>
            <w:vAlign w:val="bottom"/>
            <w:tcBorders>
              <w:top w:val="single" w:sz="8" w:color="0000EE"/>
            </w:tcBorders>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r>
              <w:rPr>
                <w:rFonts w:ascii="Arial" w:cs="Arial" w:eastAsia="Arial" w:hAnsi="Arial"/>
                <w:sz w:val="18"/>
                <w:szCs w:val="18"/>
                <w:color w:val="000000"/>
              </w:rPr>
              <w:t>.</w:t>
            </w:r>
          </w:p>
        </w:tc>
        <w:tc>
          <w:tcPr>
            <w:tcW w:w="2640" w:type="dxa"/>
            <w:vAlign w:val="bottom"/>
            <w:gridSpan w:val="2"/>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Submission of Matters to a Vote of Security Holders</w:t>
              </w:r>
            </w:hyperlink>
            <w:r>
              <w:rPr>
                <w:rFonts w:ascii="Arial" w:cs="Arial" w:eastAsia="Arial" w:hAnsi="Arial"/>
                <w:sz w:val="18"/>
                <w:szCs w:val="18"/>
                <w:color w:val="000000"/>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4220" w:type="dxa"/>
            <w:vAlign w:val="bottom"/>
            <w:tcBorders>
              <w:top w:val="single" w:sz="8" w:color="0000EE"/>
            </w:tcBorders>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r>
              <w:rPr>
                <w:rFonts w:ascii="Arial" w:cs="Arial" w:eastAsia="Arial" w:hAnsi="Arial"/>
                <w:sz w:val="18"/>
                <w:szCs w:val="18"/>
                <w:color w:val="000000"/>
              </w:rPr>
              <w:t>.</w:t>
            </w:r>
          </w:p>
        </w:tc>
        <w:tc>
          <w:tcPr>
            <w:tcW w:w="4840" w:type="dxa"/>
            <w:vAlign w:val="bottom"/>
            <w:gridSpan w:val="5"/>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604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906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 Exhibits and Reports on Form 8-K.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3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(unaudited)</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9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1,233</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2,098</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9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215,245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(135,643)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-2825115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-2825115</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-2825115</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-2825115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-2825115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-2825115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60325</wp:posOffset>
            </wp:positionV>
            <wp:extent cx="1097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 revenue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2,353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&amp; administrative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200"/>
              <w:spacing w:after="0"/>
              <w:rPr>
                <w:sz w:val="20"/>
                <w:szCs w:val="20"/>
                <w:color w:val="auto"/>
              </w:rPr>
            </w:pPr>
            <w:r>
              <w:rPr>
                <w:rFonts w:ascii="Arial" w:cs="Arial" w:eastAsia="Arial" w:hAnsi="Arial"/>
                <w:sz w:val="18"/>
                <w:szCs w:val="18"/>
                <w:color w:val="auto"/>
              </w:rPr>
              <w:t>Amortization of deferred stock compensation</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(5,960)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397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9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42,233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95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1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200"/>
              <w:spacing w:after="0"/>
              <w:rPr>
                <w:sz w:val="20"/>
                <w:szCs w:val="20"/>
                <w:color w:val="auto"/>
              </w:rPr>
            </w:pPr>
            <w:r>
              <w:rPr>
                <w:rFonts w:ascii="Arial" w:cs="Arial" w:eastAsia="Arial" w:hAnsi="Arial"/>
                <w:sz w:val="18"/>
                <w:szCs w:val="18"/>
                <w:color w:val="auto"/>
              </w:rPr>
              <w:t>Unrealized gain on investments in marketable securities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(5,857)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-1229995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-1229995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-1229995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-1229995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-1229995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-1229995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(Thousands)</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60325</wp:posOffset>
            </wp:positionV>
            <wp:extent cx="1037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(5,624)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premium / discount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Amortization of deferred stock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322"/>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Sales/Maturities of investments</w:t>
            </w:r>
          </w:p>
        </w:tc>
        <w:tc>
          <w:tcPr>
            <w:tcW w:w="600" w:type="dxa"/>
            <w:vAlign w:val="bottom"/>
          </w:tcPr>
          <w:p>
            <w:pPr>
              <w:jc w:val="right"/>
              <w:spacing w:after="0"/>
              <w:rPr>
                <w:sz w:val="20"/>
                <w:szCs w:val="20"/>
                <w:color w:val="auto"/>
              </w:rPr>
            </w:pPr>
            <w:r>
              <w:rPr>
                <w:rFonts w:ascii="Arial" w:cs="Arial" w:eastAsia="Arial" w:hAnsi="Arial"/>
                <w:sz w:val="18"/>
                <w:szCs w:val="18"/>
                <w:color w:val="auto"/>
              </w:rPr>
              <w:t>11,717</w:t>
            </w:r>
          </w:p>
        </w:tc>
        <w:tc>
          <w:tcPr>
            <w:tcW w:w="4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322"/>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48,499</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$ 53,710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$ 54,495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 to position the company for the commercial launch of our products and anticipated growth.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2003.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balances have been reclassified to conform to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Active Power states inventories at the lower of cost or market, using the first-in-first-out-method. Inventories consist of the following (in thousands):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2004</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4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4,137</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5,829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420" w:type="dxa"/>
            <w:vAlign w:val="bottom"/>
            <w:vMerge w:val="restart"/>
          </w:tcPr>
          <w:p>
            <w:pPr>
              <w:jc w:val="right"/>
              <w:ind w:right="2957"/>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-420370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-420370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-420370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-420370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-420370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-420370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 Structure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53"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60325</wp:posOffset>
            </wp:positionV>
            <wp:extent cx="1046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 (thousands)</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(5,624)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Basic and diluted:</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 (thousands)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42,236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Weighted-average shares of common stock subject to repurchase (thousands)</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 (thousands)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42,233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-329565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-329565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-329565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Active Power’s calculation of diluted loss per share excludes 5,200,014 and 4,743,149 shares of common stock issuable upon exercise of employee stock options as of March 31, 2004 and 2003, respectively, because inclusion would be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currently listed as Magnex Corporation, White Enigma, LLC and their individual principals, were originally seeking unspecified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that is the subject of the litigation.</w:t>
      </w:r>
    </w:p>
    <w:p>
      <w:pPr>
        <w:spacing w:after="0" w:line="13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First Amended Complaint was filed on April 16, 2002. Plaintiffs filed a Second Amended Complaint on June 3, 2003, and a Third Amended Complaint on November 14, 2003. Caterpillar has been dismissed from the case. Only two causes of action remain against Mr. Pinkerton and Pinkerton Generator, Inc.: breach of contract and unjust enrichment. Only one cause of action remains against Active Power: tortious interference with a business relationship.</w:t>
      </w:r>
    </w:p>
    <w:p>
      <w:pPr>
        <w:spacing w:after="0" w:line="9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discovery phase of this litigation has concluded. On April 8, 2004 the parties participated in mediation and a court-mandated case evaluation in Detroit, Michigan. The case did not settle during the mediation. In the case evaluation, a panel of three attorneys – one of whom was selected by the plaintiffs, one of whom was selected by the defendants and one of whom was independent – made an evaluation of the dollar amount, broken down by cause of</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action for each plaintiff against each defendant, for which they believe the case should settle. This evaluation award is non-binding on the parties, unless both parties accept the evaluation award. However, should a party refuse to settle for the evaluated amount and the other party accept the evaluation amount, the refusing party will be responsible for all attorney fees incurred by the accepting party from the evaluation date through trial unless the refusing party “beats” the evaluation amount by at least 10% following a full trial on the merits.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are unable to estimate the range of potential liability at this time and strongly deny any liability, an adverse outcome in this litigation nonetheless could be material to us, whether such damages are assessed directly against Active Power itself or to Mr. Pinkerton and/or Pinkerton Generator should we either agree to indemnify them in whole or in part or if we are found to be liable in whole or in part for any liability they may incur. On April 8, 2004, the panel of evaluators determined evaluation amounts against Active Power of $280,000 for Bergeron/White Enigma, LLC and $220,000 for Hodges/Magnex Corporation, for a total amount of $500,000. While Active Power continues to believe that this case is without merit, and will vigorously defend itself from these claims, due to the inherent uncertainty of litigation, we have accepted our evaluation amounts to eliminate the risk of being responsible for the plaintiffs’ attorneys fees and to potentially avoid the expenses and risks associated with a jury trial of the claims against Active Power. We have not received any indication to date whether the plaintiffs will accept the amount of this evaluation, thereby settling the case against us. Failure by the plaintiffs to accept the evaluation would constitute rejection.</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board created a special litigation committee consisting of independent directors to assist the full board in monitoring and assessing and creating strategy with respect to this litigation. The special committee has authority, among other things, to engage its own legal and other advisers, and to recommend litigation and settlement strategy to the full board. Because the board determined, among other things, that the interests of Active Power and Mr. Pinkerton were aligned, Active Power has borne all legal fees and other defense costs relating to this litigation to date (including those relating to Caterpillar pursuant to an indemnity agreement). The special committee regularly evaluates this position. The special committee is also assessing whether and to what extent Active Power should continue to bear defense, settlement, judgment or other costs relating to this litigation, including whether and to what extent to indemnify Mr. Pinkerton and Pinkerton Generator, both with respect to the continued cost of legal defense as well as for any damages actually incurred.</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Due to the uncertain nature of all litigation and jury proceedings, our assessments of potential liability, if any, for defense, settlement, judgment or other costs relating to this litigation could vary significantly from the actual amounts, if any, as well as from the evaluation amounts determined by the panel of evaluators. The panel’s evaluation amounts are only relevant if the case settles in accordance with the case evaluation process, as to the likelihood of which we can make no prediction at this time. The evaluation amounts are not made known to a jury, nor are they otherwise considered in the jury’s deliberations or the trial process. Moreover, notwithstanding the decision of the case evaluators and Active Power’s decision to accept the evaluations applicable to it, Active Power continues to believe very strongly that the claims against it and the other defendants are wholly without merit. Therefore, Active Power has determined that, at this time, it is not appropriate to make any accruals with respect to this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litigation. We are unable to estimate the range of potential liability at this time and strongly deny any liability. However, an adverse outcome in this litigation nonetheless could be material to us, whether such damages are assessed directly against Active Power itself or to Mr. Pinkerton and/or Pinkerton Generator should we either agree to indemnify them in whole or in part or if we are found to be liable in whole or in part for any liability they may incur.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for Stock-Based Compensation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allowed by Statement No. 123, Accounting for Stock-Based Compensation, Active Power accounts for its stock compensation arrangements with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Statement No. 123 is amortized using the straight line method over the vesting period.</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11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60325</wp:posOffset>
            </wp:positionV>
            <wp:extent cx="10636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7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(5,624)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Total stock-based compensation cost, net of related tax effects included in the determination of net income as reported</w:t>
            </w: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w w:val="92"/>
              </w:rPr>
              <w:t>The stock-based employee compensation cost, net of related tax effects, that would have been included in the determination of net</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if the fair value based method had been applied to all awards</w:t>
            </w:r>
          </w:p>
        </w:tc>
        <w:tc>
          <w:tcPr>
            <w:tcW w:w="90" w:type="dxa"/>
            <w:vAlign w:val="bottom"/>
            <w:shd w:val="clear" w:color="auto" w:fill="CCEEFF"/>
          </w:tcPr>
          <w:p>
            <w:pPr>
              <w:spacing w:after="0"/>
              <w:rPr>
                <w:sz w:val="19"/>
                <w:szCs w:val="19"/>
                <w:color w:val="auto"/>
              </w:rPr>
            </w:pP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(1,214)</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(6,821)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(7,964)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Basic and diluted—as reported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tcPr>
          <w:p>
            <w:pPr>
              <w:jc w:val="right"/>
              <w:ind w:right="48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diluted—pro forma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511"/>
        </w:trPr>
        <w:tc>
          <w:tcPr>
            <w:tcW w:w="9640" w:type="dxa"/>
            <w:vAlign w:val="bottom"/>
            <w:gridSpan w:val="2"/>
          </w:tcPr>
          <w:p>
            <w:pPr>
              <w:jc w:val="right"/>
              <w:ind w:right="3792"/>
              <w:spacing w:after="0"/>
              <w:rPr>
                <w:sz w:val="20"/>
                <w:szCs w:val="20"/>
                <w:color w:val="auto"/>
              </w:rPr>
            </w:pPr>
            <w:r>
              <w:rPr>
                <w:rFonts w:ascii="Arial" w:cs="Arial" w:eastAsia="Arial" w:hAnsi="Arial"/>
                <w:sz w:val="18"/>
                <w:szCs w:val="18"/>
                <w:color w:val="auto"/>
              </w:rPr>
              <w:t>7</w:t>
            </w:r>
          </w:p>
        </w:tc>
        <w:tc>
          <w:tcPr>
            <w:tcW w:w="9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-831850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-831850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-831850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-831850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-831850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-831850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in our Form 10-K for the year ended December 31, 2003.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 uninterruptible power supply (UPS). We currently sell our CleanSource UPS through Caterpillar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We have also developed a battery-free DC system that is compatible with all major UPS brands, CleanSource DC. We intend to distribute many of our products through a variety of channels including our existing OEMs and through independent power quality representatives to maximize market coverage and penetration. 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all regions of the world.</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two current products, CleanSource DC and CleanSource UPS. As of March 31, 2004, we had generated an accumulated deficit of $135.6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product revenue and development contracts will be sufficient to meet our cash requirements through the next 24 months. Our cash and investments position at March 31, 2004 was $67.8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Due to a slow down in the global economy during the first half of 2003, and in particular spending on capital equipment, our product revenue in 2003 decreased 6% from 2002. Beginning in the second half of 2003 the business environment for capital spending began to improve. Revenues for the first three months of 2004 increased 35% from the fourth quarter of 2003 and 99% from the first quarter of 2003, due in part to the economic recovery. We have also benefited from the new product launches of our 65 to 150 kVA and 1200 kVA UPS products since the second half of 2003. We are also beginning to see opportunities at government facilities and from industrial manufacturers in countries not served by our OEM distributors to provide customers with a complete power quality solution, which can include third party equipment such as gensets and transfer switches, our UPS systems, installation services, and maintenance services.</w:t>
      </w:r>
    </w:p>
    <w:p>
      <w:pPr>
        <w:spacing w:after="0" w:line="13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early 2003 we have focused additional efforts on developing a direct sales channel to augment our OEM channels to market. The development of this channel is continuing in 2004. We expect the above factors to continue having a positive impact on sales throughout 2004.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2004 product development efforts continue to be focused on two areas, the paralleling of our 1200 kVA UPS product to provide up to a 3600 kVA UPS solution, and a battery-free extended runtime product. These products can open up new market opportunities for us. We expect to ship a paralleled 1200 kVA system by the second half of 2004 and ship an alpha unit of our extended runtime product by year end.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uncertainties that could impact our business include the strength of the U.S. and global economies, the success of our direct sales efforts, the outcome of our current litigation, delays in new product development, the speed of market adoption for our technology and products and new competitive technologies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Inc.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Programs Accrual</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2002 and 2003 we engaged in a marketing program with Caterpillar aimed at increasing the number of dedicated UPS salespeople employed by the Caterpillar dealers. As part of that program, we agreed, under certain circumstances, to offset some of the first-year expenses of this program. We estimated our liabilities under this program and accrued based on our expected payout. We evaluate the reasonableness of our marketing program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significant. Development funding revenue is recognized as we achieve development milestones specified in the respective agreements. Revenue associated with the sale of extended warranties is recognized ratably over the contract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primarily consists of sales of our CleanSource power quality products. The following table summarizes for the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 a quarter-over-quarter comparison of our product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Variance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ended March 31,</w:t>
            </w:r>
          </w:p>
        </w:tc>
        <w:tc>
          <w:tcPr>
            <w:tcW w:w="160" w:type="dxa"/>
            <w:vAlign w:val="bottom"/>
          </w:tcPr>
          <w:p>
            <w:pPr>
              <w:spacing w:after="0"/>
              <w:rPr>
                <w:sz w:val="15"/>
                <w:szCs w:val="15"/>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8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540" w:type="dxa"/>
            <w:vAlign w:val="bottom"/>
            <w:gridSpan w:val="2"/>
            <w:vMerge w:val="continue"/>
          </w:tcPr>
          <w:p>
            <w:pPr>
              <w:spacing w:after="0"/>
              <w:rPr>
                <w:sz w:val="9"/>
                <w:szCs w:val="9"/>
                <w:color w:val="auto"/>
              </w:rPr>
            </w:pPr>
          </w:p>
        </w:tc>
        <w:tc>
          <w:tcPr>
            <w:tcW w:w="520" w:type="dxa"/>
            <w:vAlign w:val="bottom"/>
            <w:vMerge w:val="restart"/>
          </w:tcPr>
          <w:p>
            <w:pPr>
              <w:jc w:val="right"/>
              <w:ind w:right="4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9"/>
                <w:szCs w:val="9"/>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9"/>
                <w:szCs w:val="9"/>
                <w:color w:val="auto"/>
              </w:rPr>
            </w:pPr>
          </w:p>
        </w:tc>
        <w:tc>
          <w:tcPr>
            <w:tcW w:w="6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9"/>
                <w:szCs w:val="9"/>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$ 3,240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$ 1,625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$ 1,615</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99%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increase in product revenue in the first quarter of 2004 as compared to the first quarter of 2003 was attributable in large part to an improving global economy and continued success into emerging industrial markets with poor power quality. In addition, we benefited from sales of our 65 to 150 kVA products that we launched in the second half of 2003 and from a higher level of system sales, which typically include third party equipment, and installation and start-up services.</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Stocking units at our primary OEM distributor, Caterpillar and its dealer network, declined sequentially by approximately $1 million, or 15%, during the first three months of 2004. Although we have no obligations to our OEM customers for the products that they hold in their inventory, a significant reduction in our OEM customers’ product levels would negatively impact our future sales. We are working closely with our OEM customers to sell these stocking orders over time. We expect current channel inventory to continue to decline throughout 2004, and for our OEM customers to maintain an appropriate level of stocking units to enable them to respond quickly to time-sensitive customer orders.</w:t>
      </w:r>
    </w:p>
    <w:p>
      <w:pPr>
        <w:spacing w:after="0" w:line="1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average selling price of our base products remained relatively flat in the first quarter of 2004 as compared to the first quarter of 2003. Our sales prices will vary depending on the power levels of the products sold, quantity and the type of options purchased by the customers during a particular fiscal period. New product sales of our 65 to 150 kVA and 1200 kVA systems, which we introduced in 2003, accounted for approximately 21% of our product revenue in the first fiscal quarter of 2004. Based on initial customer feedback, we expect sales of these products, and in particular our 1200 kVA system, to increase in the second half of 2004 and to become a larger percentage of our overall product revenue. Sales of Active Power branded products through our direct and manufacturer’s representatives channels increased from 27% of our product revenues in the first quarter of 2003 to 44% of our product revenues in the first quarter of 2004. We believe sales of our Active Power branded products to government facilities and industrial customers in regions not previously covered by our OEMs will continue to increase over time and will become a larger percentage of our total product revenue. International product revenue increased from approximately 42% in the first quarter of 2003 to approximately 50% of product revenues in the first quarter of 2004. Our products perform well in harsh environments where power quality is particularly poor, which makes them a good fit for industrial countries with a poor power infrastructure. Due to the large size of some of our customer orders relative to our current revenue levels, our quarterly revenue trend can be uneven as these orders ship in various periods.</w:t>
      </w:r>
    </w:p>
    <w:p>
      <w:pPr>
        <w:spacing w:after="0" w:line="11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includes the cost of component parts of our products that are sourced from suppliers,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costs associated with our assembly and test operations, shipping costs, warranty costs, and the costs of manufacturing support functions such as logistics and quality assurance. The following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summarizes for the periods indicated, a quarter-over-quarter comparison of our cost of product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74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5"/>
              </w:rPr>
              <w:t>Variance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5"/>
                <w:szCs w:val="15"/>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5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3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300" w:type="dxa"/>
            <w:vAlign w:val="bottom"/>
            <w:gridSpan w:val="2"/>
            <w:vMerge w:val="continue"/>
          </w:tcPr>
          <w:p>
            <w:pPr>
              <w:spacing w:after="0"/>
              <w:rPr>
                <w:sz w:val="9"/>
                <w:szCs w:val="9"/>
                <w:color w:val="auto"/>
              </w:rPr>
            </w:pPr>
          </w:p>
        </w:tc>
        <w:tc>
          <w:tcPr>
            <w:tcW w:w="354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9"/>
                <w:szCs w:val="9"/>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9"/>
                <w:szCs w:val="9"/>
                <w:color w:val="auto"/>
              </w:rPr>
            </w:pPr>
          </w:p>
        </w:tc>
        <w:tc>
          <w:tcPr>
            <w:tcW w:w="60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9"/>
                <w:szCs w:val="9"/>
                <w:color w:val="auto"/>
              </w:rPr>
            </w:pPr>
          </w:p>
        </w:tc>
        <w:tc>
          <w:tcPr>
            <w:tcW w:w="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$ 3,292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Percent of total product revenue</w:t>
            </w:r>
          </w:p>
        </w:tc>
        <w:tc>
          <w:tcPr>
            <w:tcW w:w="3840" w:type="dxa"/>
            <w:vAlign w:val="bottom"/>
            <w:gridSpan w:val="3"/>
          </w:tcPr>
          <w:p>
            <w:pPr>
              <w:jc w:val="right"/>
              <w:ind w:right="160"/>
              <w:spacing w:after="0"/>
              <w:rPr>
                <w:sz w:val="20"/>
                <w:szCs w:val="20"/>
                <w:color w:val="auto"/>
              </w:rPr>
            </w:pPr>
            <w:r>
              <w:rPr>
                <w:rFonts w:ascii="Arial" w:cs="Arial" w:eastAsia="Arial" w:hAnsi="Arial"/>
                <w:sz w:val="18"/>
                <w:szCs w:val="18"/>
                <w:color w:val="auto"/>
              </w:rPr>
              <w:t>118%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increase in cost of product revenue in the first quarter of 2004 as compared to the first quarter of 2003 was primarily attributable to higher product sales. The percentage of cost of product revenue in relation to total product revenue, which we refer to as our product gross margin/(loss) percentage, while still negative, improved by 85% in the first quarter of 2004 from the first quarter of 2003 due to lower product costs as a result of our engineering-driven cost reductions and a decrease in our direct and indirect manufacturing capacity and spending levels. Two offsetting items also affected product costs and gross margins/(loss) in the first quarter of 2004. First, we sold several units that had been previously written down as potentially excess inventory. As a result, our cost of product revenue improved by approximately $270,000 when compared to current standard costs. Second, we deferred $334,000 of revenue due to a 20% performance guarantee, which is a part of a particular customer sales agreement we entered into during the fourth quarter of 2003. Because of the uncertainties of this performance guarantee, we recognized only 80% of the revenue for this sales agreement and 100% of the cost during the quarter, which negatively affected our gross margin. We expect that the performance guarantee will be satisfied in the fourth quarter of 2004 at which point we will recognize the revenue deferred, thereby improving our gross margin for that quarter.</w:t>
      </w:r>
    </w:p>
    <w:p>
      <w:pPr>
        <w:spacing w:after="0" w:line="10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2001 we expanded our manufacturing capacity by increasing our manufacturing facilities in anticipation of future demand for our products. This significantly increased our fixed manufacturing expense base, and when demand for our products failed to develop as we anticipated due to the economic slowdown in capital equipment spending in 2002 and the first half of 2003, we took steps to reduce direct and indirect manufacturing capacity and spending levels, including a 30% reduction in manufacturing staffing levels implemented in October of 2002 and a subsequent 42% reduction in April 2003. We continue to work on reducing our product costs and we believe that we will reach gross margin break even at approximately $5 million in quarterly product revenue. Items that could impact our ability to improve our gross margin include pricing discounts and customer incentives, product mix, currency fluctuations, and variations in our manufacturing cost and productivity.</w:t>
      </w:r>
    </w:p>
    <w:p>
      <w:pPr>
        <w:spacing w:after="0" w:line="10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The following table summarizes for the periods indicated, a quarter-over-quarter comparison of our research and development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90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5"/>
                <w:szCs w:val="15"/>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81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180" w:type="dxa"/>
            <w:vAlign w:val="bottom"/>
            <w:gridSpan w:val="2"/>
            <w:vMerge w:val="continue"/>
          </w:tcPr>
          <w:p>
            <w:pPr>
              <w:spacing w:after="0"/>
              <w:rPr>
                <w:sz w:val="9"/>
                <w:szCs w:val="9"/>
                <w:color w:val="auto"/>
              </w:rPr>
            </w:pPr>
          </w:p>
        </w:tc>
        <w:tc>
          <w:tcPr>
            <w:tcW w:w="52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9"/>
                <w:szCs w:val="9"/>
                <w:color w:val="auto"/>
              </w:rPr>
            </w:pPr>
          </w:p>
        </w:tc>
        <w:tc>
          <w:tcPr>
            <w:tcW w:w="64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$ 2,353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$ 2,541</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(188)</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Percent of total product revenue</w:t>
            </w:r>
          </w:p>
        </w:tc>
        <w:tc>
          <w:tcPr>
            <w:tcW w:w="940" w:type="dxa"/>
            <w:vAlign w:val="bottom"/>
            <w:gridSpan w:val="2"/>
          </w:tcPr>
          <w:p>
            <w:pPr>
              <w:jc w:val="right"/>
              <w:ind w:right="212"/>
              <w:spacing w:after="0"/>
              <w:rPr>
                <w:sz w:val="20"/>
                <w:szCs w:val="20"/>
                <w:color w:val="auto"/>
              </w:rPr>
            </w:pPr>
            <w:r>
              <w:rPr>
                <w:rFonts w:ascii="Arial" w:cs="Arial" w:eastAsia="Arial" w:hAnsi="Arial"/>
                <w:sz w:val="18"/>
                <w:szCs w:val="18"/>
                <w:color w:val="auto"/>
              </w:rPr>
              <w:t>73%</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decrease in research and development expense in the first quarter of 2004 as compared to the first quarter of 2003 was attributable to the reduction of personnel in April 2003. Additionally, we have spent significantly less on outside research and development services since early 2003. We believe that research and development expenses will increase by an approximate range of $500,000 to $1 million for the full year 2004 as spending on our extended runtime product development begins to increase, particularly in the second half of 2004 as we build several alpha units for customer evaluation.</w:t>
      </w:r>
    </w:p>
    <w:p>
      <w:pPr>
        <w:spacing w:after="0" w:line="9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is primarily comprised of compensation and related costs for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marketing and administrative personnel, selling and marketing expenses, professional fees, and bad debt costs. The following table summarizes for the periods indicated, a quarter-over-quarter comparison of our selling, general and administrative expense: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160" w:type="dxa"/>
            <w:vAlign w:val="bottom"/>
          </w:tcPr>
          <w:p>
            <w:pPr>
              <w:spacing w:after="0"/>
              <w:rPr>
                <w:sz w:val="12"/>
                <w:szCs w:val="12"/>
                <w:color w:val="auto"/>
              </w:rPr>
            </w:pPr>
          </w:p>
        </w:tc>
        <w:tc>
          <w:tcPr>
            <w:tcW w:w="7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Variance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5"/>
                <w:szCs w:val="15"/>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54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29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00" w:type="dxa"/>
            <w:vAlign w:val="bottom"/>
            <w:gridSpan w:val="2"/>
            <w:vMerge w:val="continue"/>
          </w:tcPr>
          <w:p>
            <w:pPr>
              <w:spacing w:after="0"/>
              <w:rPr>
                <w:sz w:val="9"/>
                <w:szCs w:val="9"/>
                <w:color w:val="auto"/>
              </w:rPr>
            </w:pPr>
          </w:p>
        </w:tc>
        <w:tc>
          <w:tcPr>
            <w:tcW w:w="344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9"/>
                <w:szCs w:val="9"/>
                <w:color w:val="auto"/>
              </w:rPr>
            </w:pPr>
          </w:p>
        </w:tc>
        <w:tc>
          <w:tcPr>
            <w:tcW w:w="60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9"/>
                <w:szCs w:val="9"/>
                <w:color w:val="auto"/>
              </w:rPr>
            </w:pPr>
          </w:p>
        </w:tc>
        <w:tc>
          <w:tcPr>
            <w:tcW w:w="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$ 3,009</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$ 2,706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Percent of total product revenue</w:t>
            </w:r>
          </w:p>
        </w:tc>
        <w:tc>
          <w:tcPr>
            <w:tcW w:w="3880" w:type="dxa"/>
            <w:vAlign w:val="bottom"/>
            <w:gridSpan w:val="3"/>
          </w:tcPr>
          <w:p>
            <w:pPr>
              <w:jc w:val="right"/>
              <w:ind w:right="232"/>
              <w:spacing w:after="0"/>
              <w:rPr>
                <w:sz w:val="20"/>
                <w:szCs w:val="20"/>
                <w:color w:val="auto"/>
              </w:rPr>
            </w:pPr>
            <w:r>
              <w:rPr>
                <w:rFonts w:ascii="Arial" w:cs="Arial" w:eastAsia="Arial" w:hAnsi="Arial"/>
                <w:sz w:val="18"/>
                <w:szCs w:val="18"/>
                <w:color w:val="auto"/>
              </w:rPr>
              <w:t>93%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increase in selling, general and administrative expense in the first quarter of 2004 as compared to the first quarter of 2003 was attributable to a significant increase in legal expenses related to our ongoing litigation, described in “Legal Proceedings” in Part II, Item 1 below. We believe that selling, general and administrative expense will increase by an approximate range of $750,000 to $1 million for the full year 2004 as compared to 2003 due primarily to increased legal expenses associated with this litigation. Legal fees associated with this litigation were approximately $500,000 in the first quarter of 2004. Unless the case settles, we estimate that legal expenses will remain at approximately this level, or perhaps increase from this level, for the next two quarters as we prepare for a trial expected later this year.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The following table summarizes the quarterly change in our interest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2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w w:val="92"/>
              </w:rPr>
              <w:t>Variance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5"/>
                <w:szCs w:val="15"/>
                <w:color w:val="auto"/>
              </w:rPr>
            </w:pPr>
          </w:p>
        </w:tc>
        <w:tc>
          <w:tcPr>
            <w:tcW w:w="1320" w:type="dxa"/>
            <w:vAlign w:val="bottom"/>
            <w:gridSpan w:val="4"/>
          </w:tcPr>
          <w:p>
            <w:pPr>
              <w:ind w:left="160"/>
              <w:spacing w:after="0"/>
              <w:rPr>
                <w:sz w:val="20"/>
                <w:szCs w:val="20"/>
                <w:color w:val="auto"/>
              </w:rPr>
            </w:pPr>
            <w:r>
              <w:rPr>
                <w:rFonts w:ascii="Arial" w:cs="Arial" w:eastAsia="Arial" w:hAnsi="Arial"/>
                <w:sz w:val="14"/>
                <w:szCs w:val="14"/>
                <w:b w:val="1"/>
                <w:bCs w:val="1"/>
                <w:color w:val="auto"/>
              </w:rPr>
              <w:t>2004 vs. 2003</w:t>
            </w:r>
          </w:p>
        </w:tc>
        <w:tc>
          <w:tcPr>
            <w:tcW w:w="0" w:type="dxa"/>
            <w:vAlign w:val="bottom"/>
          </w:tcPr>
          <w:p>
            <w:pPr>
              <w:spacing w:after="0"/>
              <w:rPr>
                <w:sz w:val="1"/>
                <w:szCs w:val="1"/>
                <w:color w:val="auto"/>
              </w:rPr>
            </w:pPr>
          </w:p>
        </w:tc>
      </w:tr>
      <w:tr>
        <w:trPr>
          <w:trHeight w:val="95"/>
        </w:trPr>
        <w:tc>
          <w:tcPr>
            <w:tcW w:w="8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680" w:type="dxa"/>
            <w:vAlign w:val="bottom"/>
            <w:gridSpan w:val="2"/>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2003</w:t>
            </w:r>
          </w:p>
        </w:tc>
        <w:tc>
          <w:tcPr>
            <w:tcW w:w="160" w:type="dxa"/>
            <w:vAlign w:val="bottom"/>
          </w:tcPr>
          <w:p>
            <w:pPr>
              <w:spacing w:after="0"/>
              <w:rPr>
                <w:sz w:val="9"/>
                <w:szCs w:val="9"/>
                <w:color w:val="auto"/>
              </w:rPr>
            </w:pPr>
          </w:p>
        </w:tc>
        <w:tc>
          <w:tcPr>
            <w:tcW w:w="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$ 397</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$ 619</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first quarter of 2004 decrease in interest income from the first quarter of 2003 is attributable to a decrease in our average cash and investments balances and to a lower interest rate earned on our investments due to a continued decline in U.S. interest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principal sources of liquidity as of March 31, 2004 consisted of $67.8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 $10 million in development funding received from Caterpillar since 1999, and our product revenue. The following table summarizes the yearly changes in cash used in operating activities: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8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5"/>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5"/>
                <w:szCs w:val="15"/>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2004 vs. 2003</w:t>
            </w:r>
          </w:p>
        </w:tc>
        <w:tc>
          <w:tcPr>
            <w:tcW w:w="0" w:type="dxa"/>
            <w:vAlign w:val="bottom"/>
          </w:tcPr>
          <w:p>
            <w:pPr>
              <w:spacing w:after="0"/>
              <w:rPr>
                <w:sz w:val="1"/>
                <w:szCs w:val="1"/>
                <w:color w:val="auto"/>
              </w:rPr>
            </w:pPr>
          </w:p>
        </w:tc>
      </w:tr>
      <w:tr>
        <w:trPr>
          <w:trHeight w:val="95"/>
        </w:trPr>
        <w:tc>
          <w:tcPr>
            <w:tcW w:w="5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30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300" w:type="dxa"/>
            <w:vAlign w:val="bottom"/>
            <w:gridSpan w:val="2"/>
            <w:vMerge w:val="continue"/>
          </w:tcPr>
          <w:p>
            <w:pPr>
              <w:spacing w:after="0"/>
              <w:rPr>
                <w:sz w:val="9"/>
                <w:szCs w:val="9"/>
                <w:color w:val="auto"/>
              </w:rPr>
            </w:pPr>
          </w:p>
        </w:tc>
        <w:tc>
          <w:tcPr>
            <w:tcW w:w="35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9"/>
                <w:szCs w:val="9"/>
                <w:color w:val="auto"/>
              </w:rPr>
            </w:pPr>
          </w:p>
        </w:tc>
        <w:tc>
          <w:tcPr>
            <w:tcW w:w="5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9"/>
                <w:szCs w:val="9"/>
                <w:color w:val="auto"/>
              </w:rPr>
            </w:pPr>
          </w:p>
        </w:tc>
        <w:tc>
          <w:tcPr>
            <w:tcW w:w="66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(4,563)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(4,830)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decrease in cash used in the first quarter of 2004 was attributable to a lower net loss, which was primarily driven by our lower operating expenses in first quarter of 2004 as compared to the first quarter of 2003. We expect cash usage in 2004 to be flat to slightly down from 2003 as we continue to position the company for future growth by funding product development, sales and marketing activities, OEM customer support, and manufacturing operations at levels higher than what can be self funded through current product sales.</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Capital expenditures were $63,000 in the first quarter of 2004 compared to $591,000 in the first quarter of 2003. In the first quarter of 2003 our expenditures were principally for the leasehold improvements associated with the consolidation of our sales and marketing and administrative groups into our manufacturing facility, as well as additional engineering lab equipment, and computer equipment and software for general corporate purposes. In the first quarter of 2004 our expenditures were principally for general corporate purposes. We expect capital expenditures to range from $1 to $2 million for the balance of the year to support our development efforts on our extended run-time product and 1200 kVA paralleling project.</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other cash used in our business, the outcome of the litigation described under “Legal Proceedings” below in this report may require additional cash, whether to fund additional legal expenses or to pay any settlement or damages, as to which amounts we are unable to estimate at this time.</w:t>
      </w:r>
    </w:p>
    <w:p>
      <w:pPr>
        <w:spacing w:after="0" w:line="7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believe our existing cash and investments balances at March 31, 2004 will be sufficient to meet our cash requirements through the next 24 months, although we might elect to seek 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January 2003, the Financial Accounting Standards Board (FASB) issued FASB Interpretation No. 46 (FIN 46), CONSOLIDATION OF VARIABLE INTEREST ENTITIES,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 INTERPRETATION OF ARB NO. 51, which addresses consolidation by business enterprises of variable interest entities (VIEs) either: (1) that do not have sufficient equity investment at risk to permit the entity to finance its activities without additional subordinated financial support, or (2) in which the equity investors lack an essential characteristic of a controlling financial interest. In December 2003, the FASB completed deliberations of proposed modifications to FIN 46 (Revised Interpretations) resulting in multiple effective dates based on the nature as well as the creation date of the VIE. VIEs created after January 31, 2003, but prior to January 1, 2004, may be accounted for either based on the original interpretation or the Revised Interpretations. However, the Revised Interpretations must be applied no later than the first quarter of 2004. VIEs created after January 1, 2004 must be accounted for under the Revised Interpretations. There has been no material impact to the Company’s financial statements from potential VIEs entered into after January 31, 2003 or from the adoption of the deferred provisions in the first quarter of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$678,000.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sales are made primarily in U.S. dollars. Those sales in currencies other than U.S. dollars can result in translation gains and losses.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we do not engage in hedging activities for our international operations. However, we may engage in hedging activities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1 – “Business</w:t>
      </w:r>
    </w:p>
    <w:p>
      <w:pPr>
        <w:spacing w:after="0" w:line="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Risk Factors that May Affect Future Results” below. Accordingly, our future results could be materially harmed by the actual occurrence of any of these or other risks.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March 31, 2004, we had an accumulated deficit of $135.6 million. To date, we have funded our operations principally through the sale of our stock, as well as our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9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generated a total of $50.0 million in product revenue since January 1, 1998, with approximately $3.2 million generated in the three months ended March 31,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product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large size of some of our customer orders relative to our current revenue levels;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 such as recording expenses for employee stock option grants; and</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4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As these OEMs fill some of their orders with existing inventory stock, rather than placing orders with us, our revenue will suffer for the next several fiscal quarters until this inventory held by these OEMs is reduced.</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48% in 2003, 37% in 2002 and 13% in 2001. In the first three months of 2004, this percentage was 50%. We may not be able to maintain or increase international market demand for our products. Our international operations are subject to a number of risks, including:</w:t>
      </w:r>
    </w:p>
    <w:p>
      <w:pPr>
        <w:spacing w:after="0" w:line="46"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military and economic instability, including possible effects of terrorism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hiring qualified personnel, including technical sales and applications engineers.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Recent turmoil in the geopolitical environment in many parts of the world, including terrorist activities and military actions, particularly the continuing tension in and surrounding Iraq and Afghanistan, may continue to put pressure on global economic conditions. If the economic and market conditions in the United States and globally do not improve, or if they deteriorate as a result of the ongoing geopolitical turmoil or otherwise, we may continue to experience material adverse impacts on our business, operating results, and financial condition as a consequence of the above factors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involved in litigation that has been both costly and has caused the diversion of management’s time and attention. In the event that we or Mr.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Pinkerton are not successful in defending ourselves in this litigation, our business could be significantly and adversely harmed.</w:t>
      </w:r>
    </w:p>
    <w:p>
      <w:pPr>
        <w:spacing w:after="0" w:line="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along with Joseph F. Pinkerton, III, our chairman and chief executive officer, were named in a lawsuit alleging a breach of contract and unjust enrichment against Mr. Pinkerton and the tortious interference with a business relationship against Active Power that we describe in further detail in “Legal Proceedings” in Part II, Item 1 below. This has caused our management to spend a significant portion of their time involved in activities relating to the litigation. We have incurred approximately $1.7 million of expenses to defend this lawsuit and we anticipate significant future expenditures if this lawsuit goes to trial. In the event that either Active Power or Mr. Pinkerton is not successful in defending this litigation, we could be forced to pay substantial damages that could seriously harm our business.</w:t>
      </w:r>
    </w:p>
    <w:p>
      <w:pPr>
        <w:spacing w:after="0" w:line="125"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A significant portion of our operating expenses, including rent and salaries, is largely fixed in nature. Accordingly, if our product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continue to suffer.</w:t>
      </w:r>
    </w:p>
    <w:p>
      <w:pPr>
        <w:spacing w:after="0" w:line="4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suffered significantly as a result of the economic slowdown that continued through much of 2003. Our business will continue to suffer if the anticipated economic recovery is not realized and capital expenditures by our customers do not increase and stabilize.</w:t>
      </w:r>
    </w:p>
    <w:p>
      <w:pPr>
        <w:spacing w:after="0" w:line="9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 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significantly improve and stabilize.</w:t>
      </w:r>
    </w:p>
    <w:p>
      <w:pPr>
        <w:spacing w:after="0" w:line="10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2003, 2002 and 2001, Caterpillar and its dealer network accounted for 60%, 81% and 87% of our product revenue, respectively. During the first three months of 2004, Caterpillar and its dealer network accounted for 48%. Pursuant to our distribution agreement with Caterpillar, they are the exclusive OEM distributor, subject to limited exceptions, of our CleanSource UPS product. Caterpillar is not obligated to purchase any CleanSource UPS units. Through March 31,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Invensys has announced that it is undertaking an auction process to sell one of its divisions, Powerware Corporation, which is one of our significant OEM customers. The results of this proposed sale are unknown to us and could adversely affect our relationship with Powerware and future revenue generating opportunities.</w:t>
      </w:r>
    </w:p>
    <w:p>
      <w:pPr>
        <w:spacing w:after="0" w:line="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Powerware Corporation is a division of Invensys plc and has been put up for sale. Powerware currently distributes our CleanSource DC products in North America and internationally on a non-exclusive basis. Sales of our product through Powerware in 2003 were 6% of our product revenue. Potential buyers for Powerware could include current participants in the UPS and power quality industry who are also competitors of Active Power. Regardless of who the buyer may be, if that ultimate buyer of Powerware decides not to continue selling our products, our revenue may suffer.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8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CleanSource UPS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excess and obsolescence,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0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In particular, we believe that our future success is highly dependent on Joseph F. Pinkerton, III, our founder, chief executive officer and president. There is a limited supply of skilled employees in the power quality marketplace. Volatility or lack of positive performance in our stock price may also adversely affect our ability to retain our other key employees, all of whom have been granted stock options. The decline in our stock price since our IPO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 Further, an adverse outcome or adverse developments in the ongoing litigation in which the company and Mr. Pinkerton are joint defendants could cause conflicts to arise in our relationship with Mr. Pinkerton or otherwise adversely affect our relationship with Mr. Pinkerton.</w:t>
      </w:r>
    </w:p>
    <w:p>
      <w:pPr>
        <w:spacing w:after="0" w:line="10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There are many companies that are developing flywheel-based energy storage systems and flywheel-based power quality systems. We also compete indirectly with companies that are developing other types of power technologies, such as high-speed composite flywheels and ultra capacitors.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In addition to our current litigation,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attention. Any potential intellectual property litigation also could force us to take specific actions, including:</w:t>
      </w:r>
    </w:p>
    <w:p>
      <w:pPr>
        <w:spacing w:after="0" w:line="7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favorable. Additionally, in December of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Since January 1, 2003 the sales prices of our common stock have ranged from $0.98 to $4.28.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76" w:lineRule="exact"/>
        <w:rPr>
          <w:rFonts w:ascii="Arial" w:cs="Arial" w:eastAsia="Arial" w:hAnsi="Arial"/>
          <w:sz w:val="18"/>
          <w:szCs w:val="18"/>
          <w:color w:val="auto"/>
        </w:rPr>
      </w:pPr>
    </w:p>
    <w:p>
      <w:pPr>
        <w:ind w:left="800" w:right="98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This information is included in the section captioned “Management’s Discussion and Analysis of Financial Condition and Results of Operation – Quantitative and Qualitative Disclosures About Market Risk” in Item 2 above. Such information is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900" w:hanging="446"/>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under the Securities Exchange Act of 1934 (the Exchange Act). Based on their evaluation, our management, including our CEO and CFO, concluded that our disclosure controls and procedures were effective as of March 31, 2004 (a date within 90 days of the filing of this Quarterly Report on Form 10-Q) to ensure that information required to be disclosed by 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in the reports filed or submitted by us under the Exchange Act is recorded, processed, summarized and reported within the time periods specified in the SEC’s rules and forms.</w:t>
      </w:r>
    </w:p>
    <w:p>
      <w:pPr>
        <w:spacing w:after="0" w:line="118" w:lineRule="exact"/>
        <w:rPr>
          <w:sz w:val="20"/>
          <w:szCs w:val="20"/>
          <w:color w:val="auto"/>
        </w:rPr>
      </w:pPr>
    </w:p>
    <w:p>
      <w:pPr>
        <w:ind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 over financial reporting</w:t>
      </w:r>
      <w:r>
        <w:rPr>
          <w:rFonts w:ascii="Arial" w:cs="Arial" w:eastAsia="Arial" w:hAnsi="Arial"/>
          <w:sz w:val="16"/>
          <w:szCs w:val="16"/>
          <w:color w:val="auto"/>
        </w:rPr>
        <w:t>. There was no change in our internal control over financial reporting that occurred during the three months ended March 31, 2004 that has materially affected, or is reasonably likely to materially affect, our internal control over financial reporting.</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March 25, 2002, we, along with Joseph F. Pinkerton, III, our chairman, president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currently listed as Magnex Corporation, White Enigma, LLC and their individual principals, were originally seeking unspecified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that is the subject of the litigation.</w:t>
      </w:r>
    </w:p>
    <w:p>
      <w:pPr>
        <w:spacing w:after="0" w:line="13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First Amended Complaint was filed on April 16, 2002. Plaintiffs filed a Second Amended Complaint on June 3, 2003, and a Third Amended Complaint on November 14, 2003. Caterpillar has been dismissed from the case. Only two causes of action remain against Mr. Pinkerton and Pinkerton Generator, Inc.: breach of contract and unjust enrichment. Only one cause of action remains against Active Power: tortious interference with a business relationship.</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discovery phase of this litigation has concluded. On April 8, 2004 the parties participated in mediation and a court-mandated case evaluation in Detroit, Michigan. The case did not settle during the mediation. In the case evaluation, a panel of three attorneys – one of whom was selected by the plaintiffs, one of whom was selected by the defendants and one of whom was independent – made an evaluation of the dollar amount, broken down by cause of action for each plaintiff against each defendant, for which they believe the case should settle.</w:t>
      </w:r>
    </w:p>
    <w:p>
      <w:pPr>
        <w:spacing w:after="0" w:line="13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This evaluation award is non-binding on the parties, unless both parties accept the evaluation award. However, should a party refuse to settle for the evaluated amount and the other party accept the evaluation amount, the refusing party will be responsible for all attorney fees incurred by the accepting party from the evaluation date through trial unless the refusing party “beats” the evaluation amount by at least 10% following a full trial on the merits.</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While we are unable to estimate the range of potential liability at this time and strongly deny any liability, an adverse outcome in this litigation nonetheless could be material to us, whether such damages are assessed directly against Active Power itself or to Mr. Pinkerton and/or Pinkerton Generator should we either agree to indemnify them in whole or in part or if we are found to be liable in whole or in part for any liability they may incur. On April 8, 2004, the panel of evaluators determined evaluation amounts against Active Power of $280,000 for Bergeron/White Enigma, LLC and $220,000 for Hodges/Magnex Corporation, for a total amount of $500,000. While Active Power continues to believe that this case is without merit, and will vigorously defend itself from these claims, due to the inherent uncertainty of litigation, we have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accepted our evaluation amounts to eliminate the risk of being responsible for the plaintiffs’ attorneys fees and to potentially avoid the expenses and risks associated with a jury trial of the claims against Active Power. We have not received any indication to date whether the plaintiffs will accept the amount of this evaluation, thereby settling the case against us. Failure by the plaintiffs to accept the evaluation would constitute rejection.</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board created a special litigation committee consisting of independent directors to assist the full board in monitoring and assessing and creating strategy with respect to this litigation. The special committee has authority, among other things, to engage its own legal and other advisers, and to recommend litigation and settlement strategy to the full board. Because the board determined, among other things, that the interests of Active Power and Mr. Pinkerton were aligned, Active Power has borne all legal fees and other defense costs relating to this litigation to date (including those relating to Caterpillar pursuant to an indemnity agreement). The special committee regularly evaluates this position. The special committee is also assessing whether and to what extent Active Power should continue to bear defense, settlement, judgment or other costs relating to this litigation, including whether and to what extent to indemnify Mr. Pinkerton and Pinkerton Generator, both with respect to the continued cost of legal defense as well as for any damages actually incurred.</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Due to the uncertain nature of all litigation and jury proceedings, our assessments of potential liability, if any, for defense, settlement, judgment or other costs relating to this litigation could vary significantly from the actual amounts, if any, as well as from the evaluation amounts determined by the panel of evaluators. The panel’s evaluation amounts are only relevant if the case settles in accordance with the case evaluation process, as to the likelihood of which we can make no prediction at this time. The evaluation amounts are not made known to a jury, nor are they otherwise considered in the jury’s deliberations or the trial process. Moreover, notwithstanding the decision of the case evaluators and Active Power’s decision to accept the evaluations applicable to it, Active Power continues to believe very strongly that the claims against it and the other defendants are wholly without merit. Therefore, Active Power has determined that, at this time, it is not appropriate to make any accruals with respect to this litigation. We are unable to estimate the range of potential liability at this time and strongly deny any liability. However, an adverse outcome in this litigation nonetheless could be material to us, whether such damages are assessed directly against Active Power itself or to Mr. Pinkerton and/or Pinkerton Generator should we either agree to indemnify them in whole or in part or if we are found to be liable in whole or in part for any liability they may incur.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Repurchases of Equity Securities.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Securities and Exchange Commission on August 7, 2000 declared effective our registration statement on Form S-1 (File No. 333-36946) relating to the initial public offering of our common stock. As of March 31, 2004, we have used all of the net offering proceeds for the purchase of temporary investments, consisting of cash, cash equivalents, and short-term investments. We currently intend to use the net proceeds of the offering for working capital and general corporate purposes, including financing accounts receivable and capital expenditures made in the ordinary course of business. We also may apply a portion of the proceeds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equity securities during the first fiscal quarter of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20" w:hanging="57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85" w:lineRule="exact"/>
        <w:rPr>
          <w:sz w:val="20"/>
          <w:szCs w:val="20"/>
          <w:color w:val="auto"/>
        </w:rPr>
      </w:pPr>
    </w:p>
    <w:p>
      <w:pPr>
        <w:ind w:left="1160"/>
        <w:spacing w:after="0"/>
        <w:tabs>
          <w:tab w:leader="none" w:pos="1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5"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9"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9"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Reportson Form 8-K</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furnished one report on Form 8-K during the quarter ended March 31, 2004.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Date Filed or</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r>
      <w:tr>
        <w:trPr>
          <w:trHeight w:val="174"/>
        </w:trPr>
        <w:tc>
          <w:tcPr>
            <w:tcW w:w="1000" w:type="dxa"/>
            <w:vAlign w:val="bottom"/>
          </w:tcPr>
          <w:p>
            <w:pPr>
              <w:spacing w:after="0"/>
              <w:rPr>
                <w:sz w:val="20"/>
                <w:szCs w:val="20"/>
                <w:color w:val="auto"/>
              </w:rPr>
            </w:pPr>
            <w:r>
              <w:rPr>
                <w:rFonts w:ascii="Arial" w:cs="Arial" w:eastAsia="Arial" w:hAnsi="Arial"/>
                <w:sz w:val="14"/>
                <w:szCs w:val="14"/>
                <w:b w:val="1"/>
                <w:bCs w:val="1"/>
                <w:color w:val="auto"/>
              </w:rPr>
              <w:t>Furnished</w:t>
            </w:r>
          </w:p>
        </w:tc>
        <w:tc>
          <w:tcPr>
            <w:tcW w:w="280" w:type="dxa"/>
            <w:vAlign w:val="bottom"/>
          </w:tcPr>
          <w:p>
            <w:pPr>
              <w:spacing w:after="0"/>
              <w:rPr>
                <w:sz w:val="15"/>
                <w:szCs w:val="15"/>
                <w:color w:val="auto"/>
              </w:rPr>
            </w:pPr>
          </w:p>
        </w:tc>
        <w:tc>
          <w:tcPr>
            <w:tcW w:w="9500" w:type="dxa"/>
            <w:vAlign w:val="bottom"/>
            <w:gridSpan w:val="4"/>
          </w:tcPr>
          <w:p>
            <w:pPr>
              <w:ind w:left="40"/>
              <w:spacing w:after="0"/>
              <w:rPr>
                <w:sz w:val="20"/>
                <w:szCs w:val="20"/>
                <w:color w:val="auto"/>
              </w:rPr>
            </w:pPr>
            <w:r>
              <w:rPr>
                <w:rFonts w:ascii="Arial" w:cs="Arial" w:eastAsia="Arial" w:hAnsi="Arial"/>
                <w:sz w:val="14"/>
                <w:szCs w:val="14"/>
                <w:b w:val="1"/>
                <w:bCs w:val="1"/>
                <w:color w:val="auto"/>
              </w:rPr>
              <w:t>Item No.    Description</w:t>
            </w:r>
          </w:p>
        </w:tc>
      </w:tr>
      <w:tr>
        <w:trPr>
          <w:trHeight w:val="95"/>
        </w:trPr>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0" w:type="dxa"/>
            <w:vAlign w:val="bottom"/>
          </w:tcPr>
          <w:p>
            <w:pPr>
              <w:spacing w:after="0"/>
              <w:rPr>
                <w:sz w:val="8"/>
                <w:szCs w:val="8"/>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January 22,</w:t>
            </w:r>
          </w:p>
        </w:tc>
        <w:tc>
          <w:tcPr>
            <w:tcW w:w="28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Item 12</w:t>
            </w:r>
          </w:p>
        </w:tc>
      </w:tr>
      <w:tr>
        <w:trPr>
          <w:trHeight w:val="222"/>
        </w:trPr>
        <w:tc>
          <w:tcPr>
            <w:tcW w:w="1000" w:type="dxa"/>
            <w:vAlign w:val="bottom"/>
          </w:tcPr>
          <w:p>
            <w:pPr>
              <w:jc w:val="right"/>
              <w:ind w:right="342"/>
              <w:spacing w:after="0"/>
              <w:rPr>
                <w:sz w:val="20"/>
                <w:szCs w:val="20"/>
                <w:color w:val="auto"/>
              </w:rPr>
            </w:pPr>
            <w:r>
              <w:rPr>
                <w:rFonts w:ascii="Arial" w:cs="Arial" w:eastAsia="Arial" w:hAnsi="Arial"/>
                <w:sz w:val="18"/>
                <w:szCs w:val="18"/>
                <w:color w:val="auto"/>
              </w:rPr>
              <w:t>2004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w w:val="87"/>
              </w:rPr>
              <w:t>On January 22, 2004, we announced the results of our operations for the fiscal quarter and year ended December 31,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5620" w:right="4580" w:hanging="5612"/>
        <w:spacing w:after="0" w:line="440" w:lineRule="auto"/>
        <w:tabs>
          <w:tab w:leader="none" w:pos="1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furnished Form 8-K is not to be deemed filed or incorporated by reference into any filing. 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ectPr>
          <w:pgSz w:w="11900" w:h="16838" w:orient="portrait"/>
          <w:cols w:equalWidth="0" w:num="1">
            <w:col w:w="10920"/>
          </w:cols>
          <w:pgMar w:left="240" w:top="459"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April 28,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April 28,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left="-3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left="-319"/>
        <w:spacing w:after="0"/>
        <w:rPr>
          <w:sz w:val="20"/>
          <w:szCs w:val="20"/>
          <w:color w:val="auto"/>
        </w:rPr>
      </w:pPr>
      <w:r>
        <w:rPr>
          <w:rFonts w:ascii="Arial" w:cs="Arial" w:eastAsia="Arial" w:hAnsi="Arial"/>
          <w:sz w:val="18"/>
          <w:szCs w:val="18"/>
          <w:color w:val="auto"/>
        </w:rPr>
        <w:t>(Registrant)</w:t>
      </w:r>
    </w:p>
    <w:p>
      <w:pPr>
        <w:spacing w:after="0" w:line="35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80010</wp:posOffset>
            </wp:positionV>
            <wp:extent cx="30359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80010</wp:posOffset>
            </wp:positionV>
            <wp:extent cx="3035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jc w:val="center"/>
        <w:ind w:left="-779"/>
        <w:spacing w:after="0"/>
        <w:rPr>
          <w:sz w:val="20"/>
          <w:szCs w:val="20"/>
          <w:color w:val="auto"/>
        </w:rPr>
      </w:pPr>
      <w:r>
        <w:rPr>
          <w:rFonts w:ascii="Arial" w:cs="Arial" w:eastAsia="Arial" w:hAnsi="Arial"/>
          <w:sz w:val="16"/>
          <w:szCs w:val="16"/>
          <w:color w:val="auto"/>
        </w:rPr>
        <w:t>Chief Operating Officer, Vice President of Finance,</w:t>
      </w:r>
    </w:p>
    <w:p>
      <w:pPr>
        <w:spacing w:after="0" w:line="32"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jc w:val="center"/>
        <w:ind w:left="-779"/>
        <w:spacing w:after="0"/>
        <w:rPr>
          <w:sz w:val="20"/>
          <w:szCs w:val="20"/>
          <w:color w:val="auto"/>
        </w:rPr>
      </w:pPr>
      <w:r>
        <w:rPr>
          <w:rFonts w:ascii="Arial" w:cs="Arial" w:eastAsia="Arial" w:hAnsi="Arial"/>
          <w:sz w:val="18"/>
          <w:szCs w:val="18"/>
          <w:color w:val="auto"/>
        </w:rPr>
        <w:t>(Principal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4900" w:space="720"/>
            <w:col w:w="5300"/>
          </w:cols>
          <w:pgMar w:left="240" w:top="459" w:right="7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15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900" w:right="920" w:hanging="446"/>
        <w:spacing w:after="0" w:line="347" w:lineRule="auto"/>
        <w:tabs>
          <w:tab w:leader="none" w:pos="9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ind w:left="900" w:right="100" w:hanging="446"/>
        <w:spacing w:after="0" w:line="325"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31" w:right="239" w:bottom="1440" w:gutter="0" w:footer="0" w:header="0"/>
        </w:sectPr>
      </w:pPr>
    </w:p>
    <w:bookmarkStart w:id="33" w:name="page34"/>
    <w:bookmarkEnd w:id="33"/>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60"/>
          </w:cols>
          <w:pgMar w:left="240" w:top="280"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certify that:</w:t>
      </w:r>
    </w:p>
    <w:p>
      <w:pPr>
        <w:spacing w:after="0" w:line="15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900" w:right="920" w:hanging="446"/>
        <w:spacing w:after="0" w:line="347" w:lineRule="auto"/>
        <w:tabs>
          <w:tab w:leader="none" w:pos="9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report is being prepared;</w:t>
      </w:r>
    </w:p>
    <w:p>
      <w:pPr>
        <w:ind w:left="900" w:right="100" w:hanging="446"/>
        <w:spacing w:after="0" w:line="325"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April 28, 2004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188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Operating Officer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219"/>
          </w:cols>
          <w:pgMar w:left="240" w:top="280"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2004,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April 28, 2004</w:t>
      </w:r>
    </w:p>
    <w:p>
      <w:pPr>
        <w:sectPr>
          <w:pgSz w:w="11900" w:h="16838" w:orient="portrait"/>
          <w:cols w:equalWidth="0" w:num="1">
            <w:col w:w="11420"/>
          </w:cols>
          <w:pgMar w:left="240" w:top="1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2004 as filed with the Securities and Exchange Commission on the date hereof (the “Report”), I, David S. Gino, Chief Financial Officer of the Company, certify, pursuant to 18 U.S.C.ss. 1350, as adopted pursuant to ss.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 Chief Operating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April 28,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endash "/>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2019-12-14T18:15:42Z</dcterms:created>
  <dcterms:modified xsi:type="dcterms:W3CDTF">2019-12-14T18:15:42Z</dcterms:modified>
</cp:coreProperties>
</file>