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-230505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380" w:type="dxa"/>
            <w:vAlign w:val="bottom"/>
          </w:tcPr>
          <w:p>
            <w:pPr>
              <w:jc w:val="center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7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9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5376545</wp:posOffset>
            </wp:positionH>
            <wp:positionV relativeFrom="paragraph">
              <wp:posOffset>-611505</wp:posOffset>
            </wp:positionV>
            <wp:extent cx="57150" cy="624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4033520</wp:posOffset>
            </wp:positionH>
            <wp:positionV relativeFrom="paragraph">
              <wp:posOffset>-611505</wp:posOffset>
            </wp:positionV>
            <wp:extent cx="57150" cy="6248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-1814830</wp:posOffset>
            </wp:positionH>
            <wp:positionV relativeFrom="paragraph">
              <wp:posOffset>12700</wp:posOffset>
            </wp:positionV>
            <wp:extent cx="7327265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265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640"/>
            <w:col w:w="868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ASCOLESE MARK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P10 INDUSTRIES,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8214 WESTCHESTER, 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P10 Industries,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PIOE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05/04/2017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820" w:hanging="5"/>
        <w:spacing w:after="0" w:line="23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 and CEO</w:t>
      </w:r>
    </w:p>
    <w:p>
      <w:pPr>
        <w:spacing w:after="0" w:line="5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DALLAS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TX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75225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0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60" w:type="dxa"/>
            <w:vAlign w:val="bottom"/>
            <w:gridSpan w:val="10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4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790,000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1,600,000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4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1,600,000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05/03/2027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43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1,600,000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outstanding options held by reporting person, with various exercise prices, exercisable dates and expiration dates, were terminated pursuant to a Termination Agreement, in exchange for $1.00.</w:t>
      </w:r>
    </w:p>
    <w:p>
      <w:pPr>
        <w:spacing w:after="0" w:line="3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hanging="2"/>
        <w:spacing w:after="0" w:line="239" w:lineRule="auto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Nonqualified Stock Option granted pursuant to a bankruptcy plan. Exercisable on the sixth trading day after the date of grant. Exercise price is the greater of (i) $0.215 and (ii) the arithmetic mean of the sale process for the Common Stock for the five trading days immediately following the date of grant.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Mark A. Ascolese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05/05/2017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4220" w:hanging="2"/>
        <w:spacing w:after="0" w:line="324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12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2019-12-23T15:51:33Z</dcterms:created>
  <dcterms:modified xsi:type="dcterms:W3CDTF">2019-12-23T15:51:33Z</dcterms:modified>
</cp:coreProperties>
</file>