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January 22, 2025</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333-279769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POST-EFFECTIVE AMENDMENT NO. 1</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TO</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S-1 ON FORM S-3</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P10, Inc.</w:t>
      </w:r>
    </w:p>
    <w:p>
      <w:pPr>
        <w:spacing w:after="0" w:line="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154940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4" w:lineRule="exact"/>
        <w:rPr>
          <w:sz w:val="24"/>
          <w:szCs w:val="24"/>
          <w:color w:val="auto"/>
        </w:rPr>
      </w:pPr>
    </w:p>
    <w:tbl>
      <w:tblPr>
        <w:tblLayout w:type="fixed"/>
        <w:tblInd w:w="1940" w:type="dxa"/>
        <w:tblCellMar>
          <w:top w:w="0" w:type="dxa"/>
          <w:left w:w="0" w:type="dxa"/>
          <w:bottom w:w="0" w:type="dxa"/>
          <w:right w:w="0" w:type="dxa"/>
        </w:tblCellMar>
      </w:tblPr>
      <w:tr>
        <w:trPr>
          <w:trHeight w:val="194"/>
        </w:trPr>
        <w:tc>
          <w:tcPr>
            <w:tcW w:w="3940" w:type="dxa"/>
            <w:vAlign w:val="bottom"/>
          </w:tcPr>
          <w:p>
            <w:pPr>
              <w:jc w:val="center"/>
              <w:ind w:right="1945"/>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140" w:type="dxa"/>
            <w:vAlign w:val="bottom"/>
          </w:tcPr>
          <w:p>
            <w:pPr>
              <w:jc w:val="center"/>
              <w:ind w:left="1945"/>
              <w:spacing w:after="0"/>
              <w:rPr>
                <w:sz w:val="20"/>
                <w:szCs w:val="20"/>
                <w:color w:val="auto"/>
              </w:rPr>
            </w:pPr>
            <w:r>
              <w:rPr>
                <w:rFonts w:ascii="Times New Roman" w:cs="Times New Roman" w:eastAsia="Times New Roman" w:hAnsi="Times New Roman"/>
                <w:sz w:val="16"/>
                <w:szCs w:val="16"/>
                <w:b w:val="1"/>
                <w:bCs w:val="1"/>
                <w:color w:val="auto"/>
              </w:rPr>
              <w:t>87-2908160</w:t>
            </w:r>
          </w:p>
        </w:tc>
      </w:tr>
      <w:tr>
        <w:trPr>
          <w:trHeight w:val="148"/>
        </w:trPr>
        <w:tc>
          <w:tcPr>
            <w:tcW w:w="3940" w:type="dxa"/>
            <w:vAlign w:val="bottom"/>
          </w:tcPr>
          <w:p>
            <w:pPr>
              <w:jc w:val="center"/>
              <w:ind w:right="196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40" w:type="dxa"/>
            <w:vAlign w:val="bottom"/>
          </w:tcPr>
          <w:p>
            <w:pPr>
              <w:jc w:val="center"/>
              <w:ind w:left="194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40" w:type="dxa"/>
            <w:vAlign w:val="bottom"/>
          </w:tcPr>
          <w:p>
            <w:pPr>
              <w:jc w:val="center"/>
              <w:ind w:right="194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40" w:type="dxa"/>
            <w:vAlign w:val="bottom"/>
          </w:tcPr>
          <w:p>
            <w:pPr>
              <w:jc w:val="center"/>
              <w:ind w:left="194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7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4514 Cole Avenue, Suite 1600</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Dallas, Texas 75205</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(214) 865-7998</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Luke A. Sarsfield III</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P10, Inc.</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4514 Cole Avenue, Suite 1600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Dallas, Texas 75205</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(214) 865-7998</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tbl>
      <w:tblPr>
        <w:tblLayout w:type="fixed"/>
        <w:tblInd w:w="1880" w:type="dxa"/>
        <w:tblCellMar>
          <w:top w:w="0" w:type="dxa"/>
          <w:left w:w="0" w:type="dxa"/>
          <w:bottom w:w="0" w:type="dxa"/>
          <w:right w:w="0" w:type="dxa"/>
        </w:tblCellMar>
      </w:tblPr>
      <w:tr>
        <w:trPr>
          <w:trHeight w:val="214"/>
        </w:trPr>
        <w:tc>
          <w:tcPr>
            <w:tcW w:w="2640" w:type="dxa"/>
            <w:vAlign w:val="bottom"/>
          </w:tcPr>
          <w:p>
            <w:pPr>
              <w:spacing w:after="0"/>
              <w:rPr>
                <w:sz w:val="18"/>
                <w:szCs w:val="18"/>
                <w:color w:val="auto"/>
              </w:rPr>
            </w:pPr>
          </w:p>
        </w:tc>
        <w:tc>
          <w:tcPr>
            <w:tcW w:w="5280" w:type="dxa"/>
            <w:vAlign w:val="bottom"/>
          </w:tcPr>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With copies to:</w:t>
            </w:r>
          </w:p>
        </w:tc>
      </w:tr>
      <w:tr>
        <w:trPr>
          <w:trHeight w:val="314"/>
        </w:trPr>
        <w:tc>
          <w:tcPr>
            <w:tcW w:w="2640" w:type="dxa"/>
            <w:vAlign w:val="bottom"/>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Melodie Craft, Esq.</w:t>
            </w:r>
          </w:p>
        </w:tc>
        <w:tc>
          <w:tcPr>
            <w:tcW w:w="5280" w:type="dxa"/>
            <w:vAlign w:val="bottom"/>
          </w:tcPr>
          <w:p>
            <w:pPr>
              <w:jc w:val="center"/>
              <w:ind w:left="2519"/>
              <w:spacing w:after="0"/>
              <w:rPr>
                <w:sz w:val="20"/>
                <w:szCs w:val="20"/>
                <w:color w:val="auto"/>
              </w:rPr>
            </w:pPr>
            <w:r>
              <w:rPr>
                <w:rFonts w:ascii="Times New Roman" w:cs="Times New Roman" w:eastAsia="Times New Roman" w:hAnsi="Times New Roman"/>
                <w:sz w:val="16"/>
                <w:szCs w:val="16"/>
                <w:b w:val="1"/>
                <w:bCs w:val="1"/>
                <w:color w:val="auto"/>
              </w:rPr>
              <w:t>Todd E. Lenson, Esq.</w:t>
            </w:r>
          </w:p>
        </w:tc>
      </w:tr>
      <w:tr>
        <w:trPr>
          <w:trHeight w:val="203"/>
        </w:trPr>
        <w:tc>
          <w:tcPr>
            <w:tcW w:w="2640" w:type="dxa"/>
            <w:vAlign w:val="bottom"/>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General Counsel</w:t>
            </w:r>
          </w:p>
        </w:tc>
        <w:tc>
          <w:tcPr>
            <w:tcW w:w="5280" w:type="dxa"/>
            <w:vAlign w:val="bottom"/>
          </w:tcPr>
          <w:p>
            <w:pPr>
              <w:jc w:val="center"/>
              <w:ind w:left="2519"/>
              <w:spacing w:after="0"/>
              <w:rPr>
                <w:sz w:val="20"/>
                <w:szCs w:val="20"/>
                <w:color w:val="auto"/>
              </w:rPr>
            </w:pPr>
            <w:r>
              <w:rPr>
                <w:rFonts w:ascii="Times New Roman" w:cs="Times New Roman" w:eastAsia="Times New Roman" w:hAnsi="Times New Roman"/>
                <w:sz w:val="16"/>
                <w:szCs w:val="16"/>
                <w:b w:val="1"/>
                <w:bCs w:val="1"/>
                <w:color w:val="auto"/>
              </w:rPr>
              <w:t>Kramer Levin Naftalis &amp; Frankel LLP</w:t>
            </w:r>
          </w:p>
        </w:tc>
      </w:tr>
      <w:tr>
        <w:trPr>
          <w:trHeight w:val="202"/>
        </w:trPr>
        <w:tc>
          <w:tcPr>
            <w:tcW w:w="2640" w:type="dxa"/>
            <w:vAlign w:val="bottom"/>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w w:val="99"/>
              </w:rPr>
              <w:t>P10, Inc.</w:t>
            </w:r>
          </w:p>
        </w:tc>
        <w:tc>
          <w:tcPr>
            <w:tcW w:w="5280" w:type="dxa"/>
            <w:vAlign w:val="bottom"/>
          </w:tcPr>
          <w:p>
            <w:pPr>
              <w:jc w:val="center"/>
              <w:ind w:left="2519"/>
              <w:spacing w:after="0"/>
              <w:rPr>
                <w:sz w:val="20"/>
                <w:szCs w:val="20"/>
                <w:color w:val="auto"/>
              </w:rPr>
            </w:pPr>
            <w:r>
              <w:rPr>
                <w:rFonts w:ascii="Times New Roman" w:cs="Times New Roman" w:eastAsia="Times New Roman" w:hAnsi="Times New Roman"/>
                <w:sz w:val="16"/>
                <w:szCs w:val="16"/>
                <w:b w:val="1"/>
                <w:bCs w:val="1"/>
                <w:color w:val="auto"/>
              </w:rPr>
              <w:t>1177 Avenue of the Americas</w:t>
            </w:r>
          </w:p>
        </w:tc>
      </w:tr>
      <w:tr>
        <w:trPr>
          <w:trHeight w:val="203"/>
        </w:trPr>
        <w:tc>
          <w:tcPr>
            <w:tcW w:w="2640" w:type="dxa"/>
            <w:vAlign w:val="bottom"/>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4514 Cole Avenue, Suite 1600</w:t>
            </w:r>
          </w:p>
        </w:tc>
        <w:tc>
          <w:tcPr>
            <w:tcW w:w="5280" w:type="dxa"/>
            <w:vAlign w:val="bottom"/>
          </w:tcPr>
          <w:p>
            <w:pPr>
              <w:jc w:val="center"/>
              <w:ind w:left="2519"/>
              <w:spacing w:after="0"/>
              <w:rPr>
                <w:sz w:val="20"/>
                <w:szCs w:val="20"/>
                <w:color w:val="auto"/>
              </w:rPr>
            </w:pPr>
            <w:r>
              <w:rPr>
                <w:rFonts w:ascii="Times New Roman" w:cs="Times New Roman" w:eastAsia="Times New Roman" w:hAnsi="Times New Roman"/>
                <w:sz w:val="16"/>
                <w:szCs w:val="16"/>
                <w:b w:val="1"/>
                <w:bCs w:val="1"/>
                <w:color w:val="auto"/>
                <w:w w:val="99"/>
              </w:rPr>
              <w:t>New York, NY 10036</w:t>
            </w:r>
          </w:p>
        </w:tc>
      </w:tr>
      <w:tr>
        <w:trPr>
          <w:trHeight w:val="203"/>
        </w:trPr>
        <w:tc>
          <w:tcPr>
            <w:tcW w:w="2640" w:type="dxa"/>
            <w:vAlign w:val="bottom"/>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Dallas, Texas 75205</w:t>
            </w:r>
          </w:p>
        </w:tc>
        <w:tc>
          <w:tcPr>
            <w:tcW w:w="5280" w:type="dxa"/>
            <w:vAlign w:val="bottom"/>
          </w:tcPr>
          <w:p>
            <w:pPr>
              <w:jc w:val="center"/>
              <w:ind w:left="2519"/>
              <w:spacing w:after="0"/>
              <w:rPr>
                <w:sz w:val="20"/>
                <w:szCs w:val="20"/>
                <w:color w:val="auto"/>
              </w:rPr>
            </w:pPr>
            <w:r>
              <w:rPr>
                <w:rFonts w:ascii="Times New Roman" w:cs="Times New Roman" w:eastAsia="Times New Roman" w:hAnsi="Times New Roman"/>
                <w:sz w:val="16"/>
                <w:szCs w:val="16"/>
                <w:b w:val="1"/>
                <w:bCs w:val="1"/>
                <w:color w:val="auto"/>
                <w:w w:val="99"/>
              </w:rPr>
              <w:t>Telephone: (212) 715-9216</w:t>
            </w:r>
          </w:p>
        </w:tc>
      </w:tr>
      <w:tr>
        <w:trPr>
          <w:trHeight w:val="212"/>
        </w:trPr>
        <w:tc>
          <w:tcPr>
            <w:tcW w:w="2640" w:type="dxa"/>
            <w:vAlign w:val="bottom"/>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w w:val="99"/>
              </w:rPr>
              <w:t>Telephone: (214) 997-1956</w:t>
            </w:r>
          </w:p>
        </w:tc>
        <w:tc>
          <w:tcPr>
            <w:tcW w:w="528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167005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the effective date of this Registration Statement.</w:t>
      </w:r>
    </w:p>
    <w:p>
      <w:pPr>
        <w:spacing w:after="0" w:line="80" w:lineRule="exact"/>
        <w:rPr>
          <w:sz w:val="24"/>
          <w:szCs w:val="24"/>
          <w:color w:val="auto"/>
        </w:rPr>
      </w:pPr>
    </w:p>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a dividend or interest reinvestment plans, please check the following box:  </w:t>
      </w:r>
      <w:r>
        <w:rPr>
          <w:rFonts w:ascii="MS PGothic" w:cs="MS PGothic" w:eastAsia="MS PGothic" w:hAnsi="MS PGothic"/>
          <w:sz w:val="14"/>
          <w:szCs w:val="14"/>
          <w:color w:val="auto"/>
        </w:rPr>
        <w:t>☐</w:t>
      </w:r>
    </w:p>
    <w:p>
      <w:pPr>
        <w:spacing w:after="0" w:line="140" w:lineRule="exact"/>
        <w:rPr>
          <w:sz w:val="24"/>
          <w:szCs w:val="24"/>
          <w:color w:val="auto"/>
        </w:rPr>
      </w:pPr>
    </w:p>
    <w:p>
      <w:pPr>
        <w:ind w:left="120" w:right="300"/>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3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36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16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2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Times New Roman" w:cs="Times New Roman" w:eastAsia="Times New Roman" w:hAnsi="Times New Roman"/>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4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5400" w:type="dxa"/>
            <w:vAlign w:val="bottom"/>
          </w:tcPr>
          <w:p>
            <w:pPr>
              <w:ind w:left="3680"/>
              <w:spacing w:after="0"/>
              <w:rPr>
                <w:sz w:val="20"/>
                <w:szCs w:val="20"/>
                <w:color w:val="auto"/>
              </w:rPr>
            </w:pPr>
            <w:r>
              <w:rPr>
                <w:rFonts w:ascii="Times New Roman" w:cs="Times New Roman" w:eastAsia="Times New Roman" w:hAnsi="Times New Roman"/>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0" w:lineRule="exact"/>
        <w:rPr>
          <w:sz w:val="24"/>
          <w:szCs w:val="24"/>
          <w:color w:val="auto"/>
        </w:rPr>
      </w:pPr>
    </w:p>
    <w:p>
      <w:pPr>
        <w:ind w:left="120" w:right="3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130175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1" w:lineRule="exact"/>
        <w:rPr>
          <w:sz w:val="24"/>
          <w:szCs w:val="24"/>
          <w:color w:val="auto"/>
        </w:rPr>
      </w:pPr>
    </w:p>
    <w:p>
      <w:pPr>
        <w:ind w:left="120" w:right="40"/>
        <w:spacing w:after="0"/>
        <w:rPr>
          <w:sz w:val="20"/>
          <w:szCs w:val="20"/>
          <w:color w:val="auto"/>
        </w:rPr>
      </w:pPr>
      <w:r>
        <w:rPr>
          <w:rFonts w:ascii="Times New Roman" w:cs="Times New Roman" w:eastAsia="Times New Roman" w:hAnsi="Times New Roman"/>
          <w:sz w:val="14"/>
          <w:szCs w:val="14"/>
          <w:b w:val="1"/>
          <w:bCs w:val="1"/>
          <w:color w:val="auto"/>
        </w:rPr>
        <w:t>The Registrant hereby amends this Post-Effective Amendment to the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189230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5" w:right="439" w:bottom="124"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 filed a Registration Statement on Form S-1 (File No. 333-279769), declared effective on August 1, 2024. This Post-Effective Amendment No. 1 is being filed to convert such Registration Statement on Form S-1 into a Registration Statement on Form S-3 and to make certain updates and corresponding changes to the Registration Statement and contains an updated prospectus relating to the offering and sale of the shares of Class A Common Stock remaining available for resale under the Registration Statement. All applicable registration fees were paid at the time of the original filing of the Registration Statement. No additional securities are registered hereby.</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0240"/>
          </w:cols>
          <w:pgMar w:left="320" w:top="455" w:right="1339" w:bottom="1440" w:gutter="0" w:footer="0" w:header="0"/>
        </w:sectPr>
      </w:pPr>
    </w:p>
    <w:p>
      <w:pPr>
        <w:spacing w:after="0" w:line="200" w:lineRule="exact"/>
        <w:rPr>
          <w:sz w:val="20"/>
          <w:szCs w:val="20"/>
          <w:color w:val="auto"/>
        </w:rPr>
      </w:pPr>
    </w:p>
    <w:p>
      <w:pPr>
        <w:spacing w:after="0" w:line="288" w:lineRule="exact"/>
        <w:rPr>
          <w:sz w:val="20"/>
          <w:szCs w:val="20"/>
          <w:color w:val="auto"/>
        </w:rPr>
      </w:pPr>
    </w:p>
    <w:tbl>
      <w:tblPr>
        <w:tblLayout w:type="fixed"/>
        <w:tblInd w:w="120" w:type="dxa"/>
        <w:tblCellMar>
          <w:top w:w="0" w:type="dxa"/>
          <w:left w:w="0" w:type="dxa"/>
          <w:bottom w:w="0" w:type="dxa"/>
          <w:right w:w="0" w:type="dxa"/>
        </w:tblCellMar>
      </w:tblPr>
      <w:tr>
        <w:trPr>
          <w:trHeight w:val="935"/>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8"/>
              </w:rPr>
              <w:t>statement</w:t>
            </w:r>
          </w:p>
        </w:tc>
        <w:tc>
          <w:tcPr>
            <w:tcW w:w="220" w:type="dxa"/>
            <w:vAlign w:val="bottom"/>
            <w:textDirection w:val="btLr"/>
          </w:tcPr>
          <w:p>
            <w:pPr>
              <w:ind w:left="13"/>
              <w:spacing w:after="0"/>
              <w:rPr>
                <w:sz w:val="20"/>
                <w:szCs w:val="20"/>
                <w:color w:val="auto"/>
              </w:rPr>
            </w:pPr>
            <w:r>
              <w:rPr>
                <w:rFonts w:ascii="Times New Roman" w:cs="Times New Roman" w:eastAsia="Times New Roman" w:hAnsi="Times New Roman"/>
                <w:sz w:val="18"/>
                <w:szCs w:val="18"/>
                <w:b w:val="1"/>
                <w:bCs w:val="1"/>
                <w:color w:val="FF4338"/>
                <w:w w:val="99"/>
              </w:rPr>
              <w:t>offer to buy,</w:t>
            </w:r>
          </w:p>
        </w:tc>
        <w:tc>
          <w:tcPr>
            <w:tcW w:w="200" w:type="dxa"/>
            <w:vAlign w:val="bottom"/>
          </w:tcPr>
          <w:p>
            <w:pPr>
              <w:spacing w:after="0"/>
              <w:rPr>
                <w:sz w:val="24"/>
                <w:szCs w:val="24"/>
                <w:color w:val="auto"/>
              </w:rPr>
            </w:pPr>
          </w:p>
        </w:tc>
      </w:tr>
      <w:tr>
        <w:trPr>
          <w:trHeight w:val="970"/>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registration</w:t>
            </w:r>
          </w:p>
        </w:tc>
        <w:tc>
          <w:tcPr>
            <w:tcW w:w="220" w:type="dxa"/>
            <w:vAlign w:val="bottom"/>
            <w:textDirection w:val="btLr"/>
          </w:tcPr>
          <w:p>
            <w:pPr>
              <w:ind w:left="13"/>
              <w:spacing w:after="0"/>
              <w:rPr>
                <w:sz w:val="20"/>
                <w:szCs w:val="20"/>
                <w:color w:val="auto"/>
              </w:rPr>
            </w:pPr>
            <w:r>
              <w:rPr>
                <w:rFonts w:ascii="Times New Roman" w:cs="Times New Roman" w:eastAsia="Times New Roman" w:hAnsi="Times New Roman"/>
                <w:sz w:val="18"/>
                <w:szCs w:val="18"/>
                <w:b w:val="1"/>
                <w:bCs w:val="1"/>
                <w:color w:val="FF4338"/>
                <w:w w:val="99"/>
              </w:rPr>
              <w:t>soliciting an</w:t>
            </w:r>
          </w:p>
        </w:tc>
        <w:tc>
          <w:tcPr>
            <w:tcW w:w="200" w:type="dxa"/>
            <w:vAlign w:val="bottom"/>
          </w:tcPr>
          <w:p>
            <w:pPr>
              <w:spacing w:after="0"/>
              <w:rPr>
                <w:sz w:val="24"/>
                <w:szCs w:val="24"/>
                <w:color w:val="auto"/>
              </w:rPr>
            </w:pPr>
          </w:p>
        </w:tc>
      </w:tr>
      <w:tr>
        <w:trPr>
          <w:trHeight w:val="649"/>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rPr>
              <w:t>until the</w:t>
            </w:r>
          </w:p>
        </w:tc>
        <w:tc>
          <w:tcPr>
            <w:tcW w:w="220" w:type="dxa"/>
            <w:vAlign w:val="bottom"/>
            <w:textDirection w:val="btLr"/>
          </w:tcPr>
          <w:p>
            <w:pPr>
              <w:ind w:left="13"/>
              <w:spacing w:after="0"/>
              <w:rPr>
                <w:sz w:val="20"/>
                <w:szCs w:val="20"/>
                <w:color w:val="auto"/>
              </w:rPr>
            </w:pPr>
            <w:r>
              <w:rPr>
                <w:rFonts w:ascii="Times New Roman" w:cs="Times New Roman" w:eastAsia="Times New Roman" w:hAnsi="Times New Roman"/>
                <w:sz w:val="18"/>
                <w:szCs w:val="18"/>
                <w:b w:val="1"/>
                <w:bCs w:val="1"/>
                <w:color w:val="FF4338"/>
              </w:rPr>
              <w:t>it is not</w:t>
            </w:r>
          </w:p>
        </w:tc>
        <w:tc>
          <w:tcPr>
            <w:tcW w:w="200" w:type="dxa"/>
            <w:vAlign w:val="bottom"/>
          </w:tcPr>
          <w:p>
            <w:pPr>
              <w:spacing w:after="0"/>
              <w:rPr>
                <w:sz w:val="24"/>
                <w:szCs w:val="24"/>
                <w:color w:val="auto"/>
              </w:rPr>
            </w:pPr>
          </w:p>
        </w:tc>
      </w:tr>
      <w:tr>
        <w:trPr>
          <w:trHeight w:val="875"/>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8"/>
              </w:rPr>
              <w:t>not be sold</w:t>
            </w:r>
          </w:p>
        </w:tc>
        <w:tc>
          <w:tcPr>
            <w:tcW w:w="220" w:type="dxa"/>
            <w:vAlign w:val="bottom"/>
            <w:textDirection w:val="btLr"/>
          </w:tcPr>
          <w:p>
            <w:pPr>
              <w:ind w:left="13"/>
              <w:spacing w:after="0"/>
              <w:rPr>
                <w:sz w:val="20"/>
                <w:szCs w:val="20"/>
                <w:color w:val="auto"/>
              </w:rPr>
            </w:pPr>
            <w:r>
              <w:rPr>
                <w:rFonts w:ascii="Times New Roman" w:cs="Times New Roman" w:eastAsia="Times New Roman" w:hAnsi="Times New Roman"/>
                <w:sz w:val="18"/>
                <w:szCs w:val="18"/>
                <w:b w:val="1"/>
                <w:bCs w:val="1"/>
                <w:color w:val="FF4338"/>
                <w:w w:val="99"/>
              </w:rPr>
              <w:t>to sell, and</w:t>
            </w:r>
          </w:p>
        </w:tc>
        <w:tc>
          <w:tcPr>
            <w:tcW w:w="200" w:type="dxa"/>
            <w:vAlign w:val="bottom"/>
          </w:tcPr>
          <w:p>
            <w:pPr>
              <w:spacing w:after="0"/>
              <w:rPr>
                <w:sz w:val="24"/>
                <w:szCs w:val="24"/>
                <w:color w:val="auto"/>
              </w:rPr>
            </w:pPr>
          </w:p>
        </w:tc>
      </w:tr>
      <w:tr>
        <w:trPr>
          <w:trHeight w:val="3299"/>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and may be changed. These securities may</w:t>
            </w:r>
          </w:p>
        </w:tc>
        <w:tc>
          <w:tcPr>
            <w:tcW w:w="220" w:type="dxa"/>
            <w:vAlign w:val="bottom"/>
            <w:textDirection w:val="btLr"/>
          </w:tcPr>
          <w:p>
            <w:pPr>
              <w:ind w:left="13"/>
              <w:spacing w:after="0"/>
              <w:rPr>
                <w:sz w:val="20"/>
                <w:szCs w:val="20"/>
                <w:color w:val="auto"/>
              </w:rPr>
            </w:pPr>
            <w:r>
              <w:rPr>
                <w:rFonts w:ascii="Times New Roman" w:cs="Times New Roman" w:eastAsia="Times New Roman" w:hAnsi="Times New Roman"/>
                <w:sz w:val="18"/>
                <w:szCs w:val="18"/>
                <w:b w:val="1"/>
                <w:bCs w:val="1"/>
                <w:color w:val="FF4338"/>
                <w:w w:val="99"/>
              </w:rPr>
              <w:t>This preliminary prospectus is not an offer</w:t>
            </w:r>
          </w:p>
        </w:tc>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permitted.</w:t>
            </w:r>
          </w:p>
        </w:tc>
      </w:tr>
      <w:tr>
        <w:trPr>
          <w:trHeight w:val="4857"/>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The information in this preliminary prospectus is not complete</w:t>
            </w:r>
          </w:p>
        </w:tc>
        <w:tc>
          <w:tcPr>
            <w:tcW w:w="220" w:type="dxa"/>
            <w:vAlign w:val="bottom"/>
            <w:textDirection w:val="btLr"/>
          </w:tcPr>
          <w:p>
            <w:pPr>
              <w:ind w:left="13"/>
              <w:spacing w:after="0"/>
              <w:rPr>
                <w:sz w:val="20"/>
                <w:szCs w:val="20"/>
                <w:color w:val="auto"/>
              </w:rPr>
            </w:pPr>
            <w:r>
              <w:rPr>
                <w:rFonts w:ascii="Times New Roman" w:cs="Times New Roman" w:eastAsia="Times New Roman" w:hAnsi="Times New Roman"/>
                <w:sz w:val="18"/>
                <w:szCs w:val="18"/>
                <w:b w:val="1"/>
                <w:bCs w:val="1"/>
                <w:color w:val="FF4338"/>
                <w:w w:val="99"/>
              </w:rPr>
              <w:t>filed with the Securities and Exchange Commission is effective.</w:t>
            </w:r>
          </w:p>
        </w:tc>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these securities in any jurisdiction where the offer or sale is not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4338"/>
        </w:rPr>
        <w:t>Subject to Completion, dated January 22,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Up to 43,610,662</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Shares of</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by Selling</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225425</wp:posOffset>
            </wp:positionV>
            <wp:extent cx="1234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This prospectus relates to the resale from time to time by the selling stockholders named in this prospectus (the “Selling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up to 43,610,662 shares of our Class A common stock, par value $0.001 per share (“Class A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includes: (i) 5,084,781 shares of Class A common stock held directly or indirectly by certain Selling Stockholders; (ii) 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37,653,820 shares of Class A common stock issuable upon conversion of shares of our Class B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$0.001 per share (“Class B common stock”), held directly or indirectly by certain Selling Stockholders; (iii) up to 21,875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Class A common stock that were issued as shares of restricted stock to a Selling Stockholder and remain subject to vesting;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(iv) up to 850,186 shares of Class A common stock issuable upon exercise of stock options held directly or indirectly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Selling Stockholders. We will not receive any proceeds from the sale of our securities by the Selling Stockholders.</w:t>
      </w:r>
    </w:p>
    <w:p>
      <w:pPr>
        <w:spacing w:after="0" w:line="207" w:lineRule="exact"/>
        <w:rPr>
          <w:sz w:val="20"/>
          <w:szCs w:val="20"/>
          <w:color w:val="auto"/>
        </w:rPr>
      </w:pPr>
    </w:p>
    <w:p>
      <w:pPr>
        <w:ind w:firstLine="371"/>
        <w:spacing w:after="0" w:line="266" w:lineRule="auto"/>
        <w:rPr>
          <w:sz w:val="20"/>
          <w:szCs w:val="20"/>
          <w:color w:val="auto"/>
        </w:rPr>
      </w:pPr>
      <w:r>
        <w:rPr>
          <w:rFonts w:ascii="Times New Roman" w:cs="Times New Roman" w:eastAsia="Times New Roman" w:hAnsi="Times New Roman"/>
          <w:sz w:val="18"/>
          <w:szCs w:val="18"/>
          <w:color w:val="auto"/>
        </w:rPr>
        <w:t>We will bear all of the registration expenses incurred in connection with the registration of these shares of Class A common stock. The Selling Stockholders will pay discounts, commissions, fees of underwriters, selling brokers or dealer managers and similar expenses, if any, incurred for the sale of these shares of Class A common stock.</w:t>
      </w:r>
    </w:p>
    <w:p>
      <w:pPr>
        <w:spacing w:after="0" w:line="176" w:lineRule="exact"/>
        <w:rPr>
          <w:sz w:val="20"/>
          <w:szCs w:val="20"/>
          <w:color w:val="auto"/>
        </w:rPr>
      </w:pPr>
    </w:p>
    <w:p>
      <w:pPr>
        <w:ind w:right="60" w:firstLine="371"/>
        <w:spacing w:after="0" w:line="258" w:lineRule="auto"/>
        <w:rPr>
          <w:sz w:val="20"/>
          <w:szCs w:val="20"/>
          <w:color w:val="auto"/>
        </w:rPr>
      </w:pPr>
      <w:r>
        <w:rPr>
          <w:rFonts w:ascii="Times New Roman" w:cs="Times New Roman" w:eastAsia="Times New Roman" w:hAnsi="Times New Roman"/>
          <w:sz w:val="18"/>
          <w:szCs w:val="18"/>
          <w:color w:val="auto"/>
        </w:rPr>
        <w:t>The Selling Stockholders identified in this prospectus may offer the shares from time to time on terms to be determined at the time of sale through ordinary brokerage transactions or through any other means described in this prospectus under the caption “Plan of Distribution.” The shares may be sold at fixed prices, at prevailing market prices, at prices related to prevailing market prices or at negotiated prices. For more information on the Selling Stockholders, see the section entitled “</w:t>
      </w:r>
      <w:r>
        <w:rPr>
          <w:rFonts w:ascii="Times New Roman" w:cs="Times New Roman" w:eastAsia="Times New Roman" w:hAnsi="Times New Roman"/>
          <w:sz w:val="18"/>
          <w:szCs w:val="18"/>
          <w:i w:val="1"/>
          <w:iCs w:val="1"/>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371"/>
        <w:spacing w:after="0" w:line="256"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the entire prospectus and any amendments or supplements carefully before you make your investment decision. Our Class A common stock is listed on the New York Stock Exchange (“NYSE”) under the symbol “PX”. On January 21, 2025, the last reported sales price of our Class A common stock was $13.65 per share. We have two classes of common stock: Class A common stock and Class B common stock. Each share of Class A common stock entitles its holder to one vote per share. Each share of Class B common stock entitles its holder to ten votes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216535</wp:posOffset>
            </wp:positionV>
            <wp:extent cx="1234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both"/>
        <w:ind w:right="40" w:firstLine="371"/>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See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beginning on page 5 of this prospectus, as well as the other information contained in or incorporated by reference in this prospectus or in any accompanying prospectus supplement before making a decision to invest in our securities.</w:t>
      </w:r>
    </w:p>
    <w:p>
      <w:pPr>
        <w:spacing w:after="0" w:line="183" w:lineRule="exact"/>
        <w:rPr>
          <w:sz w:val="20"/>
          <w:szCs w:val="20"/>
          <w:color w:val="auto"/>
        </w:rPr>
      </w:pPr>
    </w:p>
    <w:p>
      <w:pPr>
        <w:ind w:right="60" w:firstLine="371"/>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216535</wp:posOffset>
            </wp:positionV>
            <wp:extent cx="12344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720" w:space="260"/>
            <w:col w:w="9260"/>
          </w:cols>
          <w:pgMar w:left="320" w:top="455" w:right="1339" w:bottom="1440" w:gutter="0" w:footer="0" w:header="0"/>
          <w:type w:val="continuous"/>
        </w:sectPr>
      </w:pPr>
    </w:p>
    <w:p>
      <w:pPr>
        <w:spacing w:after="0" w:line="26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The date of this prospectus is                .</w:t>
      </w:r>
    </w:p>
    <w:p>
      <w:pPr>
        <w:sectPr>
          <w:pgSz w:w="11900" w:h="16838" w:orient="portrait"/>
          <w:cols w:equalWidth="0" w:num="1">
            <w:col w:w="10240"/>
          </w:cols>
          <w:pgMar w:left="320" w:top="455" w:right="1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7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2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4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770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86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04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86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40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658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86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120" w:type="dxa"/>
            <w:vAlign w:val="bottom"/>
          </w:tcPr>
          <w:p>
            <w:pPr>
              <w:spacing w:after="0" w:line="20" w:lineRule="exact"/>
              <w:rPr>
                <w:sz w:val="1"/>
                <w:szCs w:val="1"/>
                <w:color w:val="auto"/>
              </w:rPr>
            </w:pPr>
          </w:p>
        </w:tc>
        <w:tc>
          <w:tcPr>
            <w:tcW w:w="3800" w:type="dxa"/>
            <w:vAlign w:val="bottom"/>
            <w:gridSpan w:val="8"/>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44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bl>
    <w:p>
      <w:pPr>
        <w:jc w:val="right"/>
        <w:spacing w:after="0" w:line="196"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the “shelf” registration process. Under this shelf registration process, the Selling Stockholders (or their pledgees, donees, transferees or other successors-in-interest) may, from time to time, sell or otherwise dispose of the securities described in this prospectus in one or more offerings. We will not receive any proceeds from the sale by such Selling Stockholders of the securities offered by them described in this prospectus.</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shares of Class A common stock that the Selling Stockholders may sell or otherwise dispose of. You should rely only on the information provided in this prospectus, as well as the information incorporated by reference into this prospectus and any applicable prospectus supplement. If there is any inconsistency between the information in this prospectus and any prospectus supplement, you should rely on the information provided in the prospectus supplement. Neither we nor the Selling Stockholders have authorized anyone to provide you with any information or to make any representations other than those contained in this prospectus or any applicable prospectus supplement. Neither we nor the Selling Stockholders take responsibility for, and can provide no assurance as to the reliability of, any other information that others may give you.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 Neither we nor the Selling Stockholders will make an offer to sell these securities in any jurisdiction where the offer or sale is not permitted.</w:t>
      </w:r>
    </w:p>
    <w:p>
      <w:pPr>
        <w:spacing w:after="0" w:line="194"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information incorporated by reference herein or therein. For information about the distribution of securities offered, please 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below. You should carefully read both this prospectus and any prospectus supplement, together with the additional information described in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Incorporation of Certain Information by Reference</w:t>
      </w:r>
      <w:r>
        <w:rPr>
          <w:rFonts w:ascii="Times New Roman" w:cs="Times New Roman" w:eastAsia="Times New Roman" w:hAnsi="Times New Roman"/>
          <w:sz w:val="17"/>
          <w:szCs w:val="17"/>
          <w:color w:val="auto"/>
        </w:rPr>
        <w:t>” before you make any investment decisions regarding the securities. You may obtain the information incorporated by reference into this prospectus without charge by following the instructions under the headings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Incorporation of Certain Information by Reference.</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summarizes certain documents and other information, and we refer you to them for a more complete understanding of what we discuss in this prospectus. All of the summaries are qualified in their entirety by the actual documents. In making an investment decision, you must rely on your own examination of the Company and the terms of the offering and the securities, including the merits and risks involved.</w:t>
      </w:r>
    </w:p>
    <w:p>
      <w:pPr>
        <w:spacing w:after="0" w:line="176"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We are not making any representation to any purchasers of the securities regarding the legality of an investment in the securities by such purchasers. You should not consider any information in this prospectus to be legal, business or tax advice. You should consult your own attorney, business advisor or tax advisor for legal, business and tax advice regarding an investment in the securities.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“P10,” “we,” “us,” “our” and similar terms refer to P10,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This prospectus, any prospectus supplement and any related free writing prospectus, including the information incorporated by reference herein and therein, contain or may contain forward-looking statements, which reflect our current views with respect to, among other things, future events and financial performance, our operations, strategies and expectations. The words “believe,” “may,” “will,” “estimate,” “continue,” “anticipate,” “intend,” “expect,” “plan” and similar expressions are intended to identify these forward-looking statements. Any forward-looking statements contained in this prospectus are based upon our historical performance and on our current plans, estimates and expectations. The inclusion of this or any forward-looking information should not be regarded as a representation by us or any other person that the future plans, estimates or expectations contemplated by us will be achieved. Such forward-looking statements are subject to various risks, uncertainties and assumptions, including but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Accordingly, there are or will be important factors that could cause actual outcomes or results to differ materially from those indicated in these statements. We believe these factors include, but are not limited to, those described or incorporated by reference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These factors should not be construed as exhaustive and should be read in conjunction with the other cautionary statements that are included or incorporated by reference in this prospectus or any applicable prospectus supplement.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We undertake no obligation to publicly update or review any forward-looking statement, whether as a result of new information or future developments, except as otherwise required by law.</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elsewhere in or incorporated by reference into this prospectus. Because it is a summary, it may not contain all of the information that may be important to you. To understand this offering fully, you should read this entire prospectus and the documents incorporated by reference herein carefully, including the information referenced under the heading “Risk Factors” and in our financial statements, together with any accompanying prospectus supplement. Unless otherwise indicated or the context otherwise requires, all references in this prospectus to “we, ““us,” “our,” the “Company,” “P10”and similar terms refer to P10, Inc. and its subsidiaries. As used in this prospectus, (i) the term “P10 Holdings” refers to P10 Holdings, Inc. for all periods and (ii) the term “P10, Inc.” refers solely to P10, Inc., a Delaware corporation, and not to any of its subsidiaries.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120" w:firstLine="426"/>
        <w:spacing w:after="0" w:line="254" w:lineRule="auto"/>
        <w:rPr>
          <w:sz w:val="20"/>
          <w:szCs w:val="20"/>
          <w:color w:val="auto"/>
        </w:rPr>
      </w:pPr>
      <w:r>
        <w:rPr>
          <w:rFonts w:ascii="Times New Roman" w:cs="Times New Roman" w:eastAsia="Times New Roman" w:hAnsi="Times New Roman"/>
          <w:sz w:val="18"/>
          <w:szCs w:val="18"/>
          <w:color w:val="auto"/>
        </w:rPr>
        <w:t>We are a leading multi-asset class private market solutions provider in the alternative asset management industry. Our mission is to provide our investors differentiated access to a broad set of investment solutions that address their diverse investment needs within private markets. We structure, manage and monitor portfolios of private market investments, which include specialized funds and customized separate accounts within primary investment funds, secondary investments, direct investments and co-investments, (collectively, “specialized investment vehicles”) across highly attractive asset classes and geographies in the middle and lower middle markets that generate superior risk-adjusted returns. Our existing portfolio of private solutions include Private Equity, Venture Capital, Impact Investing and Private Credit. Our deep industry relationships, differentiated investment access and structure, proprietary data analytics, and our portfolio monitoring and reporting capabilities provide our investors the ability to navigate the increasingly complex and difficult to access private markets investments.</w:t>
      </w:r>
    </w:p>
    <w:p>
      <w:pPr>
        <w:spacing w:after="0" w:line="192"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Our revenue is composed almost entirely of recurring management and advisory fees, with the vast majority of fees earned on committed capital that is typically subject to ten to fifteen year lock up agreements. We have an attractive business model that is underpinned by highly recurring, diversified management and advisory fee revenues, and strong free cash flow. The nature of our solutions and the integral role that our solutions play in our investors’ investment decisions have translated into high revenue visibility and investor retention.</w:t>
      </w:r>
    </w:p>
    <w:p>
      <w:pPr>
        <w:spacing w:after="0" w:line="180"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 xml:space="preserve">We are differentiated by the scale, depth, diversity and investment performance of our solutions, which are bolstered by the investment expertise of our investment team, our long-standing access to leading fund managers, our robust and constantly expanding data capabilities and our disciplined investment process. We market our solutions under well-established brands within the specialized markets in which we operate. These include RCP Advisors 2, LLC (“RCP 2”) and RCP Advisors 3, LLC (“RCP3”, and collectively with RCP 2, “RCP Advisors”), Bonaccord Capital Advisors LLC, and P10 Advisors, LLC, our </w:t>
      </w:r>
      <w:r>
        <w:rPr>
          <w:rFonts w:ascii="Times New Roman" w:cs="Times New Roman" w:eastAsia="Times New Roman" w:hAnsi="Times New Roman"/>
          <w:sz w:val="18"/>
          <w:szCs w:val="18"/>
          <w:i w:val="1"/>
          <w:iCs w:val="1"/>
          <w:color w:val="auto"/>
        </w:rPr>
        <w:t>Private Equity</w:t>
      </w:r>
      <w:r>
        <w:rPr>
          <w:rFonts w:ascii="Times New Roman" w:cs="Times New Roman" w:eastAsia="Times New Roman" w:hAnsi="Times New Roman"/>
          <w:sz w:val="18"/>
          <w:szCs w:val="18"/>
          <w:color w:val="auto"/>
        </w:rPr>
        <w:t xml:space="preserve"> solutions; TrueBridge Capital Partners LLC (“TrueBridge”), our </w:t>
      </w:r>
      <w:r>
        <w:rPr>
          <w:rFonts w:ascii="Times New Roman" w:cs="Times New Roman" w:eastAsia="Times New Roman" w:hAnsi="Times New Roman"/>
          <w:sz w:val="18"/>
          <w:szCs w:val="18"/>
          <w:i w:val="1"/>
          <w:iCs w:val="1"/>
          <w:color w:val="auto"/>
        </w:rPr>
        <w:t>Venture Capital</w:t>
      </w:r>
      <w:r>
        <w:rPr>
          <w:rFonts w:ascii="Times New Roman" w:cs="Times New Roman" w:eastAsia="Times New Roman" w:hAnsi="Times New Roman"/>
          <w:sz w:val="18"/>
          <w:szCs w:val="18"/>
          <w:color w:val="auto"/>
        </w:rPr>
        <w:t xml:space="preserve"> solution; Enhanced Capital Group, LLC (“Enhanced”), our </w:t>
      </w:r>
      <w:r>
        <w:rPr>
          <w:rFonts w:ascii="Times New Roman" w:cs="Times New Roman" w:eastAsia="Times New Roman" w:hAnsi="Times New Roman"/>
          <w:sz w:val="18"/>
          <w:szCs w:val="18"/>
          <w:i w:val="1"/>
          <w:iCs w:val="1"/>
          <w:color w:val="auto"/>
        </w:rPr>
        <w:t>Impact Investing</w:t>
      </w:r>
      <w:r>
        <w:rPr>
          <w:rFonts w:ascii="Times New Roman" w:cs="Times New Roman" w:eastAsia="Times New Roman" w:hAnsi="Times New Roman"/>
          <w:sz w:val="18"/>
          <w:szCs w:val="18"/>
          <w:color w:val="auto"/>
        </w:rPr>
        <w:t xml:space="preserve"> solution; and Five Points Capital, Inc. (“Five Points”), Hark Capital Advisors, LLC, and Westech Investment Advisors LLC (“WTI”), our </w:t>
      </w:r>
      <w:r>
        <w:rPr>
          <w:rFonts w:ascii="Times New Roman" w:cs="Times New Roman" w:eastAsia="Times New Roman" w:hAnsi="Times New Roman"/>
          <w:sz w:val="18"/>
          <w:szCs w:val="18"/>
          <w:i w:val="1"/>
          <w:iCs w:val="1"/>
          <w:color w:val="auto"/>
        </w:rPr>
        <w:t>Private Credit</w:t>
      </w:r>
      <w:r>
        <w:rPr>
          <w:rFonts w:ascii="Times New Roman" w:cs="Times New Roman" w:eastAsia="Times New Roman" w:hAnsi="Times New Roman"/>
          <w:sz w:val="18"/>
          <w:szCs w:val="18"/>
          <w:color w:val="auto"/>
        </w:rPr>
        <w:t xml:space="preserve"> solutions (which Five Points also offers certain private equity solutions). In September 2024, we entered into a definitive agreement to acquire Qualitas Equity Funds SGEIC, S.A. for an initial purchase price of $63 million with the potential for additional earnout consideration. We believe adding new asset class solutions will foster deeper manager relationships, enabling managers and portfolio companies alike to benefit from our offering and expect to expand within other asset classes and geographies through additional acquisitions and future planned organic growth by providing additional specialized investment vehicles within our existing investment asset class solutions. We expect the Qualitas acquisition to close in the first quarter of 2025, subject to customary closing conditions and regulatory approvals, including Spanish regulatory approval, and continue to pursue additional acquisitions and other growth opportunities.</w:t>
      </w:r>
    </w:p>
    <w:p>
      <w:pPr>
        <w:spacing w:after="0" w:line="3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3790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3790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Our success and growth have been driven by our long history of strong performance and our position in the private markets ecosystem. We believe our growing scale in the middle and lower-middle market provides us a competitive advantage with investors and fund managers. In addition, our senior investment professionals have developed strong and long-tenured relationships with leading middle and lower middle market private equity and venture capital firms, which we believe provides us with differentiated access to the relationship-driven middle and lower-middle market private equity and venture capital sectors. As we expand our offerings, our investors entrust us with additional capital, which strengthens our relationships with our fund managers, drives additional investment opportunities, sources more data, enables portfolio optimization and enhances returns, and in turn attracts new investors. We believe this powerful feedback process will continue to strengthen our position within the private markets ecosystem. In addition, our multi-asset class solutions are highly synergistic, and coupled with our vast network of general partners and portfolio companies, drive cross-solution sourcing opportunities.</w:t>
      </w:r>
    </w:p>
    <w:p>
      <w:pPr>
        <w:spacing w:after="0" w:line="188"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Our global investor base includes some of the world’s largest institutional investors, including pension funds, endowments, foundations, corporate pensions and financial institutions. In addition, we have a strong footprint within some of the most prominent family offices and high net worth individuals. We have a significant presence within the middle and lower middle-market private markets industry in North America, where the majority of our capital is currently being deployed as we leverage our differentiated solutions to serve our global investors.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color w:val="auto"/>
        </w:rPr>
        <w:t>P10, Inc. was incorporated in Delaware on January 20, 2021 as a wholly owned subsidiary of P10 Holdings, Inc. P10, Inc. became the sole stockholder of P10 Holdings, Inc. (“P10 Holdings”) pursuant to a corporate reorganization effected by the Company in connection with its initial public offering (the “P10 Reorganization”). Our principal executive office is located at 4514 Cole Avenue, Suite 1600, Dallas, Texas 75205, and our phone number is (214) 865-7998. Our website is www.p10alts.com. Information contained on or accessible through our website is not incorporated by reference into this prospectus and should not be considered a part of this prospectus.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300" w:right="320" w:firstLine="426"/>
        <w:spacing w:after="0" w:line="282" w:lineRule="auto"/>
        <w:rPr>
          <w:sz w:val="20"/>
          <w:szCs w:val="20"/>
          <w:color w:val="auto"/>
        </w:rPr>
      </w:pPr>
      <w:r>
        <w:rPr>
          <w:rFonts w:ascii="Times New Roman" w:cs="Times New Roman" w:eastAsia="Times New Roman" w:hAnsi="Times New Roman"/>
          <w:sz w:val="18"/>
          <w:szCs w:val="18"/>
          <w:color w:val="auto"/>
        </w:rPr>
        <w:t>The Selling Stockholders may offer or sell up to an aggregate of 43,610,662 Class A common stock in one or more offerings. We will not receive any proceeds from any such sale by the selling stockholders.</w:t>
      </w:r>
    </w:p>
    <w:p>
      <w:pPr>
        <w:spacing w:after="0" w:line="162"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securities may be sold to or through underwriters, dealers or agents or directly to purchasers or as otherwise set forth in the section of this prospectus captioned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or in any applicable post-effective amendment or prospectus supplement. Each post-effective amendment or prospectus supplement will set forth the names of any underwriters, dealers, agents or other entities involved in the sale of securities described in that post-effective amendment or prospectus supplement and any applicable fee, commission or discount arrangements with them.</w:t>
      </w:r>
    </w:p>
    <w:p>
      <w:pPr>
        <w:spacing w:after="0" w:line="180" w:lineRule="exact"/>
        <w:rPr>
          <w:sz w:val="20"/>
          <w:szCs w:val="20"/>
          <w:color w:val="auto"/>
        </w:rPr>
      </w:pPr>
    </w:p>
    <w:p>
      <w:pPr>
        <w:jc w:val="both"/>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Holders of our Class A common stock are entitled to receive dividends declared by our board of directors out of funds legally available for the payment of dividends, subject to rights, if any, of preferred stockholders. Each holder of common stock is entitled to one vote per share. The holders of common stock have no preemptive rights.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risks. You should carefully consider the risks, uncertainties and other factors described in our most recent Annual Report on Form 10-K, as supplemented and updated by subsequent Quarterly Reports on Form 10-Q and Current Reports on Form 8-K that we have filed or will file with the SEC, and in other documents which are incorporated by reference into this prospectus, including all future filings we make with the SEC pursuant to Sections 13(a), 13(c), 14 or 15(d) of the Securities Exchange Act of 1934, as amended (the “Exchange Act”), as well as the risk factors and other information contained in or incorporated by reference into any accompanying prospectus supplement before investing in any of our securities. Our financial condition, results of operations or cash flows could be materially adversely affected by any of these risks. The risks and uncertainties described in the documents incorporated by reference herein are not the only risks and uncertainties that you may face.</w:t>
      </w:r>
    </w:p>
    <w:p>
      <w:pPr>
        <w:spacing w:after="0" w:line="187"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color w:val="auto"/>
        </w:rPr>
        <w:t>For more information about our SEC filings, please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All shares of Class A common stock offered by this prospectus are being registered for resale by the Selling Stockholders. We will not receive any of the proceeds from the sale of these securities. The Selling Stockholders will bear all commissions and discounts, if any, attributable to the resale of the shares of Class A common stock.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Stockholders named below may resell from time to time up to 43,610,662 shares of the Class A common stock, which includes: (i) 5,084,781 shares of Class A common stock held directly or indirectly by certain Selling Stockholders; (ii) up to 37,653,820 shares of Class A common stock issuable upon conversion of shares of our Class B common stock held directly or indirectly by certain Selling Stockholders; (iii) up to 21,875 shares of Class A common stock that were issued as shares of restricted stock to a Selling Stockholder and remain subject to vesting; and (iv) up to 850,186 shares of Class A common stock issuable upon exercise of stock options held directly or indirectly by certain Selling Stockholders.</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October 20, 2021, in connection with our initial public offering, the Company undertook certain transactions as part of the P10 Reorganization, pursuant to which, among other things, P10 Intermediate Holdings LLC (“P10 Intermediate Holdings”), a subsidiary of P10 Holdings in which P10 Holdings owned all of the outstanding common units and in which members of the Company’s management, including employees, and other investors, owned preferred units, with P10 Intermediate Holdings surviving. In connection with this transaction, the Company issued an aggregate of 97,155,596 shares of the Company’s Class B common, with the preferred unit holders received Class B common stock of the Company in exchange for their preferred units, on a 1-for-1 basis (one share of Class B common stock for each preferred unit). Following the P10 Reorganization, the Company became the sole stockholder of P10 Holdings. All shares of Class B common stock identified or otherwise described below were originally issued by the Company through certain transactions undertaken as part of the P10 Reorganization, with such shares of Class B common stock being issued in exchange for certain equity interests in a predecessor or affiliate of the Company, as applicable, that were acquired by such holders in a private placement prior to the initial public offering. In connection with the P10 Reorganization, certain of the Selling Stockholders entered into a Stockholders Agreement, dated as of October 20, 2021 with the Company pursuant to which, among other things, they were granted certain registration rights. In addition, the Company granted certain registration rights to each of Robert Alpert, Clark Webb and Scott Gwilliam in accordance with certain agreements entered into between the Company and those individuals. We are registering the offer and sale of the shares of Class A common stock to satisfy these registration rights we have granted to the Selling Stockholders.</w:t>
      </w:r>
    </w:p>
    <w:p>
      <w:pPr>
        <w:spacing w:after="0" w:line="19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Holders of Class B common stock may elect to convert shares of Class B common stock on a one-for-one basis into Class A common stock at any time. After a Sunset (as defined below) becomes effective, each share of Class B common stock will automatically convert into Class A common stock. A “Sunset” is triggered by any of the earlier of the following: (i) the Sunset Holders (as defined in the Company’s amended and restated certificate of incorporation)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Company’s amended and restated certificate of incorporation.</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following table shows information as of January 20, 2025 regarding (i) the number of shares of Class A common stock held of record or beneficially by the Selling Stockholders as of such date (as determined below) (including the number of shares of Class A common stock that may be issued upon the conversion of Class B common stock, settlement of outstanding restricted stock units, or exercise of outstanding stock options and the number shares of restricted Class A common stock that are subject to vesting) and (ii) the number of shares that may be offered under this prospectus by the Selling Stockholders. The beneficial ownership of the issued and issuable shares of Class A common stock set forth in the following table is determined in accordance with Rule 13d-3 under the Exchange Act, and the information is not necessarily indicative of beneficial ownership for any other purpose.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percentage of shares owned prior to completion of the offering is based on 69,128,856 shares of Class A common stock outstanding as of January 13, 2025.</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700" w:type="dxa"/>
            <w:vAlign w:val="bottom"/>
            <w:gridSpan w:val="4"/>
          </w:tcPr>
          <w:p>
            <w:pPr>
              <w:jc w:val="center"/>
              <w:ind w:right="640"/>
              <w:spacing w:after="0"/>
              <w:rPr>
                <w:sz w:val="20"/>
                <w:szCs w:val="20"/>
                <w:color w:val="auto"/>
              </w:rPr>
            </w:pPr>
            <w:r>
              <w:rPr>
                <w:rFonts w:ascii="Times New Roman" w:cs="Times New Roman" w:eastAsia="Times New Roman" w:hAnsi="Times New Roman"/>
                <w:sz w:val="14"/>
                <w:szCs w:val="14"/>
                <w:color w:val="auto"/>
              </w:rPr>
              <w:t>Shares of Class A</w:t>
            </w:r>
          </w:p>
        </w:tc>
        <w:tc>
          <w:tcPr>
            <w:tcW w:w="17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Shares of Class A</w:t>
            </w:r>
          </w:p>
        </w:tc>
        <w:tc>
          <w:tcPr>
            <w:tcW w:w="20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color w:val="auto"/>
              </w:rPr>
              <w:t>Shares of Class A</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2700" w:type="dxa"/>
            <w:vAlign w:val="bottom"/>
            <w:gridSpan w:val="4"/>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17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common stock offered</w:t>
            </w:r>
          </w:p>
        </w:tc>
        <w:tc>
          <w:tcPr>
            <w:tcW w:w="200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2700" w:type="dxa"/>
            <w:vAlign w:val="bottom"/>
            <w:gridSpan w:val="4"/>
          </w:tcPr>
          <w:p>
            <w:pPr>
              <w:jc w:val="center"/>
              <w:ind w:right="640"/>
              <w:spacing w:after="0" w:line="149" w:lineRule="exact"/>
              <w:rPr>
                <w:sz w:val="20"/>
                <w:szCs w:val="20"/>
                <w:color w:val="auto"/>
              </w:rPr>
            </w:pPr>
            <w:r>
              <w:rPr>
                <w:rFonts w:ascii="Times New Roman" w:cs="Times New Roman" w:eastAsia="Times New Roman" w:hAnsi="Times New Roman"/>
                <w:sz w:val="14"/>
                <w:szCs w:val="14"/>
                <w:color w:val="auto"/>
              </w:rPr>
              <w:t>beneficially owned</w:t>
            </w:r>
          </w:p>
        </w:tc>
        <w:tc>
          <w:tcPr>
            <w:tcW w:w="17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pursuant to this</w:t>
            </w:r>
          </w:p>
        </w:tc>
        <w:tc>
          <w:tcPr>
            <w:tcW w:w="200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beneficially owned after</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2700" w:type="dxa"/>
            <w:vAlign w:val="bottom"/>
            <w:gridSpan w:val="4"/>
          </w:tcPr>
          <w:p>
            <w:pPr>
              <w:jc w:val="center"/>
              <w:ind w:right="620"/>
              <w:spacing w:after="0"/>
              <w:rPr>
                <w:sz w:val="20"/>
                <w:szCs w:val="20"/>
                <w:color w:val="auto"/>
              </w:rPr>
            </w:pPr>
            <w:r>
              <w:rPr>
                <w:rFonts w:ascii="Times New Roman" w:cs="Times New Roman" w:eastAsia="Times New Roman" w:hAnsi="Times New Roman"/>
                <w:sz w:val="14"/>
                <w:szCs w:val="14"/>
                <w:color w:val="auto"/>
              </w:rPr>
              <w:t>before this offering</w:t>
            </w:r>
          </w:p>
        </w:tc>
        <w:tc>
          <w:tcPr>
            <w:tcW w:w="17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prospectus</w:t>
            </w:r>
          </w:p>
        </w:tc>
        <w:tc>
          <w:tcPr>
            <w:tcW w:w="20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color w:val="auto"/>
              </w:rPr>
              <w:t>this offering</w:t>
            </w:r>
          </w:p>
        </w:tc>
        <w:tc>
          <w:tcPr>
            <w:tcW w:w="0" w:type="dxa"/>
            <w:vAlign w:val="bottom"/>
          </w:tcPr>
          <w:p>
            <w:pPr>
              <w:spacing w:after="0"/>
              <w:rPr>
                <w:sz w:val="1"/>
                <w:szCs w:val="1"/>
                <w:color w:val="auto"/>
              </w:rPr>
            </w:pPr>
          </w:p>
        </w:tc>
      </w:tr>
      <w:tr>
        <w:trPr>
          <w:trHeight w:val="119"/>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of Selling Stockholder</w:t>
            </w:r>
          </w:p>
        </w:tc>
        <w:tc>
          <w:tcPr>
            <w:tcW w:w="1280" w:type="dxa"/>
            <w:vAlign w:val="bottom"/>
            <w:tcBorders>
              <w:top w:val="single" w:sz="8" w:color="auto"/>
            </w:tcBorders>
            <w:gridSpan w:val="2"/>
          </w:tcPr>
          <w:p>
            <w:pPr>
              <w:jc w:val="right"/>
              <w:ind w:right="560"/>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8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Percentage of</w:t>
            </w:r>
          </w:p>
        </w:tc>
        <w:tc>
          <w:tcPr>
            <w:tcW w:w="620" w:type="dxa"/>
            <w:vAlign w:val="bottom"/>
          </w:tcPr>
          <w:p>
            <w:pPr>
              <w:spacing w:after="0"/>
              <w:rPr>
                <w:sz w:val="10"/>
                <w:szCs w:val="10"/>
                <w:color w:val="auto"/>
              </w:rPr>
            </w:pPr>
          </w:p>
        </w:tc>
        <w:tc>
          <w:tcPr>
            <w:tcW w:w="13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480" w:type="dxa"/>
            <w:vAlign w:val="bottom"/>
          </w:tcPr>
          <w:p>
            <w:pPr>
              <w:spacing w:after="0"/>
              <w:rPr>
                <w:sz w:val="10"/>
                <w:szCs w:val="10"/>
                <w:color w:val="auto"/>
              </w:rPr>
            </w:pPr>
          </w:p>
        </w:tc>
        <w:tc>
          <w:tcPr>
            <w:tcW w:w="1140" w:type="dxa"/>
            <w:vAlign w:val="bottom"/>
            <w:tcBorders>
              <w:top w:val="single" w:sz="8" w:color="auto"/>
            </w:tcBorders>
            <w:gridSpan w:val="2"/>
          </w:tcPr>
          <w:p>
            <w:pPr>
              <w:jc w:val="center"/>
              <w:ind w:right="480"/>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8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Percentage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vMerge w:val="continue"/>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14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shares</w:t>
            </w:r>
          </w:p>
        </w:tc>
        <w:tc>
          <w:tcPr>
            <w:tcW w:w="17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rPr>
              <w:t>shares</w:t>
            </w: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Alpert (1)(2)</w:t>
            </w:r>
          </w:p>
        </w:tc>
        <w:tc>
          <w:tcPr>
            <w:tcW w:w="7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5"/>
              </w:rPr>
              <w:t>425,093</w:t>
            </w:r>
          </w:p>
        </w:tc>
        <w:tc>
          <w:tcPr>
            <w:tcW w:w="5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425,093</w:t>
            </w: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 Clark Webb (1)(3)</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425,093</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425,093</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210/P10 Acquisition Partners LLC (1)(4)</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3,516,063</w:t>
            </w: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5.1%</w:t>
            </w:r>
          </w:p>
        </w:tc>
        <w:tc>
          <w:tcPr>
            <w:tcW w:w="17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3,516,063</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Scott L. Gwilliam (5)</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347,323</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347,323</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Gwilliam Family Investments LLC (6)</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530,953</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530,953</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TrueBridge Colonial Fund, u/a dated 11/15/2015 (7)</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8,694,409</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11.3%</w:t>
            </w: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8,694,409</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TrueBridge Ascent LLC (8)</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134,451</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134,451</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Alliance Trust Company, Trustee of The Mel Williams</w:t>
            </w: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Irrevocable Trust u/a/d August 12, 2015 (9)</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8,589,713</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11.0%</w:t>
            </w: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8,589,713</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MAW Management Co. (10)</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104,698</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104,698</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Charles K. Huebner as Trustee of the Charles K.</w:t>
            </w: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Huebner Trust dated January 16, 2001 (11)</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4,261,939</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5.8%</w:t>
            </w: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4,261,939</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Souder (12)</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4,732,353</w:t>
            </w: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6.4%</w:t>
            </w:r>
          </w:p>
        </w:tc>
        <w:tc>
          <w:tcPr>
            <w:tcW w:w="17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4,261,939</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470,414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Jon I. Madorsky as Trustee of the Jon I. Madorsky</w:t>
            </w: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Revocable Trust dated December 1, 2008 (13)</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3,871,939</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5.3%</w:t>
            </w: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3,871,939</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Thomas P. Danis, Jr., as Trustee of the Thomas P. Danis,</w:t>
            </w: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Jr. Revocable Living Trust dated March 10, 2003, as</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amended (14)</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2,130,970</w:t>
            </w: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w:t>
            </w:r>
          </w:p>
        </w:tc>
        <w:tc>
          <w:tcPr>
            <w:tcW w:w="17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2,130,970</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Nell Blatherwick (15)</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1,145,410</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w:t>
            </w: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1,011,307</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134,103</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Andrew Nelson and Laurie Nelson</w:t>
            </w: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JTTEN (16)</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971,307</w:t>
            </w: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w:t>
            </w:r>
          </w:p>
        </w:tc>
        <w:tc>
          <w:tcPr>
            <w:tcW w:w="17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971,307</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Alexander Abell (17)</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1,373,323</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w:t>
            </w: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914,993</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458,330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Feinglass (18)</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601,259</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601,259</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David McCoy (19)</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2,861,213</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4.0%</w:t>
            </w: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2,817,213</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44,000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 (1%)</w:t>
      </w:r>
    </w:p>
    <w:p>
      <w:pPr>
        <w:spacing w:after="0" w:line="27" w:lineRule="exact"/>
        <w:rPr>
          <w:sz w:val="20"/>
          <w:szCs w:val="20"/>
          <w:color w:val="auto"/>
        </w:rPr>
      </w:pPr>
    </w:p>
    <w:p>
      <w:pPr>
        <w:ind w:left="540" w:hanging="424"/>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office of this Selling Stockholder is 4514 Cole Avenue, Suite 1600 Dallas, Texas 75205.</w:t>
      </w:r>
    </w:p>
    <w:p>
      <w:pPr>
        <w:spacing w:after="0" w:line="9" w:lineRule="exact"/>
        <w:rPr>
          <w:rFonts w:ascii="Times New Roman" w:cs="Times New Roman" w:eastAsia="Times New Roman" w:hAnsi="Times New Roman"/>
          <w:sz w:val="18"/>
          <w:szCs w:val="18"/>
          <w:color w:val="auto"/>
        </w:rPr>
      </w:pPr>
    </w:p>
    <w:p>
      <w:pPr>
        <w:ind w:left="540" w:right="80" w:hanging="424"/>
        <w:spacing w:after="0" w:line="252"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shares set forth above includes: (i) 228,659 shares of Class A common stock issuable upon exercise of certain stock options, each with an exercise price of $9.93 per share, granted to Mr. Alpert on March 9, 2023, pursuant to the Company’s 2021 Incentive Plan (the “Equity Incentive Plan”), which options are fully vested and exercisable; and (ii) 196,434 shares of Class A common stock issuable upon exercise of certain stock options, each with an exercise price of $9.17 per share, granted to Mr. Alpert on October 23, 2023, pursuant to the Equity Incentive Plan, which options are fully vested and exercisable. Mr. Alpert previously served as: (a) the Co-Chief Executive Officer of the Company from 2017 to October 2023, (b) Executive Chairman of the Company from October 2023 to June 2024, and (c) a member of the board of directors of the Company from 2017 to November 2024.</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40" w:hanging="424"/>
        <w:spacing w:after="0" w:line="253"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shares set forth above includes: (i) 228,659 shares of Class A common stock issuable upon exercise of certain stock options, each with an exercise price of $9.93 per share, granted to Mr. Webb on March 9, 2023, pursuant to the Equity Incentive Plan, which options are fully vested and exercisable; and (ii) 196,434 shares of Class A common stock issuable upon exercise of certain stock options, each with an exercise price of $9.17 per share, granted to Mr. Webb on October 23, 2023, pursuant to the Equity Incentive Plan, which options are fully vested and exercisable. Mr. Webb previously served as: (a) the Co-Chief Executive Officer of the Company from 2017 to October 2023, (b) Executive Vice Chairman of the Company from October 2023 to October 2024, and (c) a member of the board of directors of the Company from 2017 to November 2024.</w:t>
      </w:r>
    </w:p>
    <w:p>
      <w:pPr>
        <w:spacing w:after="0" w:line="2" w:lineRule="exact"/>
        <w:rPr>
          <w:rFonts w:ascii="Times New Roman" w:cs="Times New Roman" w:eastAsia="Times New Roman" w:hAnsi="Times New Roman"/>
          <w:sz w:val="18"/>
          <w:szCs w:val="18"/>
          <w:color w:val="auto"/>
        </w:rPr>
      </w:pPr>
    </w:p>
    <w:p>
      <w:pPr>
        <w:ind w:left="540" w:hanging="424"/>
        <w:spacing w:after="0" w:line="265" w:lineRule="auto"/>
        <w:tabs>
          <w:tab w:leader="none" w:pos="5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amount of shares set forth above consists solely of shares of Class A common stock that are beneficially owned directly or indirectly by 210/P10 Acquisition Partners LLC, 210 Capital, LLC, Covenant RHA Partners, L.P., CCW/LAW Holdings, LLC, RHA Investments, Inc., Robert Alpert, and C. Clark Webb (collectively, the “210 Group Holders”). As of the date of this prospectus, these shares of Class A common stock are owned directly by 210/P10 Acquisition Partners LLC, which may be deemed to be controlled indirectly by Mr. Alpert and Mr. Webb through their respective control of the other members of the 210 Group Holders. Certain 210 Group Holders were previously party to a controlled company agreement, dated October 20, 2021, as amended, with the Company and other parties named therein, which provided the 210 Group Holders the right to designate two nominees of the Company’s board of directors so long as they continued to hold at least 10% of the outstanding shares (or one director if they hold less than 10% but at least 5% of the outstanding shares). Mr. Alpert and Mr. Webb had served as the two directors that were designated by the 210 Group Holders pursuant to the controlled company agreement. On December 18, 2024, the parties to the controlled company agreement entered into an amendment to remove 210/P10 Acquisition Partners LLC as a party to such agreement. As a result, none of the 210 Group Holders have any further rights or obligations under the controlled company agreement as of the date of this prospectus. 210/P10 Acquisition Partners LLC acquired all of its shares of Class A common stock upon the conversion of the same number of shares of Class B common stock, which were acquired in connection with the P10 Reorganization, pursuant to which the shares of common stock of P10 Holdings acquired in 2017 and held by 210/P10 Acquisition Partners LLC were converted into shares of Class B common stock.</w:t>
      </w:r>
    </w:p>
    <w:p>
      <w:pPr>
        <w:spacing w:after="0" w:line="2" w:lineRule="exact"/>
        <w:rPr>
          <w:rFonts w:ascii="Times New Roman" w:cs="Times New Roman" w:eastAsia="Times New Roman" w:hAnsi="Times New Roman"/>
          <w:sz w:val="17"/>
          <w:szCs w:val="17"/>
          <w:color w:val="auto"/>
        </w:rPr>
      </w:pPr>
    </w:p>
    <w:p>
      <w:pPr>
        <w:ind w:left="540" w:hanging="424"/>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shares set forth above consists of: (i) 25,215 shares of Class A common stock held directly by Scott L. Gwilliam, which were originally acquired by Mr. Gwilliam as shares of restricted stock in consideration for his services as a director of the Company and have since vested; (ii) 21,875 shares of restricted Class A common stock that remain subject to vesting and were issued to Mr. Gwilliam in consideration for his services as a director of the Company; and (iii) 300,233 shares of Class A common stock that are issuable upon the conversion of the same number of shares of Class B common stock that are held directly by Mr. Gwilliam, of which (A) 269,282 shares of Class B common stock were acquired by Mr. Gwilliam in June 2022 as a pro rata distribution from Keystone XXX, LLC, of which Mr. Gwilliam is a non-managing member, (B) 9,451 shares of Class B common stock were originally acquired by Mr. Gwilliam as shares of restricted stock in consideration for his services as a director of the Company and have since vested, and (C) 21,500 shares of Class B common stock were acquired by Mr. Gwilliam in connection with the P10 Reorganization, in exchange for preferred units of P10 Intermediate Holdings. Mr. Gwilliam currently serves as a director on the board of directors of the Company, and has served in this position since October 2021. The address for this Selling Stockholder is c/o Keystone Capital, 155 N Wacker, Suite 4150, Chicago, IL 60606.</w:t>
      </w:r>
    </w:p>
    <w:p>
      <w:pPr>
        <w:spacing w:after="0" w:line="4"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shares set forth above consists of: (i) 200,000 shares of Class A common stock held directly by Gwilliam Family Investments LLC, and (ii) 330,953 shares of Class A common stock that are issuable upon the conversion of the same number of shares of Class B common stock held directly by Gwilliam Family Investments LLC, all of which shares were acquired by Gwilliam Family Investments LLC in June 2022 as a pro rata distribution from Keystone XXX, LLC, of which Mr. Gwilliam is a non-managing member. Mr. Gwilliam is the Managing Member of the Gwilliam Family Investments LLC. The address for this Selling Stockholder is c/o Keystone Capital, 155 N Wacker, Suite 4150, Chicago, IL 60606.</w:t>
      </w:r>
    </w:p>
    <w:p>
      <w:pPr>
        <w:spacing w:after="0" w:line="2" w:lineRule="exact"/>
        <w:rPr>
          <w:rFonts w:ascii="Times New Roman" w:cs="Times New Roman" w:eastAsia="Times New Roman" w:hAnsi="Times New Roman"/>
          <w:sz w:val="18"/>
          <w:szCs w:val="18"/>
          <w:color w:val="auto"/>
        </w:rPr>
      </w:pPr>
    </w:p>
    <w:p>
      <w:pPr>
        <w:ind w:left="540" w:right="140" w:hanging="424"/>
        <w:spacing w:after="0" w:line="255"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shares set forth above consists of (i) 869,441 shares of Class A common stock issued upon conversion of shares of Class B common stock and (ii) 7,824,968 shares of Class A common stock that are issuable upon the conversion of the same number of shares of Class B common stock, in each</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0"/>
        <w:spacing w:after="0" w:line="253" w:lineRule="auto"/>
        <w:rPr>
          <w:sz w:val="20"/>
          <w:szCs w:val="20"/>
          <w:color w:val="auto"/>
        </w:rPr>
      </w:pPr>
      <w:r>
        <w:rPr>
          <w:rFonts w:ascii="Times New Roman" w:cs="Times New Roman" w:eastAsia="Times New Roman" w:hAnsi="Times New Roman"/>
          <w:sz w:val="18"/>
          <w:szCs w:val="18"/>
          <w:color w:val="auto"/>
        </w:rPr>
        <w:t>case, that are beneficially owned by TrueBridge Colonial Fund, u/a dated 11/15/2015, an irrevocable trust (“TrueBridge Colonial Fund”). First Republic Trust Company of Delaware, LLC is the successor trustee to Edwin Poston, who formerly served as trustee of TrueBridge Colonial Fund, and is a member of the board of directors of the Company. TrueBridge Colonial Fund acquired all of the shares of Class B common stock in connection with the P10 Reorganization, in exchange for preferred units of P10 Intermediate Holdings originally issued to TrueBridge Colonial Fund in connection with the acquisition by the Company of TrueBridge Capital Partners LLC (“TrueBridge”) in October 2020. TrueBridge Colonial Fund was a member of P10 Intermediate Holdings prior to the P10 Reorganization.</w:t>
      </w:r>
    </w:p>
    <w:p>
      <w:pPr>
        <w:spacing w:after="0" w:line="5" w:lineRule="exact"/>
        <w:rPr>
          <w:sz w:val="20"/>
          <w:szCs w:val="20"/>
          <w:color w:val="auto"/>
        </w:rPr>
      </w:pPr>
    </w:p>
    <w:p>
      <w:pPr>
        <w:ind w:left="54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Class A common stock that are issuable upon the conversion of the same number of shares of Class B common stock. TrueBridge Colonial Fund owns a 50% interest in TrueBridge Ascent LLC (“Truebridge Ascent”). TrueBridge Ascent acquired all of the shares of Class B common stock in connection with the P10 Reorganization, in exchange for preferred units of P10 Intermediate Holdings originally issued to TrueBridge Ascent in connection with the acquisition by the Company of TrueBridge in October 2020. TrueBridge Ascent was a member of P10 Intermediate Holdings prior to the P10 Reorganization.</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Class A common stock that are issuable upon the conversion of the same number of shares of Class B common stock that are beneficially owned by the Mel Williams Irrevocable Trust u/a/d August 12, 2015, an irrevocable trust governed by the laws of the State of Nevada (the “Mel Williams Trust”). Alliance Trust Company, a trust company organized under the laws of the State of Nevada, has the power to direct the affairs of the Mel Williams Trust as the trustee. Ben Samuels acts as the Investment Advisor of the Mel Williams Trust, and has exclusive authority under the trust agreement to direct Alliance Trust Company as to the voting and disposition of all securities held by the Mel Williams Trust. The Mel Williams Trust acquired all of the shares of Class B common stock in connection with the P10 Reorganization, in exchange for preferred units of P10 Intermediate Holdings originally issued to the Mel Williams Trust in connection with the acquisition by the Company of TrueBridge in October 2020. The Mel Williams Trust was a member of P10 Intermediate Holdings prior to the P10 Reorganization.</w:t>
      </w:r>
    </w:p>
    <w:p>
      <w:pPr>
        <w:spacing w:after="0" w:line="3"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Class A common stock that are issuable upon the conversion of the same number of shares of Class B common stock that are owned by MAW Management Co., a Delaware corporation (“MAW Management”). Mel A. Williams is the President, sole director, and sole stockholder of MAW Management and is deemed to hold voting and investment control of the securities held by MAW Management. MAW Management acquired all of the shares of Class B common stock in connection with the P10 Reorganization, in exchange for preferred units of P10 Intermediate Holdings originally issued to MAW Management in connection with the acquisition by the Company of TrueBridge in October 2020. MAW Management was a member of P10 Intermediate Holdings prior to the P10 Reorganization.</w:t>
      </w:r>
    </w:p>
    <w:p>
      <w:pPr>
        <w:spacing w:after="0" w:line="2"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Class A common stock that are issuable upon the conversion of the same number of shares of Class B common stock that are beneficially owned by the Charles K. Huebner Trust dated January 16, 2001 (the “Charles K. Huebner Trust”). Mr. Huebner has the power to direct the affairs of the Charles K. Huebner Trust as the trustee. Mr. Huebner is a managing partner and co-founder of RCP Advisors 2, LLC, RCP Advisors 3, LLC (collectively referred to as “RCP Advisors”). The Charles K. Huebner Trust acquired all of the shares of Class B common stock in connection with the P10 Reorganization, in exchange for preferred units of P10 Intermediate Holdings originally issued to the Charles K. Huebner Trust in connection with the acquisition by the Company of RCP Advisors in October 2017 and January 2018. The Charles K. Huebner Trust was a member of P10 Intermediate Holdings prior to the P10 Reorganization.</w:t>
      </w:r>
    </w:p>
    <w:p>
      <w:pPr>
        <w:spacing w:after="0" w:line="2" w:lineRule="exact"/>
        <w:rPr>
          <w:rFonts w:ascii="Times New Roman" w:cs="Times New Roman" w:eastAsia="Times New Roman" w:hAnsi="Times New Roman"/>
          <w:sz w:val="18"/>
          <w:szCs w:val="18"/>
          <w:color w:val="auto"/>
        </w:rPr>
      </w:pPr>
    </w:p>
    <w:p>
      <w:pPr>
        <w:jc w:val="both"/>
        <w:ind w:left="540" w:right="160" w:hanging="424"/>
        <w:spacing w:after="0" w:line="265" w:lineRule="auto"/>
        <w:tabs>
          <w:tab w:leader="none" w:pos="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amount of shares set forth above consists of (i) 470,414 shares of Class A common stock that were received by William F. Souder pursuant to awards granted under the Equity Incentive Plan that have vested and (ii) 4,261,939 shares of Class A common stock that are issuable upon the conversion of the same number of shares of Class B common stock that are beneficially owned by Souder Family LLC. William F.</w:t>
      </w:r>
    </w:p>
    <w:p>
      <w:pPr>
        <w:ind w:left="540" w:right="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Souder has the power to direct the affairs of Souder Family LLC as its managing member. Souder Family LLC acquired all of the shares of Class B common stock in connection with the P10 Reorganization, in exchange for preferred units of P10 Intermediate Holdings originally issued to Souder Family LLC in connection with the acquisition by the Company of RCP Advisors in October 2017 and January 2018. Souder Family LLC was a member of P10 Intermediate Holdings prior to the P10 Reorganization.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60" w:hanging="424"/>
        <w:spacing w:after="0" w:line="253"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Class A common stock that are issuable upon the conversion of the same number of shares of Class B common stock that are beneficially owned by the Jon I. Madorsky Revocable Trust dated December 1, 2008 (the “Jon I. Madorsky Revocable Trust”). Mr. Madorsky has the power to direct the affairs of the Jon I. Madorsky Revocable Trust as the trustee. Mr. Madorsky is a managing partner of RCP Advisors. The Jon I. Madorsky Revocable Trust acquired all of the shares of Class B common stock in connection with the P10 Reorganization, in exchange for preferred units of P10 Intermediate Holdings originally issued to the Jon I. Madorsky Revocable Trust in connection with the acquisition by the Company of RCP Advisors in October 2017 and January 2018. The Jon I. Madorsky Revocable Trust dated December 1, 2008 was a member of P10 Intermediate prior to the P10 Reorganization.</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Class A common stock that are issuable upon the conversion of the same number of shares of Class B common stock that are beneficially owned by the Thomas P. Danis, Jr. Revocable Living Trust (the “Trust”) dated March 10, 2003, as amended. Mr. Danis has the power to direct the affairs of the Trust as the trustee. Includes 350,000 shares of Class A common stock that are issuable upon the conversion of the same number of shares of Class B common stock that are beneficially owned by Reserve 2, LLC, of which Thomas P. Danis, Jr. is the sole manager, and of which the Trust is a member. Mr. Danis is a managing partner and co-founder of RCP Advisors. The Trust acquired all of the shares of Class B common stock in connection with the P10 Reorganization, in exchange for preferred units of P10 Intermediate Holdings originally issued to the Trust in connection with the acquisition by the Company of RCP Advisors in October 2017 and January 2018. The Trust was a member of P10 Intermediate prior to the P10 Reorganization.</w:t>
      </w:r>
    </w:p>
    <w:p>
      <w:pPr>
        <w:spacing w:after="0" w:line="3"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shares set forth above consists of (i) 82,443 shares of Class A common stock that were received by Ms. Blatherwick pursuant to awards granted under the Equity Incentive Plan that have vested or been exercised, (ii) 51,660 shares of Class A common stock issuable upon exercise of certain stock options granted to Ms. Blatherwick pursuant to the Equity Incentive Plan, which options are fully vested and exercisable and (iii) 1,011,307 shares of Class A common stock that are issuable upon the conversion of the same number of shares of Class B common stock. Ms. Blatherwick acquired all of the shares of Class B common stock in connection with the P10 Reorganization, in exchange for preferred units of P10 Intermediate Holdings originally issued to Ms. Blatherwick in connection with the acquisition by the Company of RCP Advisors in October 2017 and January 2018. Ms. Blatherwick was a member of P10 Intermediate prior to the P10 Reorganization and is a partner and the chief compliance officer of RCP Advisors.</w:t>
      </w:r>
    </w:p>
    <w:p>
      <w:pPr>
        <w:spacing w:after="0" w:line="3"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Class A common stock that are issuable upon the conversion of the same number of shares of Class B common stock. Andrew Nelson and Laurie Nelson JTTEN acquired all of the shares of Class B common stock in connection with the P10 Reorganization, in exchange for preferred units of P10 Intermediate Holdings originally issued to Andrew Nelson and Laurie Nelson JTTEN in connection with the acquisition by the Company of RCP Advisors in October 2017 and January 2018. Andrew Nelson was a member of P10 Intermediate prior to the P10 Reorganization and is a partner and the chief financial officer of RCP Advisors.</w:t>
      </w:r>
    </w:p>
    <w:p>
      <w:pPr>
        <w:spacing w:after="0" w:line="1" w:lineRule="exact"/>
        <w:rPr>
          <w:rFonts w:ascii="Times New Roman" w:cs="Times New Roman" w:eastAsia="Times New Roman" w:hAnsi="Times New Roman"/>
          <w:sz w:val="18"/>
          <w:szCs w:val="18"/>
          <w:color w:val="auto"/>
        </w:rPr>
      </w:pPr>
    </w:p>
    <w:p>
      <w:pPr>
        <w:jc w:val="both"/>
        <w:ind w:left="540" w:right="20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shares set forth above consists of (i) 914,993 shares of Class A common stock that are issuable upon the conversion of the same number of shares of Class B common stock, (ii) 325,000 shares of Class A common stock that were received by Mr. Abell pursuant to awards granted under the Equity Incentive Plan that have vested and (iii) 133,330 shares of Class A common stock that are issuable pursuant to awards granted under the Equity Incentive Plan that have vested or that will vest or be exercisable within 60 days of the date of this filing.</w:t>
      </w:r>
    </w:p>
    <w:p>
      <w:pPr>
        <w:spacing w:after="0" w:line="1" w:lineRule="exact"/>
        <w:rPr>
          <w:rFonts w:ascii="Times New Roman" w:cs="Times New Roman" w:eastAsia="Times New Roman" w:hAnsi="Times New Roman"/>
          <w:sz w:val="18"/>
          <w:szCs w:val="18"/>
          <w:color w:val="auto"/>
        </w:rPr>
      </w:pPr>
    </w:p>
    <w:p>
      <w:pPr>
        <w:ind w:left="540" w:right="1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Abell acquired all of the shares of Class B common stock in connection with the P10 Reorganization, in exchange for preferred units of P10 Intermediate Holdings originally issued to Mr. Abell in connection with the acquisition by the Company of RCP Advisors in October 2017 and January 2018. Mr. Abell was a member of P10 Intermediate prior to the P10 Reorganization and is a partner of RCP Advisors.</w:t>
      </w:r>
    </w:p>
    <w:p>
      <w:pPr>
        <w:spacing w:after="0" w:line="1" w:lineRule="exact"/>
        <w:rPr>
          <w:rFonts w:ascii="Times New Roman" w:cs="Times New Roman" w:eastAsia="Times New Roman" w:hAnsi="Times New Roman"/>
          <w:sz w:val="18"/>
          <w:szCs w:val="18"/>
          <w:color w:val="auto"/>
        </w:rPr>
      </w:pPr>
    </w:p>
    <w:p>
      <w:pPr>
        <w:ind w:left="540" w:right="320" w:hanging="424"/>
        <w:spacing w:after="0" w:line="255"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shares set forth above consists of: (i) 174,062 shares of Class A common stock and (ii) 427,197 shares of Class A common stock that are issuable upon the conversion of the same number of shares of Class B common stock. Mr. Feinglass acquired all of the shares in connection with the P10 Reorganization, in exchange for preferred units of P10 Intermediate Holdings originally issued to</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500"/>
        <w:spacing w:after="0" w:line="261" w:lineRule="auto"/>
        <w:rPr>
          <w:sz w:val="20"/>
          <w:szCs w:val="20"/>
          <w:color w:val="auto"/>
        </w:rPr>
      </w:pPr>
      <w:r>
        <w:rPr>
          <w:rFonts w:ascii="Times New Roman" w:cs="Times New Roman" w:eastAsia="Times New Roman" w:hAnsi="Times New Roman"/>
          <w:sz w:val="18"/>
          <w:szCs w:val="18"/>
          <w:color w:val="auto"/>
        </w:rPr>
        <w:t>Mr. Feinglass in connection with the acquisition by the Company of RCP Advisors in October 2017 and January 2018. Mr. Feinglass was a member of P10 Intermediate prior to the P10 Reorganization and is a partner of RCP Advisors.</w:t>
      </w:r>
    </w:p>
    <w:p>
      <w:pPr>
        <w:ind w:left="540" w:hanging="424"/>
        <w:spacing w:after="0" w:line="252"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shares set forth above consists of (i) 44,000 shares of Class A common stock that were received by Mr. McCoy pursuant to awards granted under the Equity Incentive Plan that have vested or that were acquired in open market purchases, (ii) 300,000 shares of Class A common stock that were issued upon conversion of shares of Class B common stock and (iii) 2,517,213 shares of Class A common stock that are issuable upon the conversion of the same number of shares of Class B common stock. Mr. McCoy acquired all of the shares of Class B common stock in connection with the P10 Reorganization, in exchange for preferred units of P10 Intermediate Holdings originally issued to Mr. McCoy. Mr. McCoy was a member of P10 Intermediate prior to the P10 Reorganization and is a managing partner and portfolio manager of RCP Advisors’ co-investment funds.</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60"/>
          </w:cols>
          <w:pgMar w:left="320" w:top="455" w:right="5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registering the resale by the Selling Stockholders or their permitted transferees from time to time of up to 43,610,662 shares of our Class A common stock, which includes: (i) 5,084,781 shares of Class A common stock held directly or indirectly by certain Selling Stockholders; (ii) up to 37,653,820 shares of Class A common stock issuable upon conversion of shares of our Class B common stock held directly or indirectly by certain Selling Stockholders; (iii) up to 21,875 shares of Class A common stock that were issued as shares of restricted stock to a Selling Stockholder and remain subject to vesting; and (iv) up to 850,186 shares of Class A common stock issuable upon exercise of stock options held directly or indirectly by certain Selling Stockholders.</w:t>
      </w:r>
    </w:p>
    <w:p>
      <w:pPr>
        <w:spacing w:after="0" w:line="187" w:lineRule="exact"/>
        <w:rPr>
          <w:sz w:val="20"/>
          <w:szCs w:val="20"/>
          <w:color w:val="auto"/>
        </w:rPr>
      </w:pPr>
    </w:p>
    <w:p>
      <w:pPr>
        <w:jc w:val="both"/>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We will pay all fees and expenses incident to the registration of the shares of the Class A common stock to be offered and sold pursuant to this prospectus. The Selling Stockholders will bear all commissions and discounts, if any, attributable to the sale of shares of the Class A common stock.</w:t>
      </w:r>
    </w:p>
    <w:p>
      <w:pPr>
        <w:spacing w:after="0" w:line="14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shares of the Class A common stock by the Selling Stockholders. The aggregate proceeds to the Selling Stockholders will be the purchase price of the Class A common stock less any discounts and commissions borne by the Selling Stockholders.</w:t>
      </w:r>
    </w:p>
    <w:p>
      <w:pPr>
        <w:spacing w:after="0" w:line="176"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shares of Class A common stock beneficially owned by the Selling Stockholders covered by this prospectus may be offered and sold from time to time by the Selling Stockholders. The term “Selling Stockholders” includes donees, pledgees, transferees or other successors in interest selling shares of the Class A common stock received after the date of this prospectus from a Selling Stockholder as a gift, pledge, partnership distribution or other transfer. The Selling Stockholders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Stockholders may sell the shares of Class A common stock by one or more of, or a combination of, the following methods:</w:t>
      </w:r>
    </w:p>
    <w:p>
      <w:pPr>
        <w:spacing w:after="0" w:line="94"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jc w:val="both"/>
        <w:ind w:left="1080" w:right="32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the Selling Stockholders pursuant to Rule 10b5-1 under the Exchange Act, that are in place at the time of an offering pursuant to this prospectus and any applicable prospectus supplement hereto that provide for periodic sales of their securities on the basis of parameters described in such trading plans, including the “Rule 10b5-1 trading arrangement” (as such term is defined in Item 408(a) of Regulation S-K) adopted by 210/P10 Acquisition Partners, LLC on December 10, 2023;</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any securities that qualify for sale pursuant to Rule 144 may be sold under Rule 144 rather than pursuant to this prospectus.</w:t>
      </w:r>
    </w:p>
    <w:p>
      <w:pPr>
        <w:spacing w:after="0" w:line="225"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To the extent required, this prospectus may be amended or supplemented from time to time to describe a specific plan of distribution. In connection with distributions of the securities or otherwise, the Selling Stockholders may enter into hedging transactions with broker-dealers or other financial institutions. In connection with such transactions, broker-dealers or other financial institutions may engage in short sales of our securities in the course of hedging the positions they assume with the Selling Stockholders. The Selling Stockholders may also sell our securities short and redeliver the shares to close out such short positions. The Selling Stockholders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7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Selling Stockholders may enter into derivative transactions with third parties, or sell securities not covered by this prospectus to third parties in privately negotiated transactions. If an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Selling Stockholders or borrowed from the Selling Stockholders or others to settle those sales or to close out any related open borrowings of securities, and may use securities received from the Selling Stockholders in settlement of those derivatives to close out any related open borrowings of securities. If applicable through securities laws, the third party in such sale transactions will be an underwriter and will be identified in the applicable prospectus supplement (or a post-effective amendment). In addition, the Selling Stockholders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88"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In effecting sales, broker-dealers or agents engaged by the Selling Stockholders may arrange for other broker-dealers to participate. Broker-dealers or agents may receive commissions, discounts or concessions from the Selling Stockholders in amounts to be negotiated immediately prior to the sale.</w:t>
      </w:r>
    </w:p>
    <w:p>
      <w:pPr>
        <w:spacing w:after="0" w:line="14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Stockholders and any broker-dealers who execute sales for the Selling Stockholders may be deemed to be “underwriters” within the meaning of the Securities Act in connection with such sales. Any profits realized by the Selling Stockholders and the compensation of any broker-dealer may be deemed to be underwriting discounts and commissions.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securities in the market and to the activities of the Selling Stockholders and their affiliates. In addition, we will make copies of this prospectus available to the Selling Stockholders for the purpose of satisfying the prospectus delivery requirements of the Securities Act. The Selling Stockholders may indemnify any broker-dealer that participates in transactions involving the sale of the securities against certain liabilities, including liabilities arising under the Securities Act.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post-effective amendment or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320" w:top="455" w:right="5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securities being offered by this prospectus will be passed upon by Kramer Levin Naftalis &amp; Frankel LLP. Additional legal matters may be passed upon for us or any underwriters, dealers or agents by counsel that we will name in the applicable prospectus supplement.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P10, Inc. as of December 31, 2023 and 2022, and for each of the years in the three-year period ended December 31, 2023, have been incorporated by reference herein in reliance upon the report of KPMG LLP, independent registered public accounting firm, incorporated by reference herein, and upon the authority of said firm as experts in accounting and auditing.</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and we have filed with the SEC a registration statement on Form S-3 under the Securities Act of 1933, as amended (the “Securities Act”), with respect to the securities offered by this prospectus. This prospectus, which forms part of the registration statement, does not contain all of the information included in the registration statement, including its exhibits and schedules. For further information about us and the securities described in this prospectus, you should refer to the registration statement, its exhibits and schedules and our reports, proxies, information statements and other information filed with the SEC. Our filings are available to the public on the Internet, through a database maintained by the SEC at www.sec.gov. Our filings are also available, free of charge, on our website at www.P10alts.com. We have included our website address for the information of prospective investors and do not intend it to be an active link to our website. Information contained on our website does not constitute a part of this prospectus or any applicable prospectus supplement (or any document incorporated by reference herein or therein).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rules of the SEC allow us to “incorporate by reference” information into this prospectus. This means that we can disclose important information about us and our financial condition to you by referring you to other documents filed separately with the SEC. The information incorporated by reference is considered to be a part of this prospectus, and later information that we file with the SEC will automatically update and supersede this information.</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This prospectus incorporates by reference the documents listed below that we have previously filed with the SEC (other than documents and information furnished to, and not filed with, the SEC) in accordance with SEC rules, unless expressly stated otherwise therein):</w:t>
      </w:r>
    </w:p>
    <w:p>
      <w:pPr>
        <w:spacing w:after="0" w:line="67"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on March 13, 2024;</w:t>
      </w:r>
    </w:p>
    <w:p>
      <w:pPr>
        <w:spacing w:after="0" w:line="130" w:lineRule="exact"/>
        <w:rPr>
          <w:rFonts w:ascii="Times New Roman" w:cs="Times New Roman" w:eastAsia="Times New Roman" w:hAnsi="Times New Roman"/>
          <w:sz w:val="18"/>
          <w:szCs w:val="18"/>
          <w:color w:val="auto"/>
        </w:rPr>
      </w:pPr>
    </w:p>
    <w:p>
      <w:pPr>
        <w:jc w:val="both"/>
        <w:ind w:left="1080" w:right="260" w:hanging="424"/>
        <w:spacing w:after="0" w:line="266" w:lineRule="auto"/>
        <w:tabs>
          <w:tab w:leader="none" w:pos="1080" w:val="left"/>
        </w:tabs>
        <w:numPr>
          <w:ilvl w:val="0"/>
          <w:numId w:val="8"/>
        </w:numPr>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auto"/>
          </w:rPr>
          <w:t xml:space="preserve">Our Quarterly Report on </w:t>
        </w:r>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color w:val="auto"/>
          </w:rPr>
          <w:t xml:space="preserve"> for the fiscal quarter ended March 31, 2024, filed on May 9, 2024, our Quarterly Report on </w:t>
        </w:r>
        <w:r>
          <w:rPr>
            <w:rFonts w:ascii="Times New Roman" w:cs="Times New Roman" w:eastAsia="Times New Roman" w:hAnsi="Times New Roman"/>
            <w:sz w:val="18"/>
            <w:szCs w:val="18"/>
            <w:u w:val="single" w:color="auto"/>
            <w:color w:val="0000EE"/>
          </w:rPr>
          <w:t>Form</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10-Q</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the fiscal quarter ended June 30, 2024, filed on August 9, 2024 and our Quarterly Report on</w:t>
        </w:r>
        <w:r>
          <w:rPr>
            <w:rFonts w:ascii="Times New Roman" w:cs="Times New Roman" w:eastAsia="Times New Roman" w:hAnsi="Times New Roman"/>
            <w:sz w:val="18"/>
            <w:szCs w:val="18"/>
            <w:color w:val="0000EE"/>
          </w:rPr>
          <w:t xml:space="preserve"> </w:t>
        </w:r>
      </w:hyperlink>
      <w:hyperlink r:id="rId45">
        <w:r>
          <w:rPr>
            <w:rFonts w:ascii="Times New Roman" w:cs="Times New Roman" w:eastAsia="Times New Roman" w:hAnsi="Times New Roman"/>
            <w:sz w:val="18"/>
            <w:szCs w:val="18"/>
            <w:u w:val="single" w:color="auto"/>
            <w:color w:val="0000EE"/>
          </w:rPr>
          <w:t xml:space="preserve">Form 10-Q </w:t>
        </w:r>
      </w:hyperlink>
      <w:hyperlink r:id="rId44">
        <w:r>
          <w:rPr>
            <w:rFonts w:ascii="Times New Roman" w:cs="Times New Roman" w:eastAsia="Times New Roman" w:hAnsi="Times New Roman"/>
            <w:sz w:val="18"/>
            <w:szCs w:val="18"/>
            <w:color w:val="000000"/>
          </w:rPr>
          <w:t>for the fiscal quarter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ended September 30, 2024, filed on November 8, 2024;</w:t>
      </w:r>
    </w:p>
    <w:p>
      <w:pPr>
        <w:spacing w:after="0" w:line="81" w:lineRule="exact"/>
        <w:rPr>
          <w:rFonts w:ascii="Times New Roman" w:cs="Times New Roman" w:eastAsia="Times New Roman" w:hAnsi="Times New Roman"/>
          <w:sz w:val="18"/>
          <w:szCs w:val="18"/>
          <w:color w:val="0000EE"/>
        </w:rPr>
      </w:pPr>
    </w:p>
    <w:p>
      <w:pPr>
        <w:ind w:left="1080" w:right="160" w:hanging="424"/>
        <w:spacing w:after="0" w:line="282" w:lineRule="auto"/>
        <w:tabs>
          <w:tab w:leader="none" w:pos="1080" w:val="left"/>
        </w:tabs>
        <w:numPr>
          <w:ilvl w:val="0"/>
          <w:numId w:val="8"/>
        </w:numPr>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auto"/>
          </w:rPr>
          <w:t xml:space="preserve">Our Current Reports on Form 8-K filed on </w:t>
        </w:r>
        <w:r>
          <w:rPr>
            <w:rFonts w:ascii="Times New Roman" w:cs="Times New Roman" w:eastAsia="Times New Roman" w:hAnsi="Times New Roman"/>
            <w:sz w:val="18"/>
            <w:szCs w:val="18"/>
            <w:u w:val="single" w:color="auto"/>
            <w:color w:val="0000EE"/>
          </w:rPr>
          <w:t>February 9,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8,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17,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5,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September</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17, 2024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7">
        <w:r>
          <w:rPr>
            <w:rFonts w:ascii="Times New Roman" w:cs="Times New Roman" w:eastAsia="Times New Roman" w:hAnsi="Times New Roman"/>
            <w:sz w:val="18"/>
            <w:szCs w:val="18"/>
            <w:u w:val="single" w:color="auto"/>
            <w:color w:val="0000EE"/>
          </w:rPr>
          <w:t>November 7, 2024</w:t>
        </w:r>
      </w:hyperlink>
      <w:hyperlink r:id="rId4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8">
        <w:r>
          <w:rPr>
            <w:rFonts w:ascii="Times New Roman" w:cs="Times New Roman" w:eastAsia="Times New Roman" w:hAnsi="Times New Roman"/>
            <w:sz w:val="18"/>
            <w:szCs w:val="18"/>
            <w:u w:val="single" w:color="auto"/>
            <w:color w:val="0000EE"/>
          </w:rPr>
          <w:t>November 7, 2024</w:t>
        </w:r>
      </w:hyperlink>
      <w:hyperlink r:id="rId4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9">
        <w:r>
          <w:rPr>
            <w:rFonts w:ascii="Times New Roman" w:cs="Times New Roman" w:eastAsia="Times New Roman" w:hAnsi="Times New Roman"/>
            <w:sz w:val="18"/>
            <w:szCs w:val="18"/>
            <w:u w:val="single" w:color="auto"/>
            <w:color w:val="0000EE"/>
          </w:rPr>
          <w:t xml:space="preserve">December 26, 2024 </w:t>
        </w:r>
      </w:hyperlink>
      <w:hyperlink r:id="rId46">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0">
        <w:r>
          <w:rPr>
            <w:rFonts w:ascii="Times New Roman" w:cs="Times New Roman" w:eastAsia="Times New Roman" w:hAnsi="Times New Roman"/>
            <w:sz w:val="18"/>
            <w:szCs w:val="18"/>
            <w:u w:val="single" w:color="auto"/>
            <w:color w:val="0000EE"/>
          </w:rPr>
          <w:t>January 7, 2025</w:t>
        </w:r>
      </w:hyperlink>
      <w:hyperlink r:id="rId46">
        <w:r>
          <w:rPr>
            <w:rFonts w:ascii="Times New Roman" w:cs="Times New Roman" w:eastAsia="Times New Roman" w:hAnsi="Times New Roman"/>
            <w:sz w:val="18"/>
            <w:szCs w:val="18"/>
            <w:color w:val="000000"/>
          </w:rPr>
          <w:t>;</w:t>
        </w:r>
      </w:hyperlink>
    </w:p>
    <w:p>
      <w:pPr>
        <w:spacing w:after="0" w:line="67" w:lineRule="exact"/>
        <w:rPr>
          <w:rFonts w:ascii="Times New Roman" w:cs="Times New Roman" w:eastAsia="Times New Roman" w:hAnsi="Times New Roman"/>
          <w:sz w:val="18"/>
          <w:szCs w:val="18"/>
          <w:color w:val="0000EE"/>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51">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24, 2024;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included in the Company’s Registration Statement on </w:t>
      </w:r>
      <w:hyperlink r:id="rId5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under the Exchange Act filed with the SEC on October 19, 2021,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(i) after the date of the initial filing of this post-effective amendment to the registration statement of which this prospectus is a part and prior to effectiveness of the registration statement, or (ii) after the date of this prospectus until the selling stockholders sell all of the shares covered by this prospectus or the sale of shares by the selling stockholders pursuant to this prospectus is terminated.</w:t>
      </w:r>
    </w:p>
    <w:p>
      <w:pPr>
        <w:spacing w:after="0" w:line="183" w:lineRule="exact"/>
        <w:rPr>
          <w:rFonts w:ascii="Times New Roman" w:cs="Times New Roman" w:eastAsia="Times New Roman" w:hAnsi="Times New Roman"/>
          <w:sz w:val="18"/>
          <w:szCs w:val="18"/>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Any statement made in this prospectus or contained in a document all or a portion of which is incorporated by reference herein will be deemed to be modified or superseded to the extent that a statement contained herein or in any subsequent prospectus supplement to this prospectus or, if appropriate, post-effective amendment to the registration statement that includes this prospectus, modifies or supersedes such statement. Any statement so modified will not be deemed to constitute a part hereof, except as so modified, and any statement so superseded will not be deemed to constitute a part hereof.</w:t>
      </w:r>
    </w:p>
    <w:p>
      <w:pPr>
        <w:spacing w:after="0" w:line="181" w:lineRule="exact"/>
        <w:rPr>
          <w:rFonts w:ascii="Times New Roman" w:cs="Times New Roman" w:eastAsia="Times New Roman" w:hAnsi="Times New Roman"/>
          <w:sz w:val="18"/>
          <w:szCs w:val="18"/>
          <w:color w:val="auto"/>
        </w:rPr>
      </w:pPr>
    </w:p>
    <w:p>
      <w:pPr>
        <w:ind w:left="120" w:right="520" w:firstLine="440"/>
        <w:spacing w:after="0" w:line="284" w:lineRule="auto"/>
        <w:rPr>
          <w:sz w:val="20"/>
          <w:szCs w:val="20"/>
          <w:color w:val="auto"/>
        </w:rPr>
      </w:pPr>
      <w:r>
        <w:rPr>
          <w:rFonts w:ascii="Times New Roman" w:cs="Times New Roman" w:eastAsia="Times New Roman" w:hAnsi="Times New Roman"/>
          <w:sz w:val="18"/>
          <w:szCs w:val="18"/>
          <w:color w:val="auto"/>
        </w:rPr>
        <w:t>You may read and copy any materials we file with the SEC at the SEC’s website mentioned under the heading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The information on the SEC’s website is not incorporated by reference in this prospectus.</w:t>
      </w:r>
    </w:p>
    <w:p>
      <w:pPr>
        <w:spacing w:after="0" w:line="160" w:lineRule="exact"/>
        <w:rPr>
          <w:rFonts w:ascii="Times New Roman" w:cs="Times New Roman" w:eastAsia="Times New Roman" w:hAnsi="Times New Roman"/>
          <w:sz w:val="18"/>
          <w:szCs w:val="18"/>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 copy of any document incorporated by reference in this prospectus may be obtained at no cost by writing or telephoning us at the following address and telephone number:</w:t>
      </w:r>
    </w:p>
    <w:p>
      <w:pPr>
        <w:spacing w:after="0" w:line="162"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P10, Inc.</w:t>
      </w:r>
    </w:p>
    <w:p>
      <w:pPr>
        <w:spacing w:after="0" w:line="27"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4514 Cole Avenue, Suite 1600</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Dallas, Texas 75205</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Attention: Amanda Coussens</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865-7998</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w:t>
      </w:r>
    </w:p>
    <w:p>
      <w:pPr>
        <w:sectPr>
          <w:pgSz w:w="11900" w:h="16838" w:orient="portrait"/>
          <w:cols w:equalWidth="0" w:num="1">
            <w:col w:w="11060"/>
          </w:cols>
          <w:pgMar w:left="320" w:top="455" w:right="5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maintain a website at www.P10alts.com. Information about us, including our reports filed with the SEC, is available through that site. Such reports are accessible at no charge through our website and are made available as soon as reasonably practicable after such material is filed with or furnished to the SEC. Our website and the information contained on that website, or connected to that website, are not incorporated by reference in this prospectus.</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320" w:top="455" w:right="5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200" w:lineRule="exact"/>
        <w:rPr>
          <w:sz w:val="20"/>
          <w:szCs w:val="20"/>
          <w:color w:val="auto"/>
        </w:rPr>
      </w:pPr>
    </w:p>
    <w:p>
      <w:pPr>
        <w:spacing w:after="0" w:line="2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43,610,662</w:t>
      </w:r>
    </w:p>
    <w:p>
      <w:pPr>
        <w:spacing w:after="0" w:line="4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Shares of</w:t>
      </w:r>
    </w:p>
    <w:p>
      <w:pPr>
        <w:spacing w:after="0" w:line="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t>Class A Common Stock</w:t>
      </w:r>
    </w:p>
    <w:p>
      <w:pPr>
        <w:spacing w:after="0" w:line="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by Selling</w:t>
      </w:r>
    </w:p>
    <w:p>
      <w:pPr>
        <w:spacing w:after="0" w:line="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2437130</wp:posOffset>
            </wp:positionV>
            <wp:extent cx="1474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491490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14.</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b w:val="1"/>
          <w:bCs w:val="1"/>
          <w:color w:val="auto"/>
        </w:rPr>
        <w:t>INFORMATION NOT REQUIRED IN THE PROSPECTUS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sectPr>
          <w:pgSz w:w="11900" w:h="16838" w:orient="portrait"/>
          <w:cols w:equalWidth="0" w:num="2">
            <w:col w:w="740" w:space="460"/>
            <w:col w:w="9900"/>
          </w:cols>
          <w:pgMar w:left="320" w:top="455" w:right="479" w:bottom="1440" w:gutter="0" w:footer="0" w:header="0"/>
          <w:type w:val="continuous"/>
        </w:sect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us) that we may incur in connection with the securities being registered hereby.</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4300" w:type="dxa"/>
            <w:vAlign w:val="bottom"/>
            <w:tcBorders>
              <w:bottom w:val="single" w:sz="8" w:color="CCEEFF"/>
            </w:tcBorders>
          </w:tcPr>
          <w:p>
            <w:pPr>
              <w:spacing w:after="0"/>
              <w:rPr>
                <w:sz w:val="15"/>
                <w:szCs w:val="15"/>
                <w:color w:val="auto"/>
              </w:rPr>
            </w:pPr>
          </w:p>
        </w:tc>
        <w:tc>
          <w:tcPr>
            <w:tcW w:w="2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CCEEFF"/>
            </w:tcBorders>
          </w:tcPr>
          <w:p>
            <w:pPr>
              <w:spacing w:after="0"/>
              <w:rPr>
                <w:sz w:val="15"/>
                <w:szCs w:val="15"/>
                <w:color w:val="auto"/>
              </w:rPr>
            </w:pPr>
          </w:p>
        </w:tc>
      </w:tr>
      <w:tr>
        <w:trPr>
          <w:trHeight w:val="20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77"/>
              </w:rPr>
              <w:t>82,847.55**</w:t>
            </w:r>
          </w:p>
        </w:tc>
        <w:tc>
          <w:tcPr>
            <w:tcW w:w="22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4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paid.</w:t>
      </w:r>
    </w:p>
    <w:p>
      <w:pPr>
        <w:spacing w:after="0" w:line="27" w:lineRule="exact"/>
        <w:rPr>
          <w:sz w:val="20"/>
          <w:szCs w:val="20"/>
          <w:color w:val="auto"/>
        </w:rPr>
      </w:pPr>
    </w:p>
    <w:p>
      <w:pPr>
        <w:ind w:left="540" w:right="160" w:hanging="424"/>
        <w:spacing w:after="0" w:line="26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expenses are not presently known. To the extent required, any applicable prospectus supplement will set forth the estimated aggregate amount of expenses payable in respect of any offering of securities.</w:t>
      </w:r>
    </w:p>
    <w:p>
      <w:pPr>
        <w:spacing w:after="0" w:line="32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00"/>
          </w:cols>
          <w:pgMar w:left="320" w:top="455" w:right="47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Additionally, our Charter eliminates our directors’ liability to the fullest extent permitted under the DGCL. The DGCL provides that directors of a corporation will not be personally liable for monetary damages for breach of their fiduciary duties as directors, except for liability for:</w:t>
      </w:r>
    </w:p>
    <w:p>
      <w:pPr>
        <w:spacing w:after="0" w:line="67"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his duty of loyalty to us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which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General Corporation Law of the State of Delaware;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 or improper distributions to stockholders.</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If the DGCL is amended to authorize corporate action eliminating or further limiting the personal liability of directors, then the liability of the Company’s directors will be eliminated or limited to the fullest extent permitted by the DGCL, as so amended.</w:t>
      </w:r>
    </w:p>
    <w:p>
      <w:pPr>
        <w:spacing w:after="0" w:line="16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ERISA excise taxes, penalties and amounts paid in settlement by or on behalf of the indemnitee actually and reasonably incurred by such indemnitee in connection therewith.</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The foregoing summaries are subject to the text of the DGCL, the registrant’s amended and restated certificate of incorporation and amended and restated bylaws, and the indemnification agreements referred to above, and are qualified in their entirety by reference thereto.</w:t>
      </w:r>
    </w:p>
    <w:p>
      <w:pPr>
        <w:spacing w:after="0" w:line="32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Exhibit No.   Description</w:t>
      </w:r>
    </w:p>
    <w:p>
      <w:pPr>
        <w:spacing w:after="0" w:line="135" w:lineRule="exact"/>
        <w:rPr>
          <w:sz w:val="20"/>
          <w:szCs w:val="20"/>
          <w:color w:val="auto"/>
        </w:rPr>
      </w:pPr>
    </w:p>
    <w:p>
      <w:pPr>
        <w:ind w:left="1000" w:right="60" w:hanging="884"/>
        <w:spacing w:after="0" w:line="282" w:lineRule="auto"/>
        <w:tabs>
          <w:tab w:leader="none" w:pos="199" w:val="left"/>
        </w:tabs>
        <w:numPr>
          <w:ilvl w:val="0"/>
          <w:numId w:val="1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hyperlink r:id="rId63">
        <w:r>
          <w:rPr>
            <w:rFonts w:ascii="Times New Roman" w:cs="Times New Roman" w:eastAsia="Times New Roman" w:hAnsi="Times New Roman"/>
            <w:sz w:val="18"/>
            <w:szCs w:val="18"/>
            <w:u w:val="single" w:color="auto"/>
            <w:color w:val="0000EE"/>
          </w:rPr>
          <w:t>Amended and Restated Certificate of Incorporation of P10, Inc. (incorporated by reference to Exhibit 3.1 to the Company’s Current Report</w:t>
        </w:r>
      </w:hyperlink>
      <w:r>
        <w:rPr>
          <w:rFonts w:ascii="Times New Roman" w:cs="Times New Roman" w:eastAsia="Times New Roman" w:hAnsi="Times New Roman"/>
          <w:sz w:val="18"/>
          <w:szCs w:val="18"/>
          <w:u w:val="single" w:color="auto"/>
          <w:color w:val="0000EE"/>
        </w:rPr>
        <w:t xml:space="preserve"> </w:t>
      </w:r>
      <w:hyperlink r:id="rId63">
        <w:r>
          <w:rPr>
            <w:rFonts w:ascii="Times New Roman" w:cs="Times New Roman" w:eastAsia="Times New Roman" w:hAnsi="Times New Roman"/>
            <w:sz w:val="18"/>
            <w:szCs w:val="18"/>
            <w:u w:val="single" w:color="auto"/>
            <w:color w:val="0000EE"/>
          </w:rPr>
          <w:t>on Form 8-K filed on October 26, 2021).</w:t>
        </w:r>
      </w:hyperlink>
    </w:p>
    <w:p>
      <w:pPr>
        <w:spacing w:after="0" w:line="53" w:lineRule="exact"/>
        <w:rPr>
          <w:rFonts w:ascii="Times New Roman" w:cs="Times New Roman" w:eastAsia="Times New Roman" w:hAnsi="Times New Roman"/>
          <w:sz w:val="18"/>
          <w:szCs w:val="18"/>
          <w:u w:val="single" w:color="auto"/>
          <w:color w:val="0000EE"/>
        </w:rPr>
      </w:pPr>
    </w:p>
    <w:p>
      <w:pPr>
        <w:ind w:left="1000" w:right="180" w:hanging="884"/>
        <w:spacing w:after="0" w:line="282" w:lineRule="auto"/>
        <w:tabs>
          <w:tab w:leader="none" w:pos="199" w:val="left"/>
        </w:tabs>
        <w:numPr>
          <w:ilvl w:val="0"/>
          <w:numId w:val="1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hyperlink r:id="rId64">
        <w:r>
          <w:rPr>
            <w:rFonts w:ascii="Times New Roman" w:cs="Times New Roman" w:eastAsia="Times New Roman" w:hAnsi="Times New Roman"/>
            <w:sz w:val="18"/>
            <w:szCs w:val="18"/>
            <w:u w:val="single" w:color="auto"/>
            <w:color w:val="0000EE"/>
          </w:rPr>
          <w:t>Amended and Restated Bylaws of P10, Inc. (incorporated by reference to Exhibit 3.2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64">
        <w:r>
          <w:rPr>
            <w:rFonts w:ascii="Times New Roman" w:cs="Times New Roman" w:eastAsia="Times New Roman" w:hAnsi="Times New Roman"/>
            <w:sz w:val="18"/>
            <w:szCs w:val="18"/>
            <w:u w:val="single" w:color="auto"/>
            <w:color w:val="0000EE"/>
          </w:rPr>
          <w:t>on October 26, 2021).</w:t>
        </w:r>
      </w:hyperlink>
    </w:p>
    <w:p>
      <w:pPr>
        <w:spacing w:after="0" w:line="53"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1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4.3</w:t>
      </w:r>
      <w:hyperlink r:id="rId65">
        <w:r>
          <w:rPr>
            <w:rFonts w:ascii="Times New Roman" w:cs="Times New Roman" w:eastAsia="Times New Roman" w:hAnsi="Times New Roman"/>
            <w:sz w:val="17"/>
            <w:szCs w:val="17"/>
            <w:u w:val="single" w:color="auto"/>
            <w:color w:val="0000EE"/>
          </w:rPr>
          <w:t>Description of Securities (incorporated by reference to Exhibit 4.3 to the Company’s Annual Report on Form 10-K filed on March 13, 2024)</w:t>
        </w:r>
      </w:hyperlink>
    </w:p>
    <w:p>
      <w:pPr>
        <w:spacing w:after="0" w:line="129" w:lineRule="exact"/>
        <w:rPr>
          <w:rFonts w:ascii="Times New Roman" w:cs="Times New Roman" w:eastAsia="Times New Roman" w:hAnsi="Times New Roman"/>
          <w:sz w:val="18"/>
          <w:szCs w:val="18"/>
          <w:u w:val="single" w:color="auto"/>
          <w:color w:val="0000EE"/>
        </w:rPr>
      </w:pPr>
    </w:p>
    <w:p>
      <w:pPr>
        <w:ind w:left="1000" w:right="20" w:hanging="890"/>
        <w:spacing w:after="0" w:line="282"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66">
        <w:r>
          <w:rPr>
            <w:rFonts w:ascii="Times New Roman" w:cs="Times New Roman" w:eastAsia="Times New Roman" w:hAnsi="Times New Roman"/>
            <w:sz w:val="18"/>
            <w:szCs w:val="18"/>
            <w:u w:val="single" w:color="auto"/>
            <w:color w:val="0000EE"/>
          </w:rPr>
          <w:t>Stockholders Agreement, dated as of October 20, 2021, by and among the Company and each of the other persons and entities party thereto</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(incorporated by reference to Exhibit 10.2 to the Company’s Current Report on Form 8-K filed on October 26, 2021).</w:t>
        </w:r>
      </w:hyperlink>
    </w:p>
    <w:p>
      <w:pPr>
        <w:spacing w:after="0" w:line="54" w:lineRule="exact"/>
        <w:rPr>
          <w:sz w:val="20"/>
          <w:szCs w:val="20"/>
          <w:color w:val="auto"/>
        </w:rPr>
      </w:pPr>
    </w:p>
    <w:p>
      <w:pPr>
        <w:ind w:left="1000" w:right="680" w:hanging="890"/>
        <w:spacing w:after="0" w:line="282"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67">
        <w:r>
          <w:rPr>
            <w:rFonts w:ascii="Times New Roman" w:cs="Times New Roman" w:eastAsia="Times New Roman" w:hAnsi="Times New Roman"/>
            <w:sz w:val="18"/>
            <w:szCs w:val="18"/>
            <w:u w:val="single" w:color="auto"/>
            <w:color w:val="0000EE"/>
          </w:rPr>
          <w:t>Form of Restricted Stock Award Agreement under the 2021 Equity Incentive Plan (incorporated by reference to Exhibit 10.2 to the</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Company’s Registration Statement on Form S-1, filed on October 18, 2021).</w:t>
        </w:r>
      </w:hyperlink>
    </w:p>
    <w:p>
      <w:pPr>
        <w:spacing w:after="0" w:line="54" w:lineRule="exact"/>
        <w:rPr>
          <w:sz w:val="20"/>
          <w:szCs w:val="20"/>
          <w:color w:val="auto"/>
        </w:rPr>
      </w:pPr>
    </w:p>
    <w:p>
      <w:pPr>
        <w:ind w:left="1000" w:right="320" w:hanging="890"/>
        <w:spacing w:after="0" w:line="282"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68">
        <w:r>
          <w:rPr>
            <w:rFonts w:ascii="Times New Roman" w:cs="Times New Roman" w:eastAsia="Times New Roman" w:hAnsi="Times New Roman"/>
            <w:sz w:val="18"/>
            <w:szCs w:val="18"/>
            <w:u w:val="single" w:color="auto"/>
            <w:color w:val="0000EE"/>
          </w:rPr>
          <w:t>Form of Stock Option Agreement under the 2021 Incentive Plan (incorporated by reference to Exhibit 10.1 to the Company’s Quarterly</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Report on Form 10-Q filed on May 15, 2023).</w:t>
        </w:r>
      </w:hyperlink>
    </w:p>
    <w:p>
      <w:pPr>
        <w:spacing w:after="0" w:line="54" w:lineRule="exact"/>
        <w:rPr>
          <w:sz w:val="20"/>
          <w:szCs w:val="20"/>
          <w:color w:val="auto"/>
        </w:rPr>
      </w:pPr>
    </w:p>
    <w:p>
      <w:pPr>
        <w:ind w:left="1000" w:right="600" w:hanging="884"/>
        <w:spacing w:after="0" w:line="282" w:lineRule="auto"/>
        <w:tabs>
          <w:tab w:leader="none" w:pos="199" w:val="left"/>
        </w:tabs>
        <w:numPr>
          <w:ilvl w:val="0"/>
          <w:numId w:val="1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5.1</w:t>
      </w:r>
      <w:hyperlink r:id="rId69">
        <w:r>
          <w:rPr>
            <w:rFonts w:ascii="Times New Roman" w:cs="Times New Roman" w:eastAsia="Times New Roman" w:hAnsi="Times New Roman"/>
            <w:sz w:val="18"/>
            <w:szCs w:val="18"/>
            <w:u w:val="single" w:color="auto"/>
            <w:color w:val="0000EE"/>
          </w:rPr>
          <w:t>Opinion of Kramer Levin Naftalis &amp; Frankel LLP (incorporated by reference to Exhibit 5.1 to the Company’s Amendment No. 1 to</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Registration Statement on Form S-1 (333-279-769) filed on July 19, 2024)</w:t>
        </w:r>
      </w:hyperlink>
    </w:p>
    <w:p>
      <w:pPr>
        <w:spacing w:after="0" w:line="9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KPMG LLP, Independent Registered Public Accounting Firm</w:t>
      </w:r>
    </w:p>
    <w:p>
      <w:pPr>
        <w:spacing w:after="0" w:line="117" w:lineRule="exact"/>
        <w:rPr>
          <w:sz w:val="20"/>
          <w:szCs w:val="20"/>
          <w:color w:val="auto"/>
        </w:rPr>
      </w:pPr>
    </w:p>
    <w:p>
      <w:pPr>
        <w:ind w:left="120"/>
        <w:spacing w:after="0"/>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23.2</w:t>
      </w:r>
      <w:r>
        <w:rPr>
          <w:sz w:val="20"/>
          <w:szCs w:val="20"/>
          <w:color w:val="auto"/>
        </w:rPr>
        <w:tab/>
      </w:r>
      <w:hyperlink r:id="rId69">
        <w:r>
          <w:rPr>
            <w:rFonts w:ascii="Times New Roman" w:cs="Times New Roman" w:eastAsia="Times New Roman" w:hAnsi="Times New Roman"/>
            <w:sz w:val="18"/>
            <w:szCs w:val="18"/>
            <w:u w:val="single" w:color="auto"/>
            <w:color w:val="0000EE"/>
          </w:rPr>
          <w:t>Consent of Kramer Levin Naftalis &amp; Frankel LLP (included in Exhibit 5.1)</w:t>
        </w:r>
      </w:hyperlink>
    </w:p>
    <w:p>
      <w:pPr>
        <w:spacing w:after="0" w:line="117" w:lineRule="exact"/>
        <w:rPr>
          <w:sz w:val="20"/>
          <w:szCs w:val="20"/>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EE"/>
        </w:rPr>
        <w:t>Power of Attorney (included on signature page of the Company’s Registration Statement on Form S-1 (333-279769) filed on May 29, 2024)</w:t>
      </w:r>
    </w:p>
    <w:p>
      <w:pPr>
        <w:spacing w:after="0" w:line="117" w:lineRule="exact"/>
        <w:rPr>
          <w:sz w:val="20"/>
          <w:szCs w:val="20"/>
          <w:color w:val="auto"/>
        </w:rPr>
      </w:pPr>
    </w:p>
    <w:p>
      <w:pPr>
        <w:ind w:left="900" w:right="420" w:hanging="784"/>
        <w:spacing w:after="0" w:line="282" w:lineRule="auto"/>
        <w:tabs>
          <w:tab w:leader="none" w:pos="900" w:val="left"/>
        </w:tabs>
        <w:numPr>
          <w:ilvl w:val="0"/>
          <w:numId w:val="15"/>
        </w:numPr>
        <w:rPr>
          <w:rFonts w:ascii="Times New Roman" w:cs="Times New Roman" w:eastAsia="Times New Roman" w:hAnsi="Times New Roman"/>
          <w:sz w:val="18"/>
          <w:szCs w:val="18"/>
          <w:u w:val="single" w:color="auto"/>
          <w:color w:val="0000EE"/>
        </w:rPr>
      </w:pPr>
      <w:hyperlink r:id="rId71">
        <w:r>
          <w:rPr>
            <w:rFonts w:ascii="Times New Roman" w:cs="Times New Roman" w:eastAsia="Times New Roman" w:hAnsi="Times New Roman"/>
            <w:sz w:val="18"/>
            <w:szCs w:val="18"/>
            <w:u w:val="single" w:color="auto"/>
            <w:color w:val="0000EE"/>
          </w:rPr>
          <w:t>Filing Fee Table (incorporated by reference to Exhibit 107 to the Company’s Amendment No. 1 to Registration Statement on Form S-1</w:t>
        </w:r>
      </w:hyperlink>
      <w:r>
        <w:rPr>
          <w:rFonts w:ascii="Times New Roman" w:cs="Times New Roman" w:eastAsia="Times New Roman" w:hAnsi="Times New Roman"/>
          <w:sz w:val="18"/>
          <w:szCs w:val="18"/>
          <w:u w:val="single" w:color="auto"/>
          <w:color w:val="0000EE"/>
        </w:rPr>
        <w:t xml:space="preserve"> </w:t>
      </w:r>
      <w:hyperlink r:id="rId71">
        <w:r>
          <w:rPr>
            <w:rFonts w:ascii="Times New Roman" w:cs="Times New Roman" w:eastAsia="Times New Roman" w:hAnsi="Times New Roman"/>
            <w:sz w:val="18"/>
            <w:szCs w:val="18"/>
            <w:u w:val="single" w:color="auto"/>
            <w:color w:val="0000EE"/>
          </w:rPr>
          <w:t>(333-279769) filed on July 19, 2024)</w:t>
        </w:r>
      </w:hyperlink>
    </w:p>
    <w:p>
      <w:pPr>
        <w:spacing w:after="0" w:line="189"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 Management contracts and compensation plans and arrangements.</w:t>
      </w:r>
    </w:p>
    <w:p>
      <w:pPr>
        <w:spacing w:after="0" w:line="351" w:lineRule="exact"/>
        <w:rPr>
          <w:rFonts w:ascii="Times New Roman" w:cs="Times New Roman" w:eastAsia="Times New Roman" w:hAnsi="Times New Roman"/>
          <w:sz w:val="18"/>
          <w:szCs w:val="18"/>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3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540" w:right="140" w:hanging="424"/>
        <w:spacing w:after="0" w:line="255"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Tables” or “Calculation of Registration Fee” table, as applicable, in the effective registration statement; and</w:t>
      </w:r>
    </w:p>
    <w:p>
      <w:pPr>
        <w:spacing w:after="0" w:line="94" w:lineRule="exact"/>
        <w:rPr>
          <w:rFonts w:ascii="Times New Roman" w:cs="Times New Roman" w:eastAsia="Times New Roman" w:hAnsi="Times New Roman"/>
          <w:sz w:val="18"/>
          <w:szCs w:val="18"/>
          <w:color w:val="auto"/>
        </w:rPr>
      </w:pPr>
    </w:p>
    <w:p>
      <w:pPr>
        <w:ind w:left="540" w:right="240" w:hanging="424"/>
        <w:spacing w:after="0" w:line="282"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rFonts w:ascii="Times New Roman" w:cs="Times New Roman" w:eastAsia="Times New Roman" w:hAnsi="Times New Roman"/>
          <w:sz w:val="18"/>
          <w:szCs w:val="18"/>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section do not apply if the information required to be included in a post-effective amendment by those paragraphs is contained in reports filed with or furnished to the SEC by the registrant pursuant to Section 13 or Section 15(d) of the Securities Exchange Act of 1934, as amended, that are incorporated by reference in the registration statement, or is contained in a form of prospectus filed pursuant to Rule 424(b) that is part of the registration statement.</w:t>
      </w:r>
    </w:p>
    <w:p>
      <w:pPr>
        <w:spacing w:after="0" w:line="87" w:lineRule="exact"/>
        <w:rPr>
          <w:rFonts w:ascii="Times New Roman" w:cs="Times New Roman" w:eastAsia="Times New Roman" w:hAnsi="Times New Roman"/>
          <w:sz w:val="18"/>
          <w:szCs w:val="18"/>
          <w:color w:val="auto"/>
        </w:rPr>
      </w:pPr>
    </w:p>
    <w:p>
      <w:pPr>
        <w:ind w:left="540" w:right="60" w:hanging="424"/>
        <w:spacing w:after="0" w:line="266"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31" w:lineRule="exact"/>
        <w:rPr>
          <w:rFonts w:ascii="Times New Roman" w:cs="Times New Roman" w:eastAsia="Times New Roman" w:hAnsi="Times New Roman"/>
          <w:sz w:val="18"/>
          <w:szCs w:val="18"/>
          <w:color w:val="auto"/>
        </w:rPr>
      </w:pPr>
    </w:p>
    <w:p>
      <w:pPr>
        <w:ind w:left="540" w:right="200" w:hanging="424"/>
        <w:spacing w:after="0" w:line="282"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540" w:hanging="424"/>
        <w:spacing w:after="0" w:line="266"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w:t>
      </w:r>
    </w:p>
    <w:p>
      <w:pPr>
        <w:spacing w:after="0" w:line="10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20"/>
        <w:spacing w:after="0" w:line="254" w:lineRule="auto"/>
        <w:rPr>
          <w:sz w:val="20"/>
          <w:szCs w:val="20"/>
          <w:color w:val="auto"/>
        </w:rPr>
      </w:pPr>
      <w:r>
        <w:rPr>
          <w:rFonts w:ascii="Times New Roman" w:cs="Times New Roman" w:eastAsia="Times New Roman" w:hAnsi="Times New Roman"/>
          <w:sz w:val="18"/>
          <w:szCs w:val="18"/>
          <w:color w:val="auto"/>
        </w:rPr>
        <w:t xml:space="preserve">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7" w:lineRule="exact"/>
        <w:rPr>
          <w:sz w:val="20"/>
          <w:szCs w:val="20"/>
          <w:color w:val="auto"/>
        </w:rPr>
      </w:pPr>
    </w:p>
    <w:p>
      <w:pPr>
        <w:ind w:left="540" w:hanging="424"/>
        <w:spacing w:after="0" w:line="258"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540" w:right="80" w:hanging="424"/>
        <w:spacing w:after="0" w:line="258"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8"/>
          <w:szCs w:val="18"/>
          <w:color w:val="auto"/>
        </w:rPr>
      </w:pPr>
    </w:p>
    <w:p>
      <w:pPr>
        <w:ind w:left="540" w:right="40" w:hanging="424"/>
        <w:spacing w:after="0" w:line="254"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January 22, 2025.</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2674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 Luke A. Sarsfield III</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Chairman of the Board and Chief Executive Officer</w:t>
      </w:r>
    </w:p>
    <w:p>
      <w:pPr>
        <w:spacing w:after="0" w:line="207" w:lineRule="exact"/>
        <w:rPr>
          <w:sz w:val="20"/>
          <w:szCs w:val="20"/>
          <w:color w:val="auto"/>
        </w:rPr>
      </w:pPr>
    </w:p>
    <w:p>
      <w:pPr>
        <w:ind w:left="120" w:right="700" w:firstLine="440"/>
        <w:spacing w:after="0" w:line="29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following persons in the capacities indicated have signed this Registration Statement on the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day of January, 2025.</w:t>
      </w:r>
    </w:p>
    <w:p>
      <w:pPr>
        <w:spacing w:after="0" w:line="45"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2"/>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Luke A. Sarsfield III</w:t>
            </w:r>
          </w:p>
        </w:tc>
        <w:tc>
          <w:tcPr>
            <w:tcW w:w="22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 (Principal Executive Officer)</w:t>
            </w:r>
          </w:p>
        </w:tc>
      </w:tr>
      <w:tr>
        <w:trPr>
          <w:trHeight w:val="228"/>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Luke A. Sarsfield III</w:t>
            </w:r>
          </w:p>
        </w:tc>
        <w:tc>
          <w:tcPr>
            <w:tcW w:w="2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and Director</w:t>
            </w:r>
          </w:p>
        </w:tc>
      </w:tr>
      <w:tr>
        <w:trPr>
          <w:trHeight w:val="427"/>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Amanda Coussens</w:t>
            </w:r>
          </w:p>
        </w:tc>
        <w:tc>
          <w:tcPr>
            <w:tcW w:w="22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28"/>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Amanda Coussens</w:t>
            </w:r>
          </w:p>
        </w:tc>
        <w:tc>
          <w:tcPr>
            <w:tcW w:w="22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427"/>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Corsi</w:t>
            </w:r>
          </w:p>
        </w:tc>
        <w:tc>
          <w:tcPr>
            <w:tcW w:w="22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r>
      <w:tr>
        <w:trPr>
          <w:trHeight w:val="228"/>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Andrew Corsi</w:t>
            </w:r>
          </w:p>
        </w:tc>
        <w:tc>
          <w:tcPr>
            <w:tcW w:w="22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427"/>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Travis Barnes</w:t>
            </w:r>
          </w:p>
        </w:tc>
        <w:tc>
          <w:tcPr>
            <w:tcW w:w="22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427"/>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Tracey Benford</w:t>
            </w:r>
          </w:p>
        </w:tc>
        <w:tc>
          <w:tcPr>
            <w:tcW w:w="22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427"/>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Scott Gwilliam</w:t>
            </w:r>
          </w:p>
        </w:tc>
        <w:tc>
          <w:tcPr>
            <w:tcW w:w="22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427"/>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David McCoy</w:t>
            </w:r>
          </w:p>
        </w:tc>
        <w:tc>
          <w:tcPr>
            <w:tcW w:w="22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427"/>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Edwin Poston</w:t>
            </w:r>
          </w:p>
        </w:tc>
        <w:tc>
          <w:tcPr>
            <w:tcW w:w="22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427"/>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Robert B. Stewart, Jr.</w:t>
            </w:r>
          </w:p>
        </w:tc>
        <w:tc>
          <w:tcPr>
            <w:tcW w:w="220" w:type="dxa"/>
            <w:vAlign w:val="bottom"/>
          </w:tcPr>
          <w:p>
            <w:pPr>
              <w:spacing w:after="0"/>
              <w:rPr>
                <w:sz w:val="19"/>
                <w:szCs w:val="19"/>
                <w:color w:val="auto"/>
              </w:rPr>
            </w:pPr>
          </w:p>
        </w:tc>
        <w:tc>
          <w:tcPr>
            <w:tcW w:w="6100" w:type="dxa"/>
            <w:vAlign w:val="bottom"/>
          </w:tcPr>
          <w:p>
            <w:pPr>
              <w:spacing w:after="0"/>
              <w:rPr>
                <w:sz w:val="19"/>
                <w:szCs w:val="19"/>
                <w:color w:val="auto"/>
              </w:rPr>
            </w:pPr>
          </w:p>
        </w:tc>
      </w:tr>
    </w:tbl>
    <w:p>
      <w:pPr>
        <w:spacing w:after="0" w:line="200" w:lineRule="exact"/>
        <w:rPr>
          <w:sz w:val="20"/>
          <w:szCs w:val="20"/>
          <w:color w:val="auto"/>
        </w:rPr>
      </w:pPr>
    </w:p>
    <w:p>
      <w:pPr>
        <w:spacing w:after="0" w:line="236" w:lineRule="exact"/>
        <w:rPr>
          <w:sz w:val="20"/>
          <w:szCs w:val="20"/>
          <w:color w:val="auto"/>
        </w:rPr>
      </w:pPr>
    </w:p>
    <w:p>
      <w:pPr>
        <w:ind w:left="120" w:right="9040" w:hanging="4"/>
        <w:spacing w:after="0" w:line="281"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 Amanda Coussens Amanda Coussens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-312420</wp:posOffset>
            </wp:positionV>
            <wp:extent cx="27946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March 12, 2024, with respect to the consolidated financial statements of P10, Inc, incorporated herein by reference, and to the reference to our firm under the heading “Experts” in the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22, 2025</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3"/>
    </w:lvl>
  </w:abstractNum>
  <w:abstractNum w:abstractNumId="3">
    <w:nsid w:val="3352255A"/>
    <w:multiLevelType w:val="hybridMultilevel"/>
    <w:lvl w:ilvl="0">
      <w:lvlJc w:val="left"/>
      <w:lvlText w:val="(%1)"/>
      <w:numFmt w:val="decimal"/>
      <w:start w:val="8"/>
    </w:lvl>
  </w:abstractNum>
  <w:abstractNum w:abstractNumId="4">
    <w:nsid w:val="109CF92E"/>
    <w:multiLevelType w:val="hybridMultilevel"/>
    <w:lvl w:ilvl="0">
      <w:lvlJc w:val="left"/>
      <w:lvlText w:val="(%1)"/>
      <w:numFmt w:val="decimal"/>
      <w:start w:val="13"/>
    </w:lvl>
  </w:abstractNum>
  <w:abstractNum w:abstractNumId="5">
    <w:nsid w:val="DED7263"/>
    <w:multiLevelType w:val="hybridMultilevel"/>
    <w:lvl w:ilvl="0">
      <w:lvlJc w:val="left"/>
      <w:lvlText w:val="(%1)"/>
      <w:numFmt w:val="decimal"/>
      <w:start w:val="19"/>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214"/>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
      <w:numFmt w:val="bullet"/>
      <w:start w:val="1"/>
    </w:lvl>
  </w:abstractNum>
  <w:abstractNum w:abstractNumId="13">
    <w:nsid w:val="431BD7B7"/>
    <w:multiLevelType w:val="hybridMultilevel"/>
    <w:lvl w:ilvl="0">
      <w:lvlJc w:val="left"/>
      <w:lvlText w:val=" "/>
      <w:numFmt w:val="bullet"/>
      <w:start w:val="1"/>
    </w:lvl>
  </w:abstractNum>
  <w:abstractNum w:abstractNumId="14">
    <w:nsid w:val="3F2DBA31"/>
    <w:multiLevelType w:val="hybridMultilevel"/>
    <w:lvl w:ilvl="0">
      <w:lvlJc w:val="left"/>
      <w:lvlText w:val="%1"/>
      <w:numFmt w:val="decimal"/>
      <w:start w:val="107"/>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Roman"/>
      <w:start w:val="1"/>
    </w:lvl>
  </w:abstractNum>
  <w:abstractNum w:abstractNumId="18">
    <w:nsid w:val="436C6125"/>
    <w:multiLevelType w:val="hybridMultilevel"/>
    <w:lvl w:ilvl="0">
      <w:lvlJc w:val="left"/>
      <w:lvlText w:val="(%1)"/>
      <w:numFmt w:val="decimal"/>
      <w:start w:val="2"/>
    </w:lvl>
  </w:abstractNum>
  <w:abstractNum w:abstractNumId="19">
    <w:nsid w:val="628C895D"/>
    <w:multiLevelType w:val="hybridMultilevel"/>
    <w:lvl w:ilvl="0">
      <w:lvlJc w:val="left"/>
      <w:lvlText w:val="(%1)"/>
      <w:numFmt w:val="lowerRoman"/>
      <w:start w:val="1"/>
    </w:lvl>
  </w:abstractNum>
  <w:abstractNum w:abstractNumId="20">
    <w:nsid w:val="333AB105"/>
    <w:multiLevelType w:val="hybridMultilevel"/>
    <w:lvl w:ilvl="0">
      <w:lvlJc w:val="left"/>
      <w:lvlText w:val="(%1)"/>
      <w:numFmt w:val="decimal"/>
      <w:start w:val="5"/>
    </w:lvl>
    <w:lvl w:ilvl="1">
      <w:lvlJc w:val="left"/>
      <w:lvlText w:val="(%2)"/>
      <w:numFmt w:val="lowerRoman"/>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70"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43" Type="http://schemas.openxmlformats.org/officeDocument/2006/relationships/hyperlink" Target="http://www.sec.gov/ix?doc=/Archives/edgar/data/1841968/000095017024030461/px-20231231.htm" TargetMode="External"/><Relationship Id="rId44" Type="http://schemas.openxmlformats.org/officeDocument/2006/relationships/hyperlink" Target="http://www.sec.gov/ix?doc=/Archives/edgar/data/1841968/000095017024094357/px-20240630.htm" TargetMode="External"/><Relationship Id="rId45" Type="http://schemas.openxmlformats.org/officeDocument/2006/relationships/hyperlink" Target="http://www.sec.gov/ix?doc=/Archives/edgar/data/1841968/000095017024123725/px-20240930.htm" TargetMode="External"/><Relationship Id="rId46" Type="http://schemas.openxmlformats.org/officeDocument/2006/relationships/hyperlink" Target="http://www.sec.gov/ix?doc=/Archives/edgar/data/1841968/000095017024107018/px-20240916.htm" TargetMode="External"/><Relationship Id="rId47" Type="http://schemas.openxmlformats.org/officeDocument/2006/relationships/hyperlink" Target="http://www.sec.gov/ix?doc=/Archives/edgar/data/1841968/000095017024123354/px-20241105.htm" TargetMode="External"/><Relationship Id="rId48" Type="http://schemas.openxmlformats.org/officeDocument/2006/relationships/hyperlink" Target="http://www.sec.gov/ix?doc=/Archives/edgar/data/1841968/000095017024123358/px-20241107.htm" TargetMode="External"/><Relationship Id="rId49" Type="http://schemas.openxmlformats.org/officeDocument/2006/relationships/hyperlink" Target="http://www.sec.gov/ix?doc=/Archives/edgar/data/1841968/000095017024140156/px-20241219.htm" TargetMode="External"/><Relationship Id="rId50" Type="http://schemas.openxmlformats.org/officeDocument/2006/relationships/hyperlink" Target="http://www.sec.gov/ix?doc=/Archives/edgar/data/1841968/000095017025002674/px-20250101.htm" TargetMode="External"/><Relationship Id="rId51" Type="http://schemas.openxmlformats.org/officeDocument/2006/relationships/hyperlink" Target="http://www.sec.gov/Archives/edgar/data/1841968/000095017024047664/p10_proxy_2023_-_no_xbrl.htm" TargetMode="External"/><Relationship Id="rId52" Type="http://schemas.openxmlformats.org/officeDocument/2006/relationships/hyperlink" Target="http://www.sec.gov/Archives/edgar/data/1841968/000119312521302126/d197268d8a12b.htm" TargetMode="External"/><Relationship Id="rId63" Type="http://schemas.openxmlformats.org/officeDocument/2006/relationships/hyperlink" Target="http://www.sec.gov/Archives/edgar/data/1841968/000119312521308150/d247132dex31.htm" TargetMode="External"/><Relationship Id="rId64" Type="http://schemas.openxmlformats.org/officeDocument/2006/relationships/hyperlink" Target="http://www.sec.gov/Archives/edgar/data/1841968/000119312521308150/d247132dex32.htm" TargetMode="External"/><Relationship Id="rId65" Type="http://schemas.openxmlformats.org/officeDocument/2006/relationships/hyperlink" Target="http://www.sec.gov/Archives/edgar/data/1841968/000095017024030461/px-ex4_3.htm" TargetMode="External"/><Relationship Id="rId66" Type="http://schemas.openxmlformats.org/officeDocument/2006/relationships/hyperlink" Target="http://www.sec.gov/Archives/edgar/data/1841968/000119312521308150/d247132dex102.htm" TargetMode="External"/><Relationship Id="rId67" Type="http://schemas.openxmlformats.org/officeDocument/2006/relationships/hyperlink" Target="http://www.sec.gov/Archives/edgar/data/1841968/000119312521300289/d118332dex102.htm" TargetMode="External"/><Relationship Id="rId68" Type="http://schemas.openxmlformats.org/officeDocument/2006/relationships/hyperlink" Target="http://www.sec.gov/Archives/edgar/data/1841968/000095017023022237/px-ex10_1.htm" TargetMode="External"/><Relationship Id="rId69" Type="http://schemas.openxmlformats.org/officeDocument/2006/relationships/hyperlink" Target="http://www.sec.gov/Archives/edgar/data/1841968/000119312524181654/d741680dex51.htm" TargetMode="External"/><Relationship Id="rId71" Type="http://schemas.openxmlformats.org/officeDocument/2006/relationships/hyperlink" Target="http://www.sec.gov/Archives/edgar/data/1841968/000119312524181654/d741680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2025-01-22T15:49:14Z</dcterms:created>
  <dcterms:modified xsi:type="dcterms:W3CDTF">2025-01-22T15:49:14Z</dcterms:modified>
</cp:coreProperties>
</file>