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2590800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23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2590800</wp:posOffset>
            </wp:positionH>
            <wp:positionV relativeFrom="paragraph">
              <wp:posOffset>142875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P10, Inc.</w:t>
      </w:r>
    </w:p>
    <w:p>
      <w:pPr>
        <w:spacing w:after="0" w:line="4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Class A Common Stock, $0.001 par value per share</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0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69376K106</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20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2590800</wp:posOffset>
            </wp:positionH>
            <wp:positionV relativeFrom="paragraph">
              <wp:posOffset>177165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600" w:hanging="214"/>
        <w:spacing w:after="0"/>
        <w:tabs>
          <w:tab w:leader="none" w:pos="6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rFonts w:ascii="MS PGothic" w:cs="MS PGothic" w:eastAsia="MS PGothic" w:hAnsi="MS PGothic"/>
          <w:sz w:val="18"/>
          <w:szCs w:val="18"/>
          <w:color w:val="auto"/>
        </w:rPr>
      </w:pPr>
    </w:p>
    <w:p>
      <w:pPr>
        <w:ind w:left="600" w:hanging="214"/>
        <w:spacing w:after="0"/>
        <w:tabs>
          <w:tab w:leader="none" w:pos="6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600" w:hanging="214"/>
        <w:spacing w:after="0"/>
        <w:tabs>
          <w:tab w:leader="none" w:pos="6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25" w:lineRule="exact"/>
        <w:rPr>
          <w:sz w:val="24"/>
          <w:szCs w:val="24"/>
          <w:color w:val="auto"/>
        </w:rPr>
      </w:pPr>
    </w:p>
    <w:p>
      <w:pPr>
        <w:ind w:left="40" w:right="60" w:hanging="31"/>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-83185</wp:posOffset>
            </wp:positionH>
            <wp:positionV relativeFrom="paragraph">
              <wp:posOffset>123190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-83185</wp:posOffset>
            </wp:positionH>
            <wp:positionV relativeFrom="paragraph">
              <wp:posOffset>149225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-83185</wp:posOffset>
            </wp:positionH>
            <wp:positionV relativeFrom="paragraph">
              <wp:posOffset>594995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80"/>
          </w:cols>
          <w:pgMar w:left="460" w:top="718" w:right="559" w:bottom="1440" w:gutter="0" w:footer="0" w:header="0"/>
        </w:sectPr>
      </w:pPr>
    </w:p>
    <w:bookmarkStart w:id="1" w:name="page2"/>
    <w:bookmarkEnd w:id="1"/>
    <w:p>
      <w:pPr>
        <w:ind w:left="520" w:right="7880" w:hanging="381"/>
        <w:spacing w:after="0" w:line="312" w:lineRule="auto"/>
        <w:tabs>
          <w:tab w:leader="none" w:pos="5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Keystone Capital XXX,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-318770</wp:posOffset>
            </wp:positionV>
            <wp:extent cx="7132320" cy="48006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800600"/>
                    </a:xfrm>
                    <a:prstGeom prst="rect">
                      <a:avLst/>
                    </a:prstGeom>
                    <a:noFill/>
                  </pic:spPr>
                </pic:pic>
              </a:graphicData>
            </a:graphic>
          </wp:anchor>
        </w:drawing>
      </w:r>
    </w:p>
    <w:p>
      <w:pPr>
        <w:spacing w:after="0" w:line="93" w:lineRule="exact"/>
        <w:rPr>
          <w:sz w:val="20"/>
          <w:szCs w:val="20"/>
          <w:color w:val="auto"/>
        </w:rPr>
      </w:pPr>
    </w:p>
    <w:p>
      <w:pPr>
        <w:ind w:left="520" w:hanging="381"/>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52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180" w:lineRule="exact"/>
        <w:rPr>
          <w:sz w:val="20"/>
          <w:szCs w:val="20"/>
          <w:color w:val="auto"/>
        </w:rPr>
      </w:pPr>
    </w:p>
    <w:p>
      <w:pPr>
        <w:ind w:left="520" w:hanging="381"/>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198" w:lineRule="exact"/>
        <w:rPr>
          <w:sz w:val="20"/>
          <w:szCs w:val="20"/>
          <w:color w:val="auto"/>
        </w:rPr>
      </w:pPr>
    </w:p>
    <w:p>
      <w:pPr>
        <w:ind w:left="520" w:hanging="381"/>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Delaware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9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36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60" w:type="dxa"/>
            <w:vAlign w:val="bottom"/>
            <w:tcBorders>
              <w:bottom w:val="single" w:sz="8" w:color="auto"/>
            </w:tcBorders>
          </w:tcPr>
          <w:p>
            <w:pPr>
              <w:spacing w:after="0"/>
              <w:rPr>
                <w:sz w:val="20"/>
                <w:szCs w:val="20"/>
                <w:color w:val="auto"/>
              </w:rPr>
            </w:pPr>
          </w:p>
        </w:tc>
        <w:tc>
          <w:tcPr>
            <w:tcW w:w="95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89,201,770 Shares (1)</w:t>
            </w:r>
          </w:p>
        </w:tc>
        <w:tc>
          <w:tcPr>
            <w:tcW w:w="0" w:type="dxa"/>
            <w:vAlign w:val="bottom"/>
          </w:tcPr>
          <w:p>
            <w:pPr>
              <w:spacing w:after="0"/>
              <w:rPr>
                <w:sz w:val="1"/>
                <w:szCs w:val="1"/>
                <w:color w:val="auto"/>
              </w:rPr>
            </w:pPr>
          </w:p>
        </w:tc>
      </w:tr>
      <w:tr>
        <w:trPr>
          <w:trHeight w:val="191"/>
        </w:trPr>
        <w:tc>
          <w:tcPr>
            <w:tcW w:w="13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3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6</w:t>
            </w:r>
          </w:p>
        </w:tc>
        <w:tc>
          <w:tcPr>
            <w:tcW w:w="950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36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60" w:type="dxa"/>
            <w:vAlign w:val="bottom"/>
            <w:tcBorders>
              <w:bottom w:val="single" w:sz="8" w:color="auto"/>
            </w:tcBorders>
          </w:tcPr>
          <w:p>
            <w:pPr>
              <w:spacing w:after="0"/>
              <w:rPr>
                <w:sz w:val="20"/>
                <w:szCs w:val="20"/>
                <w:color w:val="auto"/>
              </w:rPr>
            </w:pPr>
          </w:p>
        </w:tc>
        <w:tc>
          <w:tcPr>
            <w:tcW w:w="95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 Shares</w:t>
            </w:r>
          </w:p>
        </w:tc>
        <w:tc>
          <w:tcPr>
            <w:tcW w:w="0" w:type="dxa"/>
            <w:vAlign w:val="bottom"/>
          </w:tcPr>
          <w:p>
            <w:pPr>
              <w:spacing w:after="0"/>
              <w:rPr>
                <w:sz w:val="1"/>
                <w:szCs w:val="1"/>
                <w:color w:val="auto"/>
              </w:rPr>
            </w:pPr>
          </w:p>
        </w:tc>
      </w:tr>
      <w:tr>
        <w:trPr>
          <w:trHeight w:val="178"/>
        </w:trPr>
        <w:tc>
          <w:tcPr>
            <w:tcW w:w="1320" w:type="dxa"/>
            <w:vAlign w:val="bottom"/>
          </w:tcPr>
          <w:p>
            <w:pPr>
              <w:jc w:val="center"/>
              <w:ind w:right="10"/>
              <w:spacing w:after="0" w:line="177" w:lineRule="exact"/>
              <w:rPr>
                <w:sz w:val="20"/>
                <w:szCs w:val="20"/>
                <w:color w:val="auto"/>
              </w:rPr>
            </w:pPr>
            <w:r>
              <w:rPr>
                <w:rFonts w:ascii="Times New Roman" w:cs="Times New Roman" w:eastAsia="Times New Roman" w:hAnsi="Times New Roman"/>
                <w:sz w:val="18"/>
                <w:szCs w:val="18"/>
                <w:color w:val="auto"/>
              </w:rPr>
              <w:t>PERSON</w:t>
            </w:r>
          </w:p>
        </w:tc>
        <w:tc>
          <w:tcPr>
            <w:tcW w:w="36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500" w:type="dxa"/>
            <w:vAlign w:val="bottom"/>
          </w:tcPr>
          <w:p>
            <w:pPr>
              <w:ind w:left="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34"/>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60" w:type="dxa"/>
            <w:vAlign w:val="bottom"/>
          </w:tcPr>
          <w:p>
            <w:pPr>
              <w:spacing w:after="0"/>
              <w:rPr>
                <w:sz w:val="20"/>
                <w:szCs w:val="20"/>
                <w:color w:val="auto"/>
              </w:rPr>
            </w:pPr>
          </w:p>
        </w:tc>
        <w:tc>
          <w:tcPr>
            <w:tcW w:w="95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8,920,177 Shares</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5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3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9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0 Shares</w:t>
      </w:r>
    </w:p>
    <w:p>
      <w:pPr>
        <w:spacing w:after="0" w:line="27" w:lineRule="exact"/>
        <w:rPr>
          <w:sz w:val="20"/>
          <w:szCs w:val="20"/>
          <w:color w:val="auto"/>
        </w:rPr>
      </w:pPr>
    </w:p>
    <w:p>
      <w:pPr>
        <w:ind w:left="520" w:hanging="381"/>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8,920,177</w:t>
      </w:r>
    </w:p>
    <w:p>
      <w:pPr>
        <w:spacing w:after="0" w:line="27" w:lineRule="exact"/>
        <w:rPr>
          <w:sz w:val="20"/>
          <w:szCs w:val="20"/>
          <w:color w:val="auto"/>
        </w:rPr>
      </w:pPr>
    </w:p>
    <w:p>
      <w:pPr>
        <w:ind w:left="520" w:hanging="426"/>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191" w:lineRule="exact"/>
        <w:rPr>
          <w:rFonts w:ascii="Times New Roman" w:cs="Times New Roman" w:eastAsia="Times New Roman" w:hAnsi="Times New Roman"/>
          <w:sz w:val="18"/>
          <w:szCs w:val="18"/>
          <w:color w:val="auto"/>
        </w:rPr>
      </w:pPr>
    </w:p>
    <w:p>
      <w:pPr>
        <w:ind w:left="52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8" w:lineRule="exact"/>
        <w:rPr>
          <w:rFonts w:ascii="Times New Roman" w:cs="Times New Roman" w:eastAsia="Times New Roman" w:hAnsi="Times New Roman"/>
          <w:sz w:val="18"/>
          <w:szCs w:val="18"/>
          <w:color w:val="auto"/>
        </w:rPr>
      </w:pPr>
    </w:p>
    <w:p>
      <w:pPr>
        <w:ind w:left="520" w:hanging="42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05"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10.5% (2)</w:t>
      </w:r>
    </w:p>
    <w:p>
      <w:pPr>
        <w:spacing w:after="0" w:line="27" w:lineRule="exact"/>
        <w:rPr>
          <w:rFonts w:ascii="Times New Roman" w:cs="Times New Roman" w:eastAsia="Times New Roman" w:hAnsi="Times New Roman"/>
          <w:sz w:val="18"/>
          <w:szCs w:val="18"/>
          <w:color w:val="auto"/>
        </w:rPr>
      </w:pPr>
    </w:p>
    <w:p>
      <w:pPr>
        <w:ind w:left="520" w:right="6340" w:hanging="426"/>
        <w:spacing w:after="0" w:line="505"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OO</w:t>
      </w:r>
    </w:p>
    <w:p>
      <w:pPr>
        <w:spacing w:after="0" w:line="1" w:lineRule="exact"/>
        <w:rPr>
          <w:rFonts w:ascii="Times New Roman" w:cs="Times New Roman" w:eastAsia="Times New Roman" w:hAnsi="Times New Roman"/>
          <w:sz w:val="18"/>
          <w:szCs w:val="18"/>
          <w:color w:val="auto"/>
        </w:rPr>
      </w:pPr>
    </w:p>
    <w:p>
      <w:pPr>
        <w:ind w:left="520" w:right="120" w:hanging="383"/>
        <w:spacing w:after="0" w:line="256" w:lineRule="auto"/>
        <w:tabs>
          <w:tab w:leader="none" w:pos="52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figure gives effect to the voting power of the Class B common stock, which entitles its holder to ten votes for each share held, until a Sunset becomes effective.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Charter.</w:t>
      </w:r>
    </w:p>
    <w:p>
      <w:pPr>
        <w:spacing w:after="0" w:line="187" w:lineRule="exact"/>
        <w:rPr>
          <w:rFonts w:ascii="Times New Roman" w:cs="Times New Roman" w:eastAsia="Times New Roman" w:hAnsi="Times New Roman"/>
          <w:sz w:val="18"/>
          <w:szCs w:val="18"/>
          <w:color w:val="auto"/>
        </w:rPr>
      </w:pPr>
    </w:p>
    <w:p>
      <w:pPr>
        <w:ind w:left="500" w:hanging="377"/>
        <w:spacing w:after="0"/>
        <w:tabs>
          <w:tab w:leader="none" w:pos="5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Class A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445770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918" w:right="339" w:bottom="1440" w:gutter="0" w:footer="0" w:header="0"/>
        </w:sectPr>
      </w:pPr>
    </w:p>
    <w:bookmarkStart w:id="2" w:name="page3"/>
    <w:bookmarkEnd w:id="2"/>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Item 1.</w:t>
      </w:r>
    </w:p>
    <w:p>
      <w:pPr>
        <w:spacing w:after="0" w:line="229" w:lineRule="exact"/>
        <w:rPr>
          <w:sz w:val="20"/>
          <w:szCs w:val="20"/>
          <w:color w:val="auto"/>
        </w:rPr>
      </w:pPr>
    </w:p>
    <w:p>
      <w:pPr>
        <w:ind w:left="463" w:hanging="463"/>
        <w:spacing w:after="0"/>
        <w:tabs>
          <w:tab w:leader="none" w:pos="46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w:t>
      </w:r>
    </w:p>
    <w:p>
      <w:pPr>
        <w:spacing w:after="0" w:line="225" w:lineRule="exact"/>
        <w:rPr>
          <w:rFonts w:ascii="Times New Roman" w:cs="Times New Roman" w:eastAsia="Times New Roman" w:hAnsi="Times New Roman"/>
          <w:sz w:val="18"/>
          <w:szCs w:val="18"/>
          <w:color w:val="auto"/>
        </w:rPr>
      </w:pPr>
    </w:p>
    <w:p>
      <w:pPr>
        <w:ind w:left="46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issuer is P10, Inc., a Texas corporation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63" w:hanging="463"/>
        <w:spacing w:after="0"/>
        <w:tabs>
          <w:tab w:leader="none" w:pos="46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w:t>
      </w:r>
    </w:p>
    <w:p>
      <w:pPr>
        <w:spacing w:after="0" w:line="225" w:lineRule="exact"/>
        <w:rPr>
          <w:sz w:val="20"/>
          <w:szCs w:val="20"/>
          <w:color w:val="auto"/>
        </w:rPr>
      </w:pPr>
    </w:p>
    <w:p>
      <w:pPr>
        <w:ind w:left="463"/>
        <w:spacing w:after="0"/>
        <w:rPr>
          <w:sz w:val="20"/>
          <w:szCs w:val="20"/>
          <w:color w:val="auto"/>
        </w:rPr>
      </w:pPr>
      <w:r>
        <w:rPr>
          <w:rFonts w:ascii="Times New Roman" w:cs="Times New Roman" w:eastAsia="Times New Roman" w:hAnsi="Times New Roman"/>
          <w:sz w:val="18"/>
          <w:szCs w:val="18"/>
          <w:color w:val="auto"/>
        </w:rPr>
        <w:t>The Issuer’s principal executive offices are located at:</w:t>
      </w:r>
    </w:p>
    <w:p>
      <w:pPr>
        <w:spacing w:after="0" w:line="27" w:lineRule="exact"/>
        <w:rPr>
          <w:sz w:val="20"/>
          <w:szCs w:val="20"/>
          <w:color w:val="auto"/>
        </w:rPr>
      </w:pPr>
    </w:p>
    <w:p>
      <w:pPr>
        <w:ind w:left="463"/>
        <w:spacing w:after="0"/>
        <w:rPr>
          <w:sz w:val="20"/>
          <w:szCs w:val="20"/>
          <w:color w:val="auto"/>
        </w:rPr>
      </w:pPr>
      <w:r>
        <w:rPr>
          <w:rFonts w:ascii="Times New Roman" w:cs="Times New Roman" w:eastAsia="Times New Roman" w:hAnsi="Times New Roman"/>
          <w:sz w:val="18"/>
          <w:szCs w:val="18"/>
          <w:color w:val="auto"/>
        </w:rPr>
        <w:t>4514 Cole Ave., Suite 1600</w:t>
      </w:r>
    </w:p>
    <w:p>
      <w:pPr>
        <w:spacing w:after="0" w:line="9" w:lineRule="exact"/>
        <w:rPr>
          <w:sz w:val="20"/>
          <w:szCs w:val="20"/>
          <w:color w:val="auto"/>
        </w:rPr>
      </w:pPr>
    </w:p>
    <w:p>
      <w:pPr>
        <w:ind w:left="463"/>
        <w:spacing w:after="0"/>
        <w:rPr>
          <w:sz w:val="20"/>
          <w:szCs w:val="20"/>
          <w:color w:val="auto"/>
        </w:rPr>
      </w:pPr>
      <w:r>
        <w:rPr>
          <w:rFonts w:ascii="Times New Roman" w:cs="Times New Roman" w:eastAsia="Times New Roman" w:hAnsi="Times New Roman"/>
          <w:sz w:val="18"/>
          <w:szCs w:val="18"/>
          <w:color w:val="auto"/>
        </w:rPr>
        <w:t>Dallas, TX 75205.</w:t>
      </w:r>
    </w:p>
    <w:p>
      <w:pPr>
        <w:spacing w:after="0" w:line="20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Item 2.</w:t>
      </w:r>
    </w:p>
    <w:p>
      <w:pPr>
        <w:spacing w:after="0" w:line="229" w:lineRule="exact"/>
        <w:rPr>
          <w:sz w:val="20"/>
          <w:szCs w:val="20"/>
          <w:color w:val="auto"/>
        </w:rPr>
      </w:pPr>
    </w:p>
    <w:p>
      <w:pPr>
        <w:ind w:left="463" w:hanging="463"/>
        <w:spacing w:after="0"/>
        <w:tabs>
          <w:tab w:leader="none" w:pos="46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filing:</w:t>
      </w:r>
    </w:p>
    <w:p>
      <w:pPr>
        <w:spacing w:after="0" w:line="27" w:lineRule="exact"/>
        <w:rPr>
          <w:rFonts w:ascii="Times New Roman" w:cs="Times New Roman" w:eastAsia="Times New Roman" w:hAnsi="Times New Roman"/>
          <w:sz w:val="18"/>
          <w:szCs w:val="18"/>
          <w:color w:val="auto"/>
        </w:rPr>
      </w:pPr>
    </w:p>
    <w:p>
      <w:pPr>
        <w:ind w:left="463" w:hanging="463"/>
        <w:spacing w:after="0"/>
        <w:tabs>
          <w:tab w:leader="none" w:pos="46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Principal Business Office, or if None, Residence</w:t>
      </w:r>
    </w:p>
    <w:p>
      <w:pPr>
        <w:spacing w:after="0" w:line="9" w:lineRule="exact"/>
        <w:rPr>
          <w:rFonts w:ascii="Times New Roman" w:cs="Times New Roman" w:eastAsia="Times New Roman" w:hAnsi="Times New Roman"/>
          <w:sz w:val="18"/>
          <w:szCs w:val="18"/>
          <w:color w:val="auto"/>
        </w:rPr>
      </w:pPr>
    </w:p>
    <w:p>
      <w:pPr>
        <w:ind w:left="463" w:hanging="463"/>
        <w:spacing w:after="0"/>
        <w:tabs>
          <w:tab w:leader="none" w:pos="46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w:t>
      </w:r>
    </w:p>
    <w:p>
      <w:pPr>
        <w:spacing w:after="0" w:line="207" w:lineRule="exact"/>
        <w:rPr>
          <w:sz w:val="20"/>
          <w:szCs w:val="20"/>
          <w:color w:val="auto"/>
        </w:rPr>
      </w:pPr>
    </w:p>
    <w:p>
      <w:pPr>
        <w:ind w:left="463"/>
        <w:spacing w:after="0"/>
        <w:rPr>
          <w:sz w:val="20"/>
          <w:szCs w:val="20"/>
          <w:color w:val="auto"/>
        </w:rPr>
      </w:pPr>
      <w:r>
        <w:rPr>
          <w:rFonts w:ascii="Times New Roman" w:cs="Times New Roman" w:eastAsia="Times New Roman" w:hAnsi="Times New Roman"/>
          <w:sz w:val="18"/>
          <w:szCs w:val="18"/>
          <w:color w:val="auto"/>
        </w:rPr>
        <w:t>This statement is filed by:</w:t>
      </w:r>
    </w:p>
    <w:p>
      <w:pPr>
        <w:spacing w:after="0" w:line="225" w:lineRule="exact"/>
        <w:rPr>
          <w:sz w:val="20"/>
          <w:szCs w:val="20"/>
          <w:color w:val="auto"/>
        </w:rPr>
      </w:pPr>
    </w:p>
    <w:p>
      <w:pPr>
        <w:ind w:left="903" w:hanging="444"/>
        <w:spacing w:after="0"/>
        <w:tabs>
          <w:tab w:leader="none" w:pos="9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Keystone Capital XXX, LLC, a Delaware limited liability company (“Keystone Capital XXX”);</w:t>
      </w:r>
    </w:p>
    <w:p>
      <w:pPr>
        <w:spacing w:after="0" w:line="225" w:lineRule="exact"/>
        <w:rPr>
          <w:sz w:val="20"/>
          <w:szCs w:val="20"/>
          <w:color w:val="auto"/>
        </w:rPr>
      </w:pPr>
    </w:p>
    <w:p>
      <w:pPr>
        <w:jc w:val="center"/>
        <w:ind w:right="-22"/>
        <w:spacing w:after="0"/>
        <w:rPr>
          <w:sz w:val="20"/>
          <w:szCs w:val="20"/>
          <w:color w:val="auto"/>
        </w:rPr>
      </w:pPr>
      <w:r>
        <w:rPr>
          <w:rFonts w:ascii="Times New Roman" w:cs="Times New Roman" w:eastAsia="Times New Roman" w:hAnsi="Times New Roman"/>
          <w:sz w:val="17"/>
          <w:szCs w:val="17"/>
          <w:color w:val="auto"/>
        </w:rPr>
        <w:t>The address of the principal business office of the Reporting Person is 155 N. Wacker Drive, #4150, Chicago, Illinois 60606.</w:t>
      </w:r>
    </w:p>
    <w:p>
      <w:pPr>
        <w:spacing w:after="0" w:line="237" w:lineRule="exact"/>
        <w:rPr>
          <w:sz w:val="20"/>
          <w:szCs w:val="20"/>
          <w:color w:val="auto"/>
        </w:rPr>
      </w:pPr>
    </w:p>
    <w:p>
      <w:pPr>
        <w:ind w:left="463" w:hanging="463"/>
        <w:spacing w:after="0"/>
        <w:tabs>
          <w:tab w:leader="none" w:pos="46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class of securities:</w:t>
      </w:r>
    </w:p>
    <w:p>
      <w:pPr>
        <w:spacing w:after="0" w:line="225" w:lineRule="exact"/>
        <w:rPr>
          <w:rFonts w:ascii="Times New Roman" w:cs="Times New Roman" w:eastAsia="Times New Roman" w:hAnsi="Times New Roman"/>
          <w:sz w:val="18"/>
          <w:szCs w:val="18"/>
          <w:color w:val="auto"/>
        </w:rPr>
      </w:pPr>
    </w:p>
    <w:p>
      <w:pPr>
        <w:ind w:left="46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Common Stock, $0.001 par value per share (“</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63" w:hanging="463"/>
        <w:spacing w:after="0"/>
        <w:tabs>
          <w:tab w:leader="none" w:pos="46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CUSIP No.:</w:t>
      </w:r>
    </w:p>
    <w:p>
      <w:pPr>
        <w:spacing w:after="0" w:line="225" w:lineRule="exact"/>
        <w:rPr>
          <w:rFonts w:ascii="Times New Roman" w:cs="Times New Roman" w:eastAsia="Times New Roman" w:hAnsi="Times New Roman"/>
          <w:sz w:val="18"/>
          <w:szCs w:val="18"/>
          <w:color w:val="auto"/>
        </w:rPr>
      </w:pPr>
    </w:p>
    <w:p>
      <w:pPr>
        <w:ind w:left="46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CUSIP number is 69376K106.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wp:posOffset>
            </wp:positionH>
            <wp:positionV relativeFrom="paragraph">
              <wp:posOffset>462915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902"/>
          </w:cols>
          <w:pgMar w:left="557" w:top="900" w:right="1440" w:bottom="1440" w:gutter="0" w:footer="0" w:header="0"/>
        </w:sectPr>
      </w:pPr>
    </w:p>
    <w:bookmarkStart w:id="3" w:name="page4"/>
    <w:bookmarkEnd w:id="3"/>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Item 3. If this statement is filed pursuant to §§240.13d–1(b) or 240.13d–2(b) or (c), check whether the person filing is a:</w:t>
      </w:r>
    </w:p>
    <w:p>
      <w:pPr>
        <w:spacing w:after="0" w:line="229" w:lineRule="exact"/>
        <w:rPr>
          <w:sz w:val="20"/>
          <w:szCs w:val="20"/>
          <w:color w:val="auto"/>
        </w:rPr>
      </w:pPr>
    </w:p>
    <w:p>
      <w:pPr>
        <w:ind w:left="760" w:hanging="217"/>
        <w:spacing w:after="0"/>
        <w:tabs>
          <w:tab w:leader="none" w:pos="760" w:val="left"/>
        </w:tabs>
        <w:numPr>
          <w:ilvl w:val="0"/>
          <w:numId w:val="1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MS PGothic" w:cs="MS PGothic" w:eastAsia="MS PGothic" w:hAnsi="MS PGothic"/>
          <w:sz w:val="18"/>
          <w:szCs w:val="18"/>
          <w:color w:val="auto"/>
        </w:rPr>
      </w:pPr>
    </w:p>
    <w:p>
      <w:pPr>
        <w:ind w:left="780" w:hanging="199"/>
        <w:spacing w:after="0"/>
        <w:tabs>
          <w:tab w:leader="none" w:pos="780" w:val="left"/>
        </w:tabs>
        <w:numPr>
          <w:ilvl w:val="1"/>
          <w:numId w:val="1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Broker or dealer registered under Section 15 of the Exchange Act.</w:t>
      </w:r>
    </w:p>
    <w:p>
      <w:pPr>
        <w:spacing w:after="0" w:line="29" w:lineRule="exact"/>
        <w:rPr>
          <w:rFonts w:ascii="MS PGothic" w:cs="MS PGothic" w:eastAsia="MS PGothic" w:hAnsi="MS PGothic"/>
          <w:sz w:val="18"/>
          <w:szCs w:val="18"/>
          <w:color w:val="auto"/>
        </w:rPr>
      </w:pPr>
    </w:p>
    <w:p>
      <w:pPr>
        <w:ind w:left="780" w:hanging="199"/>
        <w:spacing w:after="0"/>
        <w:tabs>
          <w:tab w:leader="none" w:pos="780" w:val="left"/>
        </w:tabs>
        <w:numPr>
          <w:ilvl w:val="1"/>
          <w:numId w:val="1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Bank as defined in Section 3(a)(6) of the Exchange Act.</w:t>
      </w:r>
    </w:p>
    <w:p>
      <w:pPr>
        <w:spacing w:after="0" w:line="205" w:lineRule="exact"/>
        <w:rPr>
          <w:sz w:val="20"/>
          <w:szCs w:val="20"/>
          <w:color w:val="auto"/>
        </w:rPr>
      </w:pPr>
    </w:p>
    <w:p>
      <w:pPr>
        <w:ind w:left="780" w:hanging="199"/>
        <w:spacing w:after="0"/>
        <w:tabs>
          <w:tab w:leader="none" w:pos="780" w:val="left"/>
        </w:tabs>
        <w:numPr>
          <w:ilvl w:val="0"/>
          <w:numId w:val="1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Investment company registered under Section 8 of the Investment Company Act.</w:t>
      </w:r>
    </w:p>
    <w:p>
      <w:pPr>
        <w:spacing w:after="0" w:line="29" w:lineRule="exact"/>
        <w:rPr>
          <w:rFonts w:ascii="MS PGothic" w:cs="MS PGothic" w:eastAsia="MS PGothic" w:hAnsi="MS PGothic"/>
          <w:sz w:val="18"/>
          <w:szCs w:val="18"/>
          <w:color w:val="auto"/>
        </w:rPr>
      </w:pPr>
    </w:p>
    <w:p>
      <w:pPr>
        <w:ind w:left="780" w:hanging="199"/>
        <w:spacing w:after="0"/>
        <w:tabs>
          <w:tab w:leader="none" w:pos="780" w:val="left"/>
        </w:tabs>
        <w:numPr>
          <w:ilvl w:val="0"/>
          <w:numId w:val="1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 investment adviser in accordance with Rule 13d-1(b)(1)(ii)(E).</w:t>
      </w:r>
    </w:p>
    <w:p>
      <w:pPr>
        <w:spacing w:after="0" w:line="9" w:lineRule="exact"/>
        <w:rPr>
          <w:rFonts w:ascii="MS PGothic" w:cs="MS PGothic" w:eastAsia="MS PGothic" w:hAnsi="MS PGothic"/>
          <w:sz w:val="18"/>
          <w:szCs w:val="18"/>
          <w:color w:val="auto"/>
        </w:rPr>
      </w:pPr>
    </w:p>
    <w:p>
      <w:pPr>
        <w:ind w:left="780" w:hanging="199"/>
        <w:spacing w:after="0"/>
        <w:tabs>
          <w:tab w:leader="none" w:pos="780" w:val="left"/>
        </w:tabs>
        <w:numPr>
          <w:ilvl w:val="0"/>
          <w:numId w:val="1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 employee benefit plan or endowment fund in accordance with Rule 13d-1(b)(1)(ii)(F).</w:t>
      </w:r>
    </w:p>
    <w:p>
      <w:pPr>
        <w:spacing w:after="0" w:line="9" w:lineRule="exact"/>
        <w:rPr>
          <w:rFonts w:ascii="MS PGothic" w:cs="MS PGothic" w:eastAsia="MS PGothic" w:hAnsi="MS PGothic"/>
          <w:sz w:val="18"/>
          <w:szCs w:val="18"/>
          <w:color w:val="auto"/>
        </w:rPr>
      </w:pPr>
    </w:p>
    <w:p>
      <w:pPr>
        <w:ind w:left="780" w:hanging="199"/>
        <w:spacing w:after="0"/>
        <w:tabs>
          <w:tab w:leader="none" w:pos="780" w:val="left"/>
        </w:tabs>
        <w:numPr>
          <w:ilvl w:val="0"/>
          <w:numId w:val="1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 parent holding company or control person in accordance with Rule 13d-1(b)(1)(ii)(G).</w:t>
      </w:r>
    </w:p>
    <w:p>
      <w:pPr>
        <w:spacing w:after="0" w:line="9" w:lineRule="exact"/>
        <w:rPr>
          <w:rFonts w:ascii="MS PGothic" w:cs="MS PGothic" w:eastAsia="MS PGothic" w:hAnsi="MS PGothic"/>
          <w:sz w:val="18"/>
          <w:szCs w:val="18"/>
          <w:color w:val="auto"/>
        </w:rPr>
      </w:pPr>
    </w:p>
    <w:p>
      <w:pPr>
        <w:ind w:left="780" w:hanging="199"/>
        <w:spacing w:after="0"/>
        <w:tabs>
          <w:tab w:leader="none" w:pos="780" w:val="left"/>
        </w:tabs>
        <w:numPr>
          <w:ilvl w:val="0"/>
          <w:numId w:val="1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 savings association as defined in Section 3(b) of the Federal Deposit Insurance Act.</w:t>
      </w:r>
    </w:p>
    <w:p>
      <w:pPr>
        <w:spacing w:after="0" w:line="9" w:lineRule="exact"/>
        <w:rPr>
          <w:rFonts w:ascii="MS PGothic" w:cs="MS PGothic" w:eastAsia="MS PGothic" w:hAnsi="MS PGothic"/>
          <w:sz w:val="18"/>
          <w:szCs w:val="18"/>
          <w:color w:val="auto"/>
        </w:rPr>
      </w:pPr>
    </w:p>
    <w:p>
      <w:pPr>
        <w:ind w:left="780" w:hanging="199"/>
        <w:spacing w:after="0"/>
        <w:tabs>
          <w:tab w:leader="none" w:pos="780" w:val="left"/>
        </w:tabs>
        <w:numPr>
          <w:ilvl w:val="0"/>
          <w:numId w:val="1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 church plan that is excluded from the definition of an investment company under Section 3(c)(14) of the Investment Company Act.</w:t>
      </w:r>
    </w:p>
    <w:p>
      <w:pPr>
        <w:spacing w:after="0" w:line="9" w:lineRule="exact"/>
        <w:rPr>
          <w:rFonts w:ascii="MS PGothic" w:cs="MS PGothic" w:eastAsia="MS PGothic" w:hAnsi="MS PGothic"/>
          <w:sz w:val="18"/>
          <w:szCs w:val="18"/>
          <w:color w:val="auto"/>
        </w:rPr>
      </w:pPr>
    </w:p>
    <w:p>
      <w:pPr>
        <w:ind w:left="780" w:hanging="199"/>
        <w:spacing w:after="0"/>
        <w:tabs>
          <w:tab w:leader="none" w:pos="780" w:val="left"/>
        </w:tabs>
        <w:numPr>
          <w:ilvl w:val="0"/>
          <w:numId w:val="1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 non-U.S. institution in accordance with Rule 13d-1(b)(1)(ii)(J).</w:t>
      </w:r>
    </w:p>
    <w:p>
      <w:pPr>
        <w:spacing w:after="0" w:line="9" w:lineRule="exact"/>
        <w:rPr>
          <w:rFonts w:ascii="MS PGothic" w:cs="MS PGothic" w:eastAsia="MS PGothic" w:hAnsi="MS PGothic"/>
          <w:sz w:val="18"/>
          <w:szCs w:val="18"/>
          <w:color w:val="auto"/>
        </w:rPr>
      </w:pPr>
    </w:p>
    <w:p>
      <w:pPr>
        <w:ind w:left="580" w:firstLine="1"/>
        <w:spacing w:after="0" w:line="258" w:lineRule="auto"/>
        <w:tabs>
          <w:tab w:leader="none" w:pos="787" w:val="left"/>
        </w:tabs>
        <w:numPr>
          <w:ilvl w:val="0"/>
          <w:numId w:val="1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Group, in accordance with Rule 13d-1(b)(1)(ii)(K). If filing as a non-U.S. institution in accordance with Rule 13d-1(b)(1)(ii)(J), please specify the type of institution: ____</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4. Ownership</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information in Items 5 through 9 and Item 11 on the cover pages to this Schedule 13G is hereby incorporated by reference.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All ownership information reported in this Item 4 is as of the close of business on May 10, 2022.</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Amount beneficially owned:</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Keystone Capital XXX is the direct beneficial holder of 8,920,177 shares of Class B Common Stock.</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holders of Class B Common Stock may elect to convert on a one-for-one basis into Class A Common Stock at any time.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 Percent of Class:</w:t>
      </w:r>
    </w:p>
    <w:p>
      <w:pPr>
        <w:spacing w:after="0" w:line="225" w:lineRule="exact"/>
        <w:rPr>
          <w:sz w:val="20"/>
          <w:szCs w:val="20"/>
          <w:color w:val="auto"/>
        </w:rPr>
      </w:pPr>
    </w:p>
    <w:p>
      <w:pPr>
        <w:ind w:left="1300" w:right="320"/>
        <w:spacing w:after="0" w:line="266" w:lineRule="auto"/>
        <w:rPr>
          <w:sz w:val="20"/>
          <w:szCs w:val="20"/>
          <w:color w:val="auto"/>
        </w:rPr>
      </w:pPr>
      <w:r>
        <w:rPr>
          <w:rFonts w:ascii="Times New Roman" w:cs="Times New Roman" w:eastAsia="Times New Roman" w:hAnsi="Times New Roman"/>
          <w:sz w:val="18"/>
          <w:szCs w:val="18"/>
          <w:color w:val="auto"/>
        </w:rPr>
        <w:t>The following percentages are based on 35,704,971 shares of Class A Common Stock and 81,487,760 shares of Class B Common Stock outstanding as of April 25, 2022, which are the total number of shares of Class A and Class B Common Stock outstanding as disclosed by the Issuer in its Proxy Statement for fiscal year ending December 31, 2021, filed April 29, 2022.</w:t>
      </w:r>
    </w:p>
    <w:p>
      <w:pPr>
        <w:spacing w:after="0" w:line="176" w:lineRule="exact"/>
        <w:rPr>
          <w:sz w:val="20"/>
          <w:szCs w:val="20"/>
          <w:color w:val="auto"/>
        </w:rPr>
      </w:pPr>
    </w:p>
    <w:p>
      <w:pPr>
        <w:ind w:left="1300" w:right="1420"/>
        <w:spacing w:after="0" w:line="282" w:lineRule="auto"/>
        <w:rPr>
          <w:sz w:val="20"/>
          <w:szCs w:val="20"/>
          <w:color w:val="auto"/>
        </w:rPr>
      </w:pPr>
      <w:r>
        <w:rPr>
          <w:rFonts w:ascii="Times New Roman" w:cs="Times New Roman" w:eastAsia="Times New Roman" w:hAnsi="Times New Roman"/>
          <w:sz w:val="18"/>
          <w:szCs w:val="18"/>
          <w:color w:val="auto"/>
        </w:rPr>
        <w:t>As of the close of business on May 10, 2022, the Reporting Persons beneficially owned approximately 10.9% of the outstanding shares of Class B Common Stock.</w:t>
      </w:r>
    </w:p>
    <w:p>
      <w:pPr>
        <w:spacing w:after="0" w:line="162" w:lineRule="exact"/>
        <w:rPr>
          <w:sz w:val="20"/>
          <w:szCs w:val="20"/>
          <w:color w:val="auto"/>
        </w:rPr>
      </w:pPr>
    </w:p>
    <w:p>
      <w:pPr>
        <w:ind w:left="700" w:hanging="249"/>
        <w:spacing w:after="0"/>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5" w:lineRule="exact"/>
        <w:rPr>
          <w:rFonts w:ascii="Times New Roman" w:cs="Times New Roman" w:eastAsia="Times New Roman" w:hAnsi="Times New Roman"/>
          <w:sz w:val="18"/>
          <w:szCs w:val="18"/>
          <w:color w:val="auto"/>
        </w:rPr>
      </w:pPr>
    </w:p>
    <w:p>
      <w:pPr>
        <w:ind w:left="2200" w:right="6160" w:hanging="906"/>
        <w:spacing w:after="0" w:line="282" w:lineRule="auto"/>
        <w:tabs>
          <w:tab w:leader="none" w:pos="209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See Cover Pages Items 5-9.</w:t>
      </w:r>
    </w:p>
    <w:p>
      <w:pPr>
        <w:spacing w:after="0" w:line="161" w:lineRule="exact"/>
        <w:rPr>
          <w:rFonts w:ascii="Times New Roman" w:cs="Times New Roman" w:eastAsia="Times New Roman" w:hAnsi="Times New Roman"/>
          <w:sz w:val="18"/>
          <w:szCs w:val="18"/>
          <w:color w:val="auto"/>
        </w:rPr>
      </w:pPr>
    </w:p>
    <w:p>
      <w:pPr>
        <w:ind w:left="2200" w:right="6020" w:hanging="906"/>
        <w:spacing w:after="0" w:line="282" w:lineRule="auto"/>
        <w:tabs>
          <w:tab w:leader="none" w:pos="2053"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See Cover Pages Items 5-9.</w:t>
      </w:r>
    </w:p>
    <w:p>
      <w:pPr>
        <w:spacing w:after="0" w:line="161" w:lineRule="exact"/>
        <w:rPr>
          <w:rFonts w:ascii="Times New Roman" w:cs="Times New Roman" w:eastAsia="Times New Roman" w:hAnsi="Times New Roman"/>
          <w:sz w:val="18"/>
          <w:szCs w:val="18"/>
          <w:color w:val="auto"/>
        </w:rPr>
      </w:pPr>
    </w:p>
    <w:p>
      <w:pPr>
        <w:ind w:left="2200" w:right="5340" w:hanging="906"/>
        <w:spacing w:after="0" w:line="282" w:lineRule="auto"/>
        <w:tabs>
          <w:tab w:leader="none" w:pos="201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See Cover Pages Items 5-9.</w:t>
      </w:r>
    </w:p>
    <w:p>
      <w:pPr>
        <w:spacing w:after="0" w:line="161" w:lineRule="exact"/>
        <w:rPr>
          <w:rFonts w:ascii="Times New Roman" w:cs="Times New Roman" w:eastAsia="Times New Roman" w:hAnsi="Times New Roman"/>
          <w:sz w:val="18"/>
          <w:szCs w:val="18"/>
          <w:color w:val="auto"/>
        </w:rPr>
      </w:pPr>
    </w:p>
    <w:p>
      <w:pPr>
        <w:ind w:left="2200" w:right="5120" w:hanging="906"/>
        <w:spacing w:after="0" w:line="282" w:lineRule="auto"/>
        <w:tabs>
          <w:tab w:leader="none" w:pos="204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See Cover Pages Items 5-9.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5. Ownership of 5 Percent or Less of a Class.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6. Ownership of More than 5 Percent on Behalf of Another Person.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in Items 2 and 4 is hereby incorporated by reference.</w:t>
      </w:r>
    </w:p>
    <w:p>
      <w:pPr>
        <w:spacing w:after="0" w:line="221" w:lineRule="exact"/>
        <w:rPr>
          <w:sz w:val="20"/>
          <w:szCs w:val="20"/>
          <w:color w:val="auto"/>
        </w:rPr>
      </w:pPr>
    </w:p>
    <w:p>
      <w:pPr>
        <w:ind w:left="40"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Item 7. Identification and Classification of the Subsidiary Which Acquired the Security Being Reported on by the Parent Holding Company or Control Person.</w:t>
      </w:r>
    </w:p>
    <w:p>
      <w:pPr>
        <w:spacing w:after="0" w:line="1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information in Items 2 and 4 is hereby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445770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60"/>
          </w:cols>
          <w:pgMar w:left="460" w:top="927"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i w:val="1"/>
          <w:iCs w:val="1"/>
          <w:color w:val="auto"/>
        </w:rPr>
        <w:t>Item 8. Identification and Classification of Members of the Group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9. Notice of Dissolution of Group.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Item 10. Certifications</w:t>
      </w:r>
    </w:p>
    <w:p>
      <w:pPr>
        <w:spacing w:after="0" w:line="229"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414655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500" w:top="900" w:right="47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89"/>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10, 2022</w:t>
      </w:r>
    </w:p>
    <w:p>
      <w:pPr>
        <w:spacing w:after="0" w:line="22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b w:val="1"/>
          <w:bCs w:val="1"/>
          <w:color w:val="auto"/>
        </w:rPr>
        <w:t>Keystone Capital XXX, LLC</w:t>
      </w:r>
    </w:p>
    <w:p>
      <w:pPr>
        <w:spacing w:after="0" w:line="22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Kent P. Dauten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3696335</wp:posOffset>
            </wp:positionH>
            <wp:positionV relativeFrom="paragraph">
              <wp:posOffset>17145</wp:posOffset>
            </wp:positionV>
            <wp:extent cx="33515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Kent P. Dauten</w:t>
      </w:r>
    </w:p>
    <w:p>
      <w:pPr>
        <w:spacing w:after="0" w:line="2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Its: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434340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960"/>
      </w:cols>
      <w:pgMar w:left="460" w:top="90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bullet"/>
      <w:start w:val="1"/>
    </w:lvl>
  </w:abstractNum>
  <w:abstractNum w:abstractNumId="3">
    <w:nsid w:val="12200854"/>
    <w:multiLevelType w:val="hybridMultilevel"/>
    <w:lvl w:ilvl="0">
      <w:lvlJc w:val="left"/>
      <w:lvlText w:val="2"/>
      <w:numFmt w:val="bullet"/>
      <w:start w:val="1"/>
    </w:lvl>
  </w:abstractNum>
  <w:abstractNum w:abstractNumId="4">
    <w:nsid w:val="4DB127F8"/>
    <w:multiLevelType w:val="hybridMultilevel"/>
    <w:lvl w:ilvl="0">
      <w:lvlJc w:val="left"/>
      <w:lvlText w:val="3"/>
      <w:numFmt w:val="bullet"/>
      <w:start w:val="1"/>
    </w:lvl>
  </w:abstractNum>
  <w:abstractNum w:abstractNumId="5">
    <w:nsid w:val="216231B"/>
    <w:multiLevelType w:val="hybridMultilevel"/>
    <w:lvl w:ilvl="0">
      <w:lvlJc w:val="left"/>
      <w:lvlText w:val="4"/>
      <w:numFmt w:val="bullet"/>
      <w:start w:val="1"/>
    </w:lvl>
  </w:abstractNum>
  <w:abstractNum w:abstractNumId="6">
    <w:nsid w:val="1F16E9E8"/>
    <w:multiLevelType w:val="hybridMultilevel"/>
    <w:lvl w:ilvl="0">
      <w:lvlJc w:val="left"/>
      <w:lvlText w:val="9"/>
      <w:numFmt w:val="bullet"/>
      <w:start w:val="1"/>
    </w:lvl>
  </w:abstractNum>
  <w:abstractNum w:abstractNumId="7">
    <w:nsid w:val="1190CDE7"/>
    <w:multiLevelType w:val="hybridMultilevel"/>
    <w:lvl w:ilvl="0">
      <w:lvlJc w:val="left"/>
      <w:lvlText w:val="%1"/>
      <w:numFmt w:val="decimal"/>
      <w:start w:val="10"/>
    </w:lvl>
    <w:lvl w:ilvl="1">
      <w:lvlJc w:val="left"/>
      <w:lvlText w:val="(%2)"/>
      <w:numFmt w:val="decimal"/>
      <w:start w:val="1"/>
    </w:lvl>
    <w:lvl w:ilvl="2">
      <w:lvlJc w:val="left"/>
      <w:lvlText w:val="(%3)"/>
      <w:numFmt w:val="decimal"/>
      <w:start w:val="1"/>
    </w:lvl>
  </w:abstractNum>
  <w:abstractNum w:abstractNumId="8">
    <w:nsid w:val="66EF438D"/>
    <w:multiLevelType w:val="hybridMultilevel"/>
    <w:lvl w:ilvl="0">
      <w:lvlJc w:val="left"/>
      <w:lvlText w:val="(%1)"/>
      <w:numFmt w:val="lowerLetter"/>
      <w:start w:val="1"/>
    </w:lvl>
  </w:abstractNum>
  <w:abstractNum w:abstractNumId="9">
    <w:nsid w:val="140E0F76"/>
    <w:multiLevelType w:val="hybridMultilevel"/>
    <w:lvl w:ilvl="0">
      <w:lvlJc w:val="left"/>
      <w:lvlText w:val="(%1)"/>
      <w:numFmt w:val="lowerLetter"/>
      <w:start w:val="1"/>
    </w:lvl>
  </w:abstractNum>
  <w:abstractNum w:abstractNumId="10">
    <w:nsid w:val="3352255A"/>
    <w:multiLevelType w:val="hybridMultilevel"/>
    <w:lvl w:ilvl="0">
      <w:lvlJc w:val="left"/>
      <w:lvlText w:val="(%1)"/>
      <w:numFmt w:val="lowerRoman"/>
      <w:start w:val="1"/>
    </w:lvl>
  </w:abstractNum>
  <w:abstractNum w:abstractNumId="11">
    <w:nsid w:val="109CF92E"/>
    <w:multiLevelType w:val="hybridMultilevel"/>
    <w:lvl w:ilvl="0">
      <w:lvlJc w:val="left"/>
      <w:lvlText w:val="(%1)"/>
      <w:numFmt w:val="lowerLetter"/>
      <w:start w:val="4"/>
    </w:lvl>
  </w:abstractNum>
  <w:abstractNum w:abstractNumId="12">
    <w:nsid w:val="DED7263"/>
    <w:multiLevelType w:val="hybridMultilevel"/>
    <w:lvl w:ilvl="0">
      <w:lvlJc w:val="left"/>
      <w:lvlText w:val="☒"/>
      <w:numFmt w:val="bullet"/>
      <w:start w:val="1"/>
    </w:lvl>
    <w:lvl w:ilvl="1">
      <w:lvlJc w:val="left"/>
      <w:lvlText w:val="☐"/>
      <w:numFmt w:val="bullet"/>
      <w:start w:val="1"/>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2022-05-10T14:52:20Z</dcterms:created>
  <dcterms:modified xsi:type="dcterms:W3CDTF">2022-05-10T14:52:20Z</dcterms:modified>
</cp:coreProperties>
</file>