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_ )*</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00504W100</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2007</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779" w:hanging="5"/>
        <w:spacing w:after="0" w:line="536" w:lineRule="auto"/>
        <w:tabs>
          <w:tab w:leader="none" w:pos="106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00504W100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1879" w:hanging="533"/>
        <w:spacing w:after="0" w:line="235"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Invesco Ltd.</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PowerShares Capital Management LLC</w:t>
      </w:r>
    </w:p>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700" w:right="2939" w:hanging="533"/>
        <w:spacing w:after="0" w:line="235" w:lineRule="auto"/>
        <w:tabs>
          <w:tab w:leader="none" w:pos="17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700" w:hanging="533"/>
        <w:spacing w:after="0"/>
        <w:tabs>
          <w:tab w:leader="none" w:pos="17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  _______________________________________________</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000" w:right="2319" w:hanging="833"/>
        <w:spacing w:after="0" w:line="235" w:lineRule="auto"/>
        <w:tabs>
          <w:tab w:leader="none" w:pos="168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Invesco Ltd. - Bermuda PowerShares Capital Management LLC - US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860" w:right="1879" w:hanging="534"/>
        <w:spacing w:after="0" w:line="236" w:lineRule="auto"/>
        <w:tabs>
          <w:tab w:leader="none" w:pos="2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3,470,222: Such shares are held by the following entities in the respective amounts listed:</w:t>
      </w:r>
    </w:p>
    <w:p>
      <w:pPr>
        <w:spacing w:after="0" w:line="203"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PowerShares Capital Management LLC - 3,470,222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32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74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______-0-______</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74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63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12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Sole Dispositive Power 3,470,222: Such shares are</w:t>
            </w:r>
          </w:p>
        </w:tc>
      </w:tr>
      <w:tr>
        <w:trPr>
          <w:trHeight w:val="203"/>
        </w:trPr>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held by the following entities in the respective</w:t>
            </w:r>
          </w:p>
        </w:tc>
      </w:tr>
      <w:tr>
        <w:trPr>
          <w:trHeight w:val="203"/>
        </w:trPr>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amounts listed:</w:t>
            </w:r>
          </w:p>
        </w:tc>
      </w:tr>
      <w:tr>
        <w:trPr>
          <w:trHeight w:val="405"/>
        </w:trPr>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PowerShares Capital Management LLC - 3,470,222</w:t>
            </w:r>
          </w:p>
        </w:tc>
      </w:tr>
      <w:tr>
        <w:trPr>
          <w:trHeight w:val="405"/>
        </w:trPr>
        <w:tc>
          <w:tcPr>
            <w:tcW w:w="2120" w:type="dxa"/>
            <w:vAlign w:val="bottom"/>
          </w:tcPr>
          <w:p>
            <w:pPr>
              <w:spacing w:after="0"/>
              <w:rPr>
                <w:sz w:val="24"/>
                <w:szCs w:val="24"/>
                <w:color w:val="auto"/>
              </w:rPr>
            </w:pPr>
          </w:p>
        </w:tc>
        <w:tc>
          <w:tcPr>
            <w:tcW w:w="632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405"/>
        </w:trPr>
        <w:tc>
          <w:tcPr>
            <w:tcW w:w="212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8.</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Shared Dispositive Power   ______-0-______</w:t>
            </w:r>
          </w:p>
        </w:tc>
      </w:tr>
    </w:tbl>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700" w:right="2099" w:hanging="533"/>
        <w:spacing w:after="0" w:line="235"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3,470,222</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1700" w:right="1779" w:hanging="533"/>
        <w:spacing w:after="0" w:line="235"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N/A</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932" w:gutter="0" w:footer="0" w:header="0"/>
        </w:sectPr>
      </w:pPr>
    </w:p>
    <w:p>
      <w:pPr>
        <w:spacing w:after="0" w:line="218" w:lineRule="exact"/>
        <w:rPr>
          <w:sz w:val="20"/>
          <w:szCs w:val="20"/>
          <w:color w:val="auto"/>
        </w:rPr>
      </w:pPr>
    </w:p>
    <w:p>
      <w:pPr>
        <w:ind w:left="1160"/>
        <w:spacing w:after="0"/>
        <w:tabs>
          <w:tab w:leader="none" w:pos="168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5.75%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6980" w:space="720"/>
            <w:col w:w="2519"/>
          </w:cols>
          <w:pgMar w:left="240" w:top="717" w:right="1440" w:bottom="932" w:gutter="0" w:footer="0" w:header="0"/>
          <w:type w:val="continuous"/>
        </w:sectPr>
      </w:pPr>
    </w:p>
    <w:p>
      <w:pPr>
        <w:spacing w:after="0" w:line="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700" w:right="3899" w:hanging="533"/>
        <w:spacing w:after="0" w:line="290" w:lineRule="auto"/>
        <w:tabs>
          <w:tab w:leader="none" w:pos="170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IA, HC. See Items 2 and 3 of this statement.</w:t>
      </w:r>
    </w:p>
    <w:p>
      <w:pPr>
        <w:sectPr>
          <w:pgSz w:w="11900" w:h="16838" w:orient="portrait"/>
          <w:cols w:equalWidth="0" w:num="1">
            <w:col w:w="10219"/>
          </w:cols>
          <w:pgMar w:left="240" w:top="717" w:right="1440" w:bottom="932" w:gutter="0" w:footer="0" w:header="0"/>
          <w:type w:val="continuous"/>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SCHEDULE 13G</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2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Active Power, Inc.</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2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2128 West Braker Lane</w:t>
      </w:r>
    </w:p>
    <w:p>
      <w:pPr>
        <w:spacing w:after="0" w:line="1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BK12</w:t>
      </w:r>
    </w:p>
    <w:p>
      <w:pPr>
        <w:ind w:left="2320"/>
        <w:spacing w:after="0" w:line="238" w:lineRule="auto"/>
        <w:rPr>
          <w:sz w:val="20"/>
          <w:szCs w:val="20"/>
          <w:color w:val="auto"/>
        </w:rPr>
      </w:pPr>
      <w:r>
        <w:rPr>
          <w:rFonts w:ascii="Courier New" w:cs="Courier New" w:eastAsia="Courier New" w:hAnsi="Courier New"/>
          <w:sz w:val="18"/>
          <w:szCs w:val="18"/>
          <w:color w:val="auto"/>
        </w:rPr>
        <w:t>Austin, TX 78758</w:t>
      </w:r>
    </w:p>
    <w:p>
      <w:pPr>
        <w:ind w:left="2320"/>
        <w:spacing w:after="0"/>
        <w:rPr>
          <w:sz w:val="20"/>
          <w:szCs w:val="20"/>
          <w:color w:val="auto"/>
        </w:rPr>
      </w:pPr>
      <w:r>
        <w:rPr>
          <w:rFonts w:ascii="Courier New" w:cs="Courier New" w:eastAsia="Courier New" w:hAnsi="Courier New"/>
          <w:sz w:val="18"/>
          <w:szCs w:val="18"/>
          <w:color w:val="auto"/>
        </w:rPr>
        <w:t>United States</w:t>
      </w:r>
    </w:p>
    <w:p>
      <w:pPr>
        <w:sectPr>
          <w:pgSz w:w="11900" w:h="16838" w:orient="portrait"/>
          <w:cols w:equalWidth="0" w:num="1">
            <w:col w:w="10219"/>
          </w:cols>
          <w:pgMar w:left="240" w:top="723" w:right="1440"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18"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Invesco Ltd.</w:t>
      </w:r>
    </w:p>
    <w:p>
      <w:pPr>
        <w:spacing w:after="0" w:line="207" w:lineRule="exact"/>
        <w:rPr>
          <w:sz w:val="20"/>
          <w:szCs w:val="20"/>
          <w:color w:val="auto"/>
        </w:rPr>
      </w:pPr>
    </w:p>
    <w:p>
      <w:pPr>
        <w:ind w:left="2000" w:right="1779"/>
        <w:spacing w:after="0" w:line="237" w:lineRule="auto"/>
        <w:rPr>
          <w:sz w:val="20"/>
          <w:szCs w:val="20"/>
          <w:color w:val="auto"/>
        </w:rPr>
      </w:pPr>
      <w:r>
        <w:rPr>
          <w:rFonts w:ascii="Courier New" w:cs="Courier New" w:eastAsia="Courier New" w:hAnsi="Courier New"/>
          <w:sz w:val="18"/>
          <w:szCs w:val="18"/>
          <w:color w:val="auto"/>
        </w:rPr>
        <w:t>In accordance with Securities and Exchange Commission Release No. 34-39538 (January 12, 1998), this statement on Schedule 13G or amendment thereto is being filed by Invesco Ltd. ("Invesco"), a Bermuda Company, on behalf of itself and its subsidiaries listed in Item 4 of the cover of this statement. Invesco through such subsidiaries provides investment management services to institutional and individual investors worldwide.</w:t>
      </w:r>
    </w:p>
    <w:p>
      <w:pPr>
        <w:spacing w:after="0" w:line="212" w:lineRule="exact"/>
        <w:rPr>
          <w:sz w:val="20"/>
          <w:szCs w:val="20"/>
          <w:color w:val="auto"/>
        </w:rPr>
      </w:pPr>
    </w:p>
    <w:p>
      <w:pPr>
        <w:ind w:left="2000" w:right="1779"/>
        <w:spacing w:after="0" w:line="271" w:lineRule="auto"/>
        <w:rPr>
          <w:sz w:val="20"/>
          <w:szCs w:val="20"/>
          <w:color w:val="auto"/>
        </w:rPr>
      </w:pPr>
      <w:r>
        <w:rPr>
          <w:rFonts w:ascii="Courier New" w:cs="Courier New" w:eastAsia="Courier New" w:hAnsi="Courier New"/>
          <w:sz w:val="16"/>
          <w:szCs w:val="16"/>
          <w:color w:val="auto"/>
        </w:rPr>
        <w:t>Executive officers and directors of Invesco or its subsidiaries may beneficially own shares of the securities of the issuer to which this statement relates (the "Shares"), and such Shares are not reported in this statement. Invesco and its subsidiaries disclaim beneficial ownership of Shares beneficially owned by any of their executive officers and directors. Each of Invesco's direct and indirect subsidiaries also disclaim beneficial ownership of Shares beneficially owned by Invesco and any other subsidiary.</w:t>
      </w:r>
    </w:p>
    <w:p>
      <w:pPr>
        <w:sectPr>
          <w:pgSz w:w="11900" w:h="16838" w:orient="portrait"/>
          <w:cols w:equalWidth="0" w:num="1">
            <w:col w:w="10219"/>
          </w:cols>
          <w:pgMar w:left="240" w:top="723" w:right="1440" w:bottom="1440" w:gutter="0" w:footer="0" w:header="0"/>
          <w:type w:val="continuous"/>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1360 Peachtree Street NE</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Atlanta, GA 30309</w:t>
      </w:r>
    </w:p>
    <w:p>
      <w:pPr>
        <w:ind w:left="2000"/>
        <w:spacing w:after="0" w:line="238" w:lineRule="auto"/>
        <w:rPr>
          <w:sz w:val="20"/>
          <w:szCs w:val="20"/>
          <w:color w:val="auto"/>
        </w:rPr>
      </w:pPr>
      <w:r>
        <w:rPr>
          <w:rFonts w:ascii="Courier New" w:cs="Courier New" w:eastAsia="Courier New" w:hAnsi="Courier New"/>
          <w:sz w:val="18"/>
          <w:szCs w:val="18"/>
          <w:color w:val="auto"/>
        </w:rPr>
        <w:t>United States</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See the response to Item 2(a) of this statement.</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Common Stock, $.001 par value per share</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00504W100</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If this statement is filed pursuant to ss240.13d-1(b) or 240.13d-2(b) or (c), check whether the person filing is a:</w:t>
      </w:r>
    </w:p>
    <w:p>
      <w:pPr>
        <w:spacing w:after="0" w:line="164"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ind w:left="1160"/>
        <w:spacing w:after="0"/>
        <w:rPr>
          <w:sz w:val="20"/>
          <w:szCs w:val="20"/>
          <w:color w:val="auto"/>
        </w:rPr>
      </w:pPr>
      <w:r>
        <w:rPr>
          <w:rFonts w:ascii="Courier New" w:cs="Courier New" w:eastAsia="Courier New" w:hAnsi="Courier New"/>
          <w:sz w:val="18"/>
          <w:szCs w:val="18"/>
          <w:color w:val="auto"/>
        </w:rPr>
        <w:t>(e) [x] An investment adviser in accordance with section</w:t>
      </w:r>
    </w:p>
    <w:p>
      <w:pPr>
        <w:ind w:left="200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000" w:right="1779" w:hanging="842"/>
        <w:spacing w:after="0" w:line="235" w:lineRule="auto"/>
        <w:rPr>
          <w:sz w:val="20"/>
          <w:szCs w:val="20"/>
          <w:color w:val="auto"/>
        </w:rPr>
      </w:pPr>
      <w:r>
        <w:rPr>
          <w:rFonts w:ascii="Courier New" w:cs="Courier New" w:eastAsia="Courier New" w:hAnsi="Courier New"/>
          <w:sz w:val="18"/>
          <w:szCs w:val="18"/>
          <w:color w:val="auto"/>
        </w:rPr>
        <w:t>(g) [x] A parent holding company or control person in accordance with section 240.13d-1(b)(1)(ii)(G)</w:t>
      </w:r>
    </w:p>
    <w:p>
      <w:pPr>
        <w:spacing w:after="0" w:line="208" w:lineRule="exact"/>
        <w:rPr>
          <w:sz w:val="20"/>
          <w:szCs w:val="20"/>
          <w:color w:val="auto"/>
        </w:rPr>
      </w:pPr>
    </w:p>
    <w:p>
      <w:pPr>
        <w:ind w:left="2000" w:right="1879"/>
        <w:spacing w:after="0" w:line="237" w:lineRule="auto"/>
        <w:rPr>
          <w:sz w:val="20"/>
          <w:szCs w:val="20"/>
          <w:color w:val="auto"/>
        </w:rPr>
      </w:pPr>
      <w:r>
        <w:rPr>
          <w:rFonts w:ascii="Courier New" w:cs="Courier New" w:eastAsia="Courier New" w:hAnsi="Courier New"/>
          <w:sz w:val="18"/>
          <w:szCs w:val="18"/>
          <w:color w:val="auto"/>
        </w:rPr>
        <w:t>As noted in Item 2 above, Invesco is making this filing on behalf of its subsidiaries listed herein. Each of these entities is either an investment adviser registered with the United States Securities and Exchange Commission under Section 203 of the Investment Advisers Act of 1940, as amended, or under similar laws of other jurisdictions. Invesco is a holding company.</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sectPr>
      </w:pPr>
    </w:p>
    <w:p>
      <w:pPr>
        <w:spacing w:after="0" w:line="24" w:lineRule="exact"/>
        <w:rPr>
          <w:sz w:val="20"/>
          <w:szCs w:val="20"/>
          <w:color w:val="auto"/>
        </w:rPr>
      </w:pPr>
    </w:p>
    <w:p>
      <w:pPr>
        <w:jc w:val="both"/>
        <w:ind w:left="2000" w:right="2519"/>
        <w:spacing w:after="0" w:line="290" w:lineRule="auto"/>
        <w:rPr>
          <w:sz w:val="20"/>
          <w:szCs w:val="20"/>
          <w:color w:val="auto"/>
        </w:rPr>
      </w:pPr>
      <w:r>
        <w:rPr>
          <w:rFonts w:ascii="Courier New" w:cs="Courier New" w:eastAsia="Courier New" w:hAnsi="Courier New"/>
          <w:sz w:val="16"/>
          <w:szCs w:val="16"/>
          <w:color w:val="auto"/>
        </w:rPr>
        <w:t>Please see responses to Items 5-8 on the cover of this statement, which are incorporated herein by reference.</w:t>
      </w:r>
    </w:p>
    <w:p>
      <w:pPr>
        <w:sectPr>
          <w:pgSz w:w="11900" w:h="16838" w:orient="portrait"/>
          <w:cols w:equalWidth="0" w:num="1">
            <w:col w:w="10219"/>
          </w:cols>
          <w:pgMar w:left="240" w:top="723" w:right="1440"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24" w:lineRule="exact"/>
        <w:rPr>
          <w:sz w:val="20"/>
          <w:szCs w:val="20"/>
          <w:color w:val="auto"/>
        </w:rPr>
      </w:pPr>
    </w:p>
    <w:p>
      <w:pPr>
        <w:ind w:left="2000" w:right="18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9" w:lineRule="exact"/>
        <w:rPr>
          <w:sz w:val="20"/>
          <w:szCs w:val="20"/>
          <w:color w:val="auto"/>
        </w:rPr>
      </w:pPr>
    </w:p>
    <w:p>
      <w:pPr>
        <w:ind w:left="2000" w:right="2099"/>
        <w:spacing w:after="0" w:line="235" w:lineRule="auto"/>
        <w:rPr>
          <w:sz w:val="20"/>
          <w:szCs w:val="20"/>
          <w:color w:val="auto"/>
        </w:rPr>
      </w:pPr>
      <w:r>
        <w:rPr>
          <w:rFonts w:ascii="Courier New" w:cs="Courier New" w:eastAsia="Courier New" w:hAnsi="Courier New"/>
          <w:sz w:val="18"/>
          <w:szCs w:val="18"/>
          <w:color w:val="auto"/>
        </w:rPr>
        <w:t>Please see Item 3 of this statement, which is incorporated herein by reference.</w:t>
      </w:r>
    </w:p>
    <w:p>
      <w:pPr>
        <w:sectPr>
          <w:pgSz w:w="11900" w:h="16838" w:orient="portrait"/>
          <w:cols w:equalWidth="0" w:num="1">
            <w:col w:w="10219"/>
          </w:cols>
          <w:pgMar w:left="240" w:top="723" w:right="1440"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a Group:</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24" w:lineRule="exact"/>
        <w:rPr>
          <w:sz w:val="20"/>
          <w:szCs w:val="20"/>
          <w:color w:val="auto"/>
        </w:rPr>
      </w:pPr>
    </w:p>
    <w:p>
      <w:pPr>
        <w:ind w:left="200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2000" w:right="18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02/09/2008</w:t>
      </w:r>
    </w:p>
    <w:p>
      <w:pPr>
        <w:ind w:left="422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Invesco Ltd.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Lisa Brinkley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Lisa Brinkley</w:t>
      </w:r>
    </w:p>
    <w:p>
      <w:pPr>
        <w:ind w:left="4640"/>
        <w:spacing w:after="0" w:line="238" w:lineRule="auto"/>
        <w:rPr>
          <w:sz w:val="20"/>
          <w:szCs w:val="20"/>
          <w:color w:val="auto"/>
        </w:rPr>
      </w:pPr>
      <w:r>
        <w:rPr>
          <w:rFonts w:ascii="Courier New" w:cs="Courier New" w:eastAsia="Courier New" w:hAnsi="Courier New"/>
          <w:sz w:val="18"/>
          <w:szCs w:val="18"/>
          <w:color w:val="auto"/>
        </w:rPr>
        <w:t>Global Compliance Director</w:t>
      </w:r>
    </w:p>
    <w:p>
      <w:pPr>
        <w:sectPr>
          <w:pgSz w:w="11900" w:h="16838" w:orient="portrait"/>
          <w:cols w:equalWidth="0" w:num="1">
            <w:col w:w="10219"/>
          </w:cols>
          <w:pgMar w:left="240" w:top="723" w:right="1440" w:bottom="1440" w:gutter="0" w:footer="0" w:header="0"/>
          <w:type w:val="continuous"/>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accordance with Rule 13d-1(k)(l)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04"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Dated: February 9, 2008</w:t>
      </w:r>
      <w:r>
        <w:rPr>
          <w:sz w:val="20"/>
          <w:szCs w:val="20"/>
          <w:color w:val="auto"/>
        </w:rPr>
        <w:tab/>
      </w:r>
      <w:r>
        <w:rPr>
          <w:rFonts w:ascii="Courier New" w:cs="Courier New" w:eastAsia="Courier New" w:hAnsi="Courier New"/>
          <w:sz w:val="16"/>
          <w:szCs w:val="16"/>
          <w:color w:val="auto"/>
        </w:rPr>
        <w:t>Invesco Ltd.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Lisa Brinkley</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Lisa Brinkley</w:t>
      </w:r>
    </w:p>
    <w:p>
      <w:pPr>
        <w:ind w:left="4220"/>
        <w:spacing w:after="0" w:line="238" w:lineRule="auto"/>
        <w:rPr>
          <w:sz w:val="20"/>
          <w:szCs w:val="20"/>
          <w:color w:val="auto"/>
        </w:rPr>
      </w:pPr>
      <w:r>
        <w:rPr>
          <w:rFonts w:ascii="Courier New" w:cs="Courier New" w:eastAsia="Courier New" w:hAnsi="Courier New"/>
          <w:sz w:val="18"/>
          <w:szCs w:val="18"/>
          <w:color w:val="auto"/>
        </w:rPr>
        <w:t>Title: Global Compliance Director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AIM Advisors, Inc.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Todd L. Spillane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Todd L. Spillane</w:t>
      </w:r>
    </w:p>
    <w:p>
      <w:pPr>
        <w:ind w:left="4220"/>
        <w:spacing w:after="0" w:line="238" w:lineRule="auto"/>
        <w:rPr>
          <w:sz w:val="20"/>
          <w:szCs w:val="20"/>
          <w:color w:val="auto"/>
        </w:rPr>
      </w:pPr>
      <w:r>
        <w:rPr>
          <w:rFonts w:ascii="Courier New" w:cs="Courier New" w:eastAsia="Courier New" w:hAnsi="Courier New"/>
          <w:sz w:val="18"/>
          <w:szCs w:val="18"/>
          <w:color w:val="auto"/>
        </w:rPr>
        <w:t>Title: Chief Compliance Officer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AIM Capital Management,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Todd L. Spillane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Todd L. Spillane</w:t>
      </w:r>
    </w:p>
    <w:p>
      <w:pPr>
        <w:ind w:left="4220"/>
        <w:spacing w:after="0" w:line="238" w:lineRule="auto"/>
        <w:rPr>
          <w:sz w:val="20"/>
          <w:szCs w:val="20"/>
          <w:color w:val="auto"/>
        </w:rPr>
      </w:pPr>
      <w:r>
        <w:rPr>
          <w:rFonts w:ascii="Courier New" w:cs="Courier New" w:eastAsia="Courier New" w:hAnsi="Courier New"/>
          <w:sz w:val="18"/>
          <w:szCs w:val="18"/>
          <w:color w:val="auto"/>
        </w:rPr>
        <w:t>Title: Chief Compliance Officer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AIM Funds Management, Inc.</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By: /s/ Wayne Bolton</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Wayne Bolton</w:t>
      </w:r>
    </w:p>
    <w:p>
      <w:pPr>
        <w:ind w:left="4220"/>
        <w:spacing w:after="0" w:line="238" w:lineRule="auto"/>
        <w:rPr>
          <w:sz w:val="20"/>
          <w:szCs w:val="20"/>
          <w:color w:val="auto"/>
        </w:rPr>
      </w:pPr>
      <w:r>
        <w:rPr>
          <w:rFonts w:ascii="Courier New" w:cs="Courier New" w:eastAsia="Courier New" w:hAnsi="Courier New"/>
          <w:sz w:val="18"/>
          <w:szCs w:val="18"/>
          <w:color w:val="auto"/>
        </w:rPr>
        <w:t>Title: Vice President, Compliance &amp;</w:t>
      </w:r>
    </w:p>
    <w:p>
      <w:pPr>
        <w:ind w:left="4960"/>
        <w:spacing w:after="0"/>
        <w:rPr>
          <w:sz w:val="20"/>
          <w:szCs w:val="20"/>
          <w:color w:val="auto"/>
        </w:rPr>
      </w:pPr>
      <w:r>
        <w:rPr>
          <w:rFonts w:ascii="Courier New" w:cs="Courier New" w:eastAsia="Courier New" w:hAnsi="Courier New"/>
          <w:sz w:val="18"/>
          <w:szCs w:val="18"/>
          <w:color w:val="auto"/>
        </w:rPr>
        <w:t>Chief Compliance Officer</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AIM Private Asset Management,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Todd L. Spillane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Todd L. Spillane</w:t>
      </w:r>
    </w:p>
    <w:p>
      <w:pPr>
        <w:ind w:left="4220"/>
        <w:spacing w:after="0" w:line="238" w:lineRule="auto"/>
        <w:rPr>
          <w:sz w:val="20"/>
          <w:szCs w:val="20"/>
          <w:color w:val="auto"/>
        </w:rPr>
      </w:pPr>
      <w:r>
        <w:rPr>
          <w:rFonts w:ascii="Courier New" w:cs="Courier New" w:eastAsia="Courier New" w:hAnsi="Courier New"/>
          <w:sz w:val="18"/>
          <w:szCs w:val="18"/>
          <w:color w:val="auto"/>
        </w:rPr>
        <w:t>Title: Chief Compliance Officer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Invessco National Trust Company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Kevin Lyman</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Kevin Lyman</w:t>
      </w:r>
    </w:p>
    <w:p>
      <w:pPr>
        <w:ind w:left="4220"/>
        <w:spacing w:after="0" w:line="238" w:lineRule="auto"/>
        <w:rPr>
          <w:sz w:val="20"/>
          <w:szCs w:val="20"/>
          <w:color w:val="auto"/>
        </w:rPr>
      </w:pPr>
      <w:r>
        <w:rPr>
          <w:rFonts w:ascii="Courier New" w:cs="Courier New" w:eastAsia="Courier New" w:hAnsi="Courier New"/>
          <w:sz w:val="18"/>
          <w:szCs w:val="18"/>
          <w:color w:val="auto"/>
        </w:rPr>
        <w:t>Title: Assistant General Counsel</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Atlantic Trust Company, N.A.</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By: /s/ Wayne Dewitt</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Wayne DeWitt</w:t>
      </w:r>
    </w:p>
    <w:p>
      <w:pPr>
        <w:ind w:left="4220"/>
        <w:spacing w:after="0" w:line="238" w:lineRule="auto"/>
        <w:rPr>
          <w:sz w:val="20"/>
          <w:szCs w:val="20"/>
          <w:color w:val="auto"/>
        </w:rPr>
      </w:pPr>
      <w:r>
        <w:rPr>
          <w:rFonts w:ascii="Courier New" w:cs="Courier New" w:eastAsia="Courier New" w:hAnsi="Courier New"/>
          <w:sz w:val="18"/>
          <w:szCs w:val="18"/>
          <w:color w:val="auto"/>
        </w:rPr>
        <w:t>Title: General Counsel</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Invesco Hong Kong Limited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Asha Balachandra</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Asha Balachandra</w:t>
      </w:r>
    </w:p>
    <w:p>
      <w:pPr>
        <w:ind w:left="4220"/>
        <w:spacing w:after="0" w:line="238" w:lineRule="auto"/>
        <w:rPr>
          <w:sz w:val="20"/>
          <w:szCs w:val="20"/>
          <w:color w:val="auto"/>
        </w:rPr>
      </w:pPr>
      <w:r>
        <w:rPr>
          <w:rFonts w:ascii="Courier New" w:cs="Courier New" w:eastAsia="Courier New" w:hAnsi="Courier New"/>
          <w:sz w:val="18"/>
          <w:szCs w:val="18"/>
          <w:color w:val="auto"/>
        </w:rPr>
        <w:t>Title: Reg. Head of Legal AP</w:t>
      </w:r>
    </w:p>
    <w:p>
      <w:pPr>
        <w:sectPr>
          <w:pgSz w:w="11900" w:h="16838" w:orient="portrait"/>
          <w:cols w:equalWidth="0" w:num="1">
            <w:col w:w="10219"/>
          </w:cols>
          <w:pgMar w:left="240" w:top="541" w:right="1440" w:bottom="538" w:gutter="0" w:footer="0" w:header="0"/>
        </w:sectPr>
      </w:pPr>
    </w:p>
    <w:bookmarkStart w:id="5" w:name="page6"/>
    <w:bookmarkEnd w:id="5"/>
    <w:p>
      <w:pPr>
        <w:ind w:left="3020"/>
        <w:spacing w:after="0"/>
        <w:rPr>
          <w:sz w:val="20"/>
          <w:szCs w:val="20"/>
          <w:color w:val="auto"/>
        </w:rPr>
      </w:pPr>
      <w:r>
        <w:rPr>
          <w:rFonts w:ascii="Courier New" w:cs="Courier New" w:eastAsia="Courier New" w:hAnsi="Courier New"/>
          <w:sz w:val="18"/>
          <w:szCs w:val="18"/>
          <w:color w:val="auto"/>
        </w:rPr>
        <w:t>Invesco Asset Management Deutschland</w:t>
      </w:r>
    </w:p>
    <w:p>
      <w:pPr>
        <w:ind w:left="3020"/>
        <w:spacing w:after="0" w:line="238" w:lineRule="auto"/>
        <w:rPr>
          <w:sz w:val="20"/>
          <w:szCs w:val="20"/>
          <w:color w:val="auto"/>
        </w:rPr>
      </w:pPr>
      <w:r>
        <w:rPr>
          <w:rFonts w:ascii="Courier New" w:cs="Courier New" w:eastAsia="Courier New" w:hAnsi="Courier New"/>
          <w:sz w:val="18"/>
          <w:szCs w:val="18"/>
          <w:color w:val="auto"/>
        </w:rPr>
        <w:t>GmbH</w:t>
      </w:r>
    </w:p>
    <w:p>
      <w:pPr>
        <w:spacing w:after="0" w:line="207"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By: /s/ Stephanie Ehrenfried</w:t>
      </w:r>
    </w:p>
    <w:p>
      <w:pPr>
        <w:spacing w:after="0" w:line="22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Stephanie Ehrenfried</w:t>
      </w:r>
    </w:p>
    <w:p>
      <w:pPr>
        <w:ind w:left="3020"/>
        <w:spacing w:after="0" w:line="238" w:lineRule="auto"/>
        <w:rPr>
          <w:sz w:val="20"/>
          <w:szCs w:val="20"/>
          <w:color w:val="auto"/>
        </w:rPr>
      </w:pPr>
      <w:r>
        <w:rPr>
          <w:rFonts w:ascii="Courier New" w:cs="Courier New" w:eastAsia="Courier New" w:hAnsi="Courier New"/>
          <w:sz w:val="18"/>
          <w:szCs w:val="18"/>
          <w:color w:val="auto"/>
        </w:rPr>
        <w:t>Title: Head of Legal CE</w:t>
      </w:r>
    </w:p>
    <w:p>
      <w:pPr>
        <w:spacing w:after="0" w:line="20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Asset Management Limited</w:t>
      </w:r>
    </w:p>
    <w:p>
      <w:pPr>
        <w:spacing w:after="0" w:line="20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Nick Styman</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Nick Styman</w:t>
      </w:r>
    </w:p>
    <w:p>
      <w:pPr>
        <w:spacing w:after="0" w:line="20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Title: Director of European Compliance</w:t>
      </w:r>
    </w:p>
    <w:p>
      <w:pPr>
        <w:spacing w:after="0" w:line="20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Invesco Asset Management S.A.</w:t>
      </w:r>
    </w:p>
    <w:p>
      <w:pPr>
        <w:spacing w:after="0" w:line="200" w:lineRule="exact"/>
        <w:rPr>
          <w:sz w:val="20"/>
          <w:szCs w:val="20"/>
          <w:color w:val="auto"/>
        </w:rPr>
      </w:pPr>
    </w:p>
    <w:p>
      <w:pPr>
        <w:spacing w:after="0" w:line="22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Patrick Riviere</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Patrick Riviere</w:t>
      </w:r>
    </w:p>
    <w:p>
      <w:pPr>
        <w:ind w:left="3020"/>
        <w:spacing w:after="0" w:line="238" w:lineRule="auto"/>
        <w:rPr>
          <w:sz w:val="20"/>
          <w:szCs w:val="20"/>
          <w:color w:val="auto"/>
        </w:rPr>
      </w:pPr>
      <w:r>
        <w:rPr>
          <w:rFonts w:ascii="Courier New" w:cs="Courier New" w:eastAsia="Courier New" w:hAnsi="Courier New"/>
          <w:sz w:val="18"/>
          <w:szCs w:val="18"/>
          <w:color w:val="auto"/>
        </w:rPr>
        <w:t>Title: Chief Regional Officer</w:t>
      </w:r>
    </w:p>
    <w:p>
      <w:pPr>
        <w:spacing w:after="0" w:line="20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Asset Management Oesterreich</w:t>
      </w:r>
    </w:p>
    <w:p>
      <w:pPr>
        <w:ind w:left="3020"/>
        <w:spacing w:after="0" w:line="238" w:lineRule="auto"/>
        <w:rPr>
          <w:sz w:val="20"/>
          <w:szCs w:val="20"/>
          <w:color w:val="auto"/>
        </w:rPr>
      </w:pPr>
      <w:r>
        <w:rPr>
          <w:rFonts w:ascii="Courier New" w:cs="Courier New" w:eastAsia="Courier New" w:hAnsi="Courier New"/>
          <w:sz w:val="18"/>
          <w:szCs w:val="18"/>
          <w:color w:val="auto"/>
        </w:rPr>
        <w:t>GmbH</w:t>
      </w:r>
    </w:p>
    <w:p>
      <w:pPr>
        <w:spacing w:after="0" w:line="20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Thomas Kraus</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Thomas Kraus</w:t>
      </w:r>
    </w:p>
    <w:p>
      <w:pPr>
        <w:ind w:left="3020"/>
        <w:spacing w:after="0" w:line="238" w:lineRule="auto"/>
        <w:rPr>
          <w:sz w:val="20"/>
          <w:szCs w:val="20"/>
          <w:color w:val="auto"/>
        </w:rPr>
      </w:pPr>
      <w:r>
        <w:rPr>
          <w:rFonts w:ascii="Courier New" w:cs="Courier New" w:eastAsia="Courier New" w:hAnsi="Courier New"/>
          <w:sz w:val="18"/>
          <w:szCs w:val="18"/>
          <w:color w:val="auto"/>
        </w:rPr>
        <w:t>Title: Head of Sales</w:t>
      </w:r>
    </w:p>
    <w:p>
      <w:pPr>
        <w:spacing w:after="0" w:line="20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Global Asset Management (N.A.),</w:t>
      </w:r>
    </w:p>
    <w:p>
      <w:pPr>
        <w:ind w:left="3020"/>
        <w:spacing w:after="0" w:line="238" w:lineRule="auto"/>
        <w:rPr>
          <w:sz w:val="20"/>
          <w:szCs w:val="20"/>
          <w:color w:val="auto"/>
        </w:rPr>
      </w:pPr>
      <w:r>
        <w:rPr>
          <w:rFonts w:ascii="Courier New" w:cs="Courier New" w:eastAsia="Courier New" w:hAnsi="Courier New"/>
          <w:sz w:val="18"/>
          <w:szCs w:val="18"/>
          <w:color w:val="auto"/>
        </w:rPr>
        <w:t>Inc.</w:t>
      </w:r>
    </w:p>
    <w:p>
      <w:pPr>
        <w:spacing w:after="0" w:line="20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Jeffrey Kupor</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Jeffrey Kupor</w:t>
      </w:r>
    </w:p>
    <w:p>
      <w:pPr>
        <w:ind w:left="3020"/>
        <w:spacing w:after="0" w:line="238" w:lineRule="auto"/>
        <w:rPr>
          <w:sz w:val="20"/>
          <w:szCs w:val="20"/>
          <w:color w:val="auto"/>
        </w:rPr>
      </w:pPr>
      <w:r>
        <w:rPr>
          <w:rFonts w:ascii="Courier New" w:cs="Courier New" w:eastAsia="Courier New" w:hAnsi="Courier New"/>
          <w:sz w:val="18"/>
          <w:szCs w:val="18"/>
          <w:color w:val="auto"/>
        </w:rPr>
        <w:t>Title: Head of Legal WW Institutional</w:t>
      </w:r>
    </w:p>
    <w:p>
      <w:pPr>
        <w:spacing w:after="0" w:line="20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GT Management Company S.A.</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Nick Styman</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Nick Styman</w:t>
      </w:r>
    </w:p>
    <w:p>
      <w:pPr>
        <w:spacing w:after="0" w:line="20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Title: Director of European Compliance</w:t>
      </w:r>
    </w:p>
    <w:p>
      <w:pPr>
        <w:spacing w:after="0" w:line="20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Institutional (N.A.), Inc.</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Jeffrey Kupor</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Jeffrey Kupor</w:t>
      </w:r>
    </w:p>
    <w:p>
      <w:pPr>
        <w:ind w:left="3020"/>
        <w:spacing w:after="0" w:line="238" w:lineRule="auto"/>
        <w:rPr>
          <w:sz w:val="20"/>
          <w:szCs w:val="20"/>
          <w:color w:val="auto"/>
        </w:rPr>
      </w:pPr>
      <w:r>
        <w:rPr>
          <w:rFonts w:ascii="Courier New" w:cs="Courier New" w:eastAsia="Courier New" w:hAnsi="Courier New"/>
          <w:sz w:val="18"/>
          <w:szCs w:val="18"/>
          <w:color w:val="auto"/>
        </w:rPr>
        <w:t>Title: Head of Legal WW Institutional</w:t>
      </w:r>
    </w:p>
    <w:p>
      <w:pPr>
        <w:spacing w:after="0" w:line="20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Management S.A.</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Alain Gerbaldi</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Alain Gerbaldi</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Title: Head of Performance Measurement &amp;</w:t>
      </w:r>
    </w:p>
    <w:p>
      <w:pPr>
        <w:spacing w:after="0" w:line="16"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Risk Analysis</w:t>
      </w:r>
    </w:p>
    <w:p>
      <w:pPr>
        <w:spacing w:after="0" w:line="20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Maximum Income Management S.A.</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Alain Gerbaldi</w:t>
      </w:r>
    </w:p>
    <w:p>
      <w:pPr>
        <w:sectPr>
          <w:pgSz w:w="11900" w:h="16838" w:orient="portrait"/>
          <w:cols w:equalWidth="0" w:num="1">
            <w:col w:w="9019"/>
          </w:cols>
          <w:pgMar w:left="1440" w:top="717" w:right="1440" w:bottom="0" w:gutter="0" w:footer="0" w:header="0"/>
        </w:sectPr>
      </w:pPr>
    </w:p>
    <w:bookmarkStart w:id="6" w:name="page7"/>
    <w:bookmarkEnd w:id="6"/>
    <w:p>
      <w:pPr>
        <w:ind w:left="3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Alain Gerbaldi</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Title: Head of Performance Measurement &amp;</w:t>
      </w:r>
    </w:p>
    <w:p>
      <w:pPr>
        <w:spacing w:after="0" w:line="16"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Risk Analysis</w:t>
      </w:r>
    </w:p>
    <w:p>
      <w:pPr>
        <w:spacing w:after="0" w:line="20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Private Capital, Inc.</w:t>
      </w:r>
    </w:p>
    <w:p>
      <w:pPr>
        <w:spacing w:after="0" w:line="20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Jeffrey Kupor</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Jeffrey Kupor</w:t>
      </w:r>
    </w:p>
    <w:p>
      <w:pPr>
        <w:ind w:left="3020"/>
        <w:spacing w:after="0" w:line="238" w:lineRule="auto"/>
        <w:rPr>
          <w:sz w:val="20"/>
          <w:szCs w:val="20"/>
          <w:color w:val="auto"/>
        </w:rPr>
      </w:pPr>
      <w:r>
        <w:rPr>
          <w:rFonts w:ascii="Courier New" w:cs="Courier New" w:eastAsia="Courier New" w:hAnsi="Courier New"/>
          <w:sz w:val="18"/>
          <w:szCs w:val="18"/>
          <w:color w:val="auto"/>
        </w:rPr>
        <w:t>Title: Head of Legal WW Institutional</w:t>
      </w:r>
    </w:p>
    <w:sectPr>
      <w:pgSz w:w="11900" w:h="16838" w:orient="portrait"/>
      <w:cols w:equalWidth="0" w:num="1">
        <w:col w:w="9019"/>
      </w:cols>
      <w:pgMar w:left="14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lvl w:ilvl="1">
      <w:lvlJc w:val="left"/>
      <w:lvlText w:val="%2."/>
      <w:numFmt w:val="decimal"/>
      <w:start w:val="2"/>
    </w:lvl>
    <w:lvl w:ilvl="2">
      <w:lvlJc w:val="left"/>
      <w:lvlText w:val="%3"/>
      <w:numFmt w:val="decimal"/>
      <w:start w:val="1"/>
    </w:lvl>
  </w:abstractNum>
  <w:abstractNum w:abstractNumId="3">
    <w:nsid w:val="507ED7AB"/>
    <w:multiLevelType w:val="hybridMultilevel"/>
    <w:lvl w:ilvl="0">
      <w:lvlJc w:val="left"/>
      <w:lvlText w:val="-"/>
      <w:numFmt w:val="bullet"/>
      <w:start w:val="1"/>
    </w:lvl>
    <w:lvl w:ilvl="1">
      <w:lvlJc w:val="left"/>
      <w:lvlText w:val="%2."/>
      <w:numFmt w:val="decimal"/>
      <w:start w:val="3"/>
    </w:lvl>
    <w:lvl w:ilvl="2">
      <w:lvlJc w:val="left"/>
      <w:lvlText w:val="%3"/>
      <w:numFmt w:val="decimal"/>
      <w:start w:val="1"/>
    </w:lvl>
  </w:abstractNum>
  <w:abstractNum w:abstractNumId="4">
    <w:nsid w:val="2EB141F2"/>
    <w:multiLevelType w:val="hybridMultilevel"/>
    <w:lvl w:ilvl="0">
      <w:lvlJc w:val="left"/>
      <w:lvlText w:val="-"/>
      <w:numFmt w:val="bullet"/>
      <w:start w:val="1"/>
    </w:lvl>
    <w:lvl w:ilvl="1">
      <w:lvlJc w:val="left"/>
      <w:lvlText w:val="%2."/>
      <w:numFmt w:val="decimal"/>
      <w:start w:val="4"/>
    </w:lvl>
    <w:lvl w:ilvl="2">
      <w:lvlJc w:val="left"/>
      <w:lvlText w:val="%3."/>
      <w:numFmt w:val="decimal"/>
      <w:start w:val="5"/>
    </w:lvl>
  </w:abstractNum>
  <w:abstractNum w:abstractNumId="5">
    <w:nsid w:val="41B71EFB"/>
    <w:multiLevelType w:val="hybridMultilevel"/>
    <w:lvl w:ilvl="0">
      <w:lvlJc w:val="left"/>
      <w:lvlText w:val="-"/>
      <w:numFmt w:val="bullet"/>
      <w:start w:val="1"/>
    </w:lvl>
    <w:lvl w:ilvl="1">
      <w:lvlJc w:val="left"/>
      <w:lvlText w:val="%2."/>
      <w:numFmt w:val="decimal"/>
      <w:start w:val="9"/>
    </w:lvl>
  </w:abstractNum>
  <w:abstractNum w:abstractNumId="6">
    <w:nsid w:val="79E2A9E3"/>
    <w:multiLevelType w:val="hybridMultilevel"/>
    <w:lvl w:ilvl="0">
      <w:lvlJc w:val="left"/>
      <w:lvlText w:val="-"/>
      <w:numFmt w:val="bullet"/>
      <w:start w:val="1"/>
    </w:lvl>
    <w:lvl w:ilvl="1">
      <w:lvlJc w:val="left"/>
      <w:lvlText w:val="%2."/>
      <w:numFmt w:val="decimal"/>
      <w:start w:val="10"/>
    </w:lvl>
  </w:abstractNum>
  <w:abstractNum w:abstractNumId="7">
    <w:nsid w:val="7545E146"/>
    <w:multiLevelType w:val="hybridMultilevel"/>
    <w:lvl w:ilvl="0">
      <w:lvlJc w:val="left"/>
      <w:lvlText w:val="-"/>
      <w:numFmt w:val="bullet"/>
      <w:start w:val="1"/>
    </w:lvl>
    <w:lvl w:ilvl="1">
      <w:lvlJc w:val="left"/>
      <w:lvlText w:val="%2."/>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2019-12-14T18:14:43Z</dcterms:created>
  <dcterms:modified xsi:type="dcterms:W3CDTF">2019-12-14T18:14:43Z</dcterms:modified>
</cp:coreProperties>
</file>