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April 23,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April 23, 2010, Active Power, Inc. issued a press release reporting its preliminary results of operations for its fiscal quarter ended March 31, 2010. A copy of the press release is furnished herewith as Exhibit 99.1.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April 23, 2010.</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900" w:val="left"/>
          <w:tab w:leader="none" w:pos="8000" w:val="left"/>
          <w:tab w:leader="none" w:pos="8360" w:val="left"/>
        </w:tabs>
        <w:rPr>
          <w:sz w:val="20"/>
          <w:szCs w:val="20"/>
          <w:color w:val="auto"/>
        </w:rPr>
      </w:pPr>
      <w:r>
        <w:rPr>
          <w:rFonts w:ascii="Arial" w:cs="Arial" w:eastAsia="Arial" w:hAnsi="Arial"/>
          <w:sz w:val="18"/>
          <w:szCs w:val="18"/>
          <w:color w:val="auto"/>
        </w:rPr>
        <w:t>Date: April 23,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John Penver</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6080" w:type="dxa"/>
            <w:vAlign w:val="bottom"/>
            <w:gridSpan w:val="2"/>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080" w:type="dxa"/>
            <w:vAlign w:val="bottom"/>
            <w:gridSpan w:val="2"/>
          </w:tcPr>
          <w:p>
            <w:pPr>
              <w:ind w:left="760"/>
              <w:spacing w:after="0"/>
              <w:rPr>
                <w:sz w:val="20"/>
                <w:szCs w:val="20"/>
                <w:color w:val="auto"/>
              </w:rPr>
            </w:pPr>
            <w:r>
              <w:rPr>
                <w:rFonts w:ascii="Arial" w:cs="Arial" w:eastAsia="Arial" w:hAnsi="Arial"/>
                <w:sz w:val="18"/>
                <w:szCs w:val="18"/>
                <w:color w:val="auto"/>
              </w:rPr>
              <w:t>Press Release of Active Power, Inc. dated April 23, 2010.</w:t>
            </w:r>
          </w:p>
        </w:tc>
      </w:tr>
    </w:tbl>
    <w:p>
      <w:pPr>
        <w:ind w:left="7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5796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9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Reports First Quarter 2010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Achieves First Cash Flow Positive Quarter</w:t>
      </w:r>
    </w:p>
    <w:p>
      <w:pPr>
        <w:spacing w:after="0" w:line="16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AUSTIN, Texas (April 23, 2010) </w:t>
      </w:r>
      <w:r>
        <w:rPr>
          <w:rFonts w:ascii="Arial" w:cs="Arial" w:eastAsia="Arial" w:hAnsi="Arial"/>
          <w:sz w:val="18"/>
          <w:szCs w:val="18"/>
          <w:color w:val="auto"/>
        </w:rPr>
        <w:t>– Critical backup power systems manufacturer Active Power, Inc. (NASDAQ: ACPW) announced results for its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2010 Highlights: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$1.3 million cash from operations, making this the company’s first cash flow positive quarter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Achieved revenue of $11.1 million, highlighted by a 243% increase in revenues from Asia compared to the first quarter of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OEM channel revenues by 137% from the fourth quarter of 2009 to $3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direct channel revenues in the first quarter by 11% over the first quarter of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Improved gross margins by 7% from the previous quarter to 26%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Announced nearly $6 million in containerized PowerHouse system orders, totaling more than 4.5 megawatts of critical backup power</w:t>
      </w:r>
    </w:p>
    <w:p>
      <w:pPr>
        <w:spacing w:after="0" w:line="113"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95 flywheel-based uninterruptible power supply (UPS) systems at an average selling price of $85,000 per unit during the first quarter of 2010, compared to 86 shipped in the previous quarter at an average selling price of $90,000.</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Raised approximately $9.0 million in equity, after underwriting discounts and commissions and estimated offering expenses payable by Active Power, via common stock offering, adding additional working capital to the business</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Q1 2010 Financial Results: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for the quarter was $11.1 million, unchanged from the first quarter of 2009, and decreased by 21% from $14 million in the fourth quarter of 2009. Gross profit margin was 26%, as compared to 19% in the fourth quarter of 2009, and 29% in the first quarter of 2009.</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Net loss was $2.6 million, or 4 cents per share. This compares to a net loss of $2.2 million, or 3 cents per share, in the fourth quarter of 2009, and a net loss of $2.4 million, or 4 cents per share, in the same year-ago period.</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Cash and investments increased by $10.1 million during the quarter to $17.6 million at March 31, 2010, including $9.0 million in net proceeds from the sale of shares in February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9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are experiencing improving sales and order trends across all of our channels and geographies,” said Jim Clishem, president and CEO, Active Power. “This improvement allows us to see higher revenues for the next several quarters compared to 2009 levels. The fact we achieved cash flow positive status for the first time is also an important corporate milestone and critical as we focus on reaching and sustaining profitability.”</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products and solutions reduce energy losses which decrease electricity costs for the customer while improving reliability. And with our commercialization strategy in place, these key attributes enable us to build long term relationships with customers that result in large, repeat orders for Active Power products and services. These compelling results coupled with our marketing efforts should result in revenue increases and further improvement to our financial results through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Active Power expects second quarter 2010 revenues between $13 million and $16 million. Second quarter earnings per share is expected to range between breakeven and a loss of 3 cents per share. Cash and investments at the end of the second quarter of 2010 are expected to decrease by up to $2 million, primarily due to investments in working capital as revenue increases.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Active Power will host a conference call today, Friday, April 23, 2010, at 11:00 a.m. (ET) to discuss its first quarter 2010 results. Investors and interested parties may listen live via Webcast </w:t>
      </w:r>
      <w:r>
        <w:rPr>
          <w:rFonts w:ascii="Arial" w:cs="Arial" w:eastAsia="Arial" w:hAnsi="Arial"/>
          <w:sz w:val="16"/>
          <w:szCs w:val="16"/>
          <w:u w:val="single" w:color="auto"/>
          <w:color w:val="auto"/>
        </w:rPr>
        <w:t>here</w:t>
      </w:r>
      <w:r>
        <w:rPr>
          <w:rFonts w:ascii="Arial" w:cs="Arial" w:eastAsia="Arial" w:hAnsi="Arial"/>
          <w:sz w:val="16"/>
          <w:szCs w:val="16"/>
          <w:color w:val="auto"/>
        </w:rPr>
        <w:t xml:space="preserve">. A replay of the Webcast will be available until May 7, 2010, via Active Power’s Web site at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Active Power</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Active Power provides efficient, reliable and green critical power solutions and uninterruptible power supply (UPS) systems to enable business continuity in the event of power disturbances. Founded in 1992, Active Power’s flywheel based UPS systems protect critical operations in datacenters,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This release may contain forward-looking statements that involve risks and uncertainties, including statements relating to Active Power’s current expectations of operating results for the second quarter of 2010, its future operating results and customers’ current intentions. Any forward-looking statements and all other statements that may be made in this news release that are not historical facts are subject to a number of risks and uncertainties, and actual results may differ materially. Factors that could cause the actual results to differ materially from the results predicted include, among others, the deferral or cancellation of sales commitments as a result of general economic conditions or uncertainty, risks related to our international operations, and product performance and quality issues. For more information on the risk factors that could cause actual results to differ from these forward looking statements, please refer to Active Power filings with the Securities and Exchange Commission, including its annual report on Form 10-K for the ended December 31, 2009 and its Current Reports on Form 8-K filed since such year ended. Active Power assumes no obligation to update any forward-looking statements or information which are in effect as of their respective dates.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PowerHouse and PowerCentre are trademarks of Active Power, Inc. All other trademarks are the properties of their respective companies.</w:t>
      </w:r>
    </w:p>
    <w:p>
      <w:pPr>
        <w:sectPr>
          <w:pgSz w:w="11900" w:h="16838" w:orient="portrait"/>
          <w:cols w:equalWidth="0" w:num="1">
            <w:col w:w="11420"/>
          </w:cols>
          <w:pgMar w:left="240" w:top="27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Liolios Group,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info@liolios.com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Public Relations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lhiggins@activepower.com</w:t>
      </w:r>
    </w:p>
    <w:p>
      <w:pPr>
        <w:sectPr>
          <w:pgSz w:w="11900" w:h="16838" w:orient="portrait"/>
          <w:cols w:equalWidth="0" w:num="2">
            <w:col w:w="5240" w:space="720"/>
            <w:col w:w="5460"/>
          </w:cols>
          <w:pgMar w:left="240" w:top="27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11,117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11,143</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6,865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8,266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323"/>
        </w:trPr>
        <w:tc>
          <w:tcPr>
            <w:tcW w:w="7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1"/>
              </w:rPr>
              <w:t>(2,559)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(2,308)</w:t>
            </w:r>
          </w:p>
        </w:tc>
        <w:tc>
          <w:tcPr>
            <w:tcW w:w="0" w:type="dxa"/>
            <w:vAlign w:val="bottom"/>
          </w:tcPr>
          <w:p>
            <w:pPr>
              <w:spacing w:after="0"/>
              <w:rPr>
                <w:sz w:val="1"/>
                <w:szCs w:val="1"/>
                <w:color w:val="auto"/>
              </w:rPr>
            </w:pPr>
          </w:p>
        </w:tc>
      </w:tr>
      <w:tr>
        <w:trPr>
          <w:trHeight w:val="322"/>
        </w:trPr>
        <w:tc>
          <w:tcPr>
            <w:tcW w:w="7620" w:type="dxa"/>
            <w:vAlign w:val="bottom"/>
            <w:gridSpan w:val="2"/>
          </w:tcPr>
          <w:p>
            <w:pPr>
              <w:spacing w:after="0"/>
              <w:rPr>
                <w:sz w:val="20"/>
                <w:szCs w:val="20"/>
                <w:color w:val="auto"/>
              </w:rPr>
            </w:pPr>
            <w:r>
              <w:rPr>
                <w:rFonts w:ascii="Arial" w:cs="Arial" w:eastAsia="Arial" w:hAnsi="Arial"/>
                <w:sz w:val="18"/>
                <w:szCs w:val="18"/>
                <w:color w:val="auto"/>
              </w:rPr>
              <w:t>Interest income (expense)</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w w:val="91"/>
              </w:rPr>
              <w:t>(2,589)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(2,367)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6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71,525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60,124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w w:val="91"/>
              </w:rPr>
              <w:t>(2,589)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(loss) on subsidiaries in foreign currencies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1"/>
              </w:rPr>
              <w:t>(2,750)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March 31</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7,489</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11,529</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6,629</w:t>
            </w: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2,903</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r>
      <w:tr>
        <w:trPr>
          <w:trHeight w:val="222"/>
        </w:trPr>
        <w:tc>
          <w:tcPr>
            <w:tcW w:w="928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34,029</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29,344</w:t>
            </w:r>
          </w:p>
        </w:tc>
      </w:tr>
      <w:tr>
        <w:trPr>
          <w:trHeight w:val="20"/>
        </w:trPr>
        <w:tc>
          <w:tcPr>
            <w:tcW w:w="9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92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5,155</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4,957</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Revolving line of credit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14,384</w:t>
            </w:r>
          </w:p>
        </w:tc>
      </w:tr>
      <w:tr>
        <w:trPr>
          <w:trHeight w:val="322"/>
        </w:trPr>
        <w:tc>
          <w:tcPr>
            <w:tcW w:w="928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273,746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264,554</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(252,465)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(249,876)</w:t>
            </w: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shd w:val="clear" w:color="auto" w:fill="CCEEFF"/>
          </w:tcPr>
          <w:p>
            <w:pPr>
              <w:spacing w:after="0"/>
              <w:rPr>
                <w:sz w:val="18"/>
                <w:szCs w:val="18"/>
                <w:color w:val="auto"/>
              </w:rPr>
            </w:pPr>
          </w:p>
        </w:tc>
      </w:tr>
      <w:tr>
        <w:trPr>
          <w:trHeight w:val="222"/>
        </w:trPr>
        <w:tc>
          <w:tcPr>
            <w:tcW w:w="928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34,029</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29,344</w:t>
            </w:r>
          </w:p>
        </w:tc>
      </w:tr>
      <w:tr>
        <w:trPr>
          <w:trHeight w:val="20"/>
        </w:trPr>
        <w:tc>
          <w:tcPr>
            <w:tcW w:w="9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2019-12-10T16:20:22Z</dcterms:created>
  <dcterms:modified xsi:type="dcterms:W3CDTF">2019-12-10T16:20:22Z</dcterms:modified>
</cp:coreProperties>
</file>