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0001694780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P10,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001-40937</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4514 COLE AVENUE, SUITE 1600</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DALLAS</w:t>
      </w:r>
    </w:p>
    <w:p>
      <w:pPr>
        <w:ind w:left="10"/>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75205</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999-6063</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210 Capital, LLC</w:t>
      </w:r>
    </w:p>
    <w:p>
      <w:pPr>
        <w:spacing w:after="0" w:line="44"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Clear Street LLC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150 Greenwich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 45</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2822100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28700757.00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54673874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07/29/2024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36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40" w:type="dxa"/>
            <w:vAlign w:val="bottom"/>
          </w:tcPr>
          <w:p>
            <w:pPr>
              <w:jc w:val="center"/>
              <w:ind w:right="1732"/>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40" w:type="dxa"/>
            <w:vAlign w:val="bottom"/>
          </w:tcPr>
          <w:p>
            <w:pPr>
              <w:jc w:val="center"/>
              <w:ind w:right="17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Class A shares</w:t>
            </w:r>
          </w:p>
        </w:tc>
        <w:tc>
          <w:tcPr>
            <w:tcW w:w="136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received upon</w:t>
            </w:r>
          </w:p>
        </w:tc>
        <w:tc>
          <w:tcPr>
            <w:tcW w:w="13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conversion of an</w:t>
            </w:r>
          </w:p>
        </w:tc>
        <w:tc>
          <w:tcPr>
            <w:tcW w:w="13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equivalent number</w:t>
            </w:r>
          </w:p>
        </w:tc>
        <w:tc>
          <w:tcPr>
            <w:tcW w:w="13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of Class B shares</w:t>
            </w:r>
          </w:p>
        </w:tc>
        <w:tc>
          <w:tcPr>
            <w:tcW w:w="13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that were</w:t>
            </w:r>
          </w:p>
        </w:tc>
        <w:tc>
          <w:tcPr>
            <w:tcW w:w="13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9"/>
              </w:rPr>
              <w:t>originally acquired</w:t>
            </w:r>
          </w:p>
        </w:tc>
        <w:tc>
          <w:tcPr>
            <w:tcW w:w="13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10/20/2021</w:t>
            </w: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on October 20,</w:t>
            </w: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P10, Inc.</w:t>
            </w:r>
          </w:p>
        </w:tc>
        <w:tc>
          <w:tcPr>
            <w:tcW w:w="264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3184450</w:t>
            </w:r>
          </w:p>
        </w:tc>
        <w:tc>
          <w:tcPr>
            <w:tcW w:w="268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7"/>
              </w:rPr>
              <w:t>10/20/2021 Share exchange</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3"/>
                <w:szCs w:val="23"/>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2021 as part of a</w:t>
            </w:r>
          </w:p>
        </w:tc>
        <w:tc>
          <w:tcPr>
            <w:tcW w:w="1360" w:type="dxa"/>
            <w:vAlign w:val="bottom"/>
            <w:vMerge w:val="continue"/>
          </w:tcPr>
          <w:p>
            <w:pPr>
              <w:spacing w:after="0"/>
              <w:rPr>
                <w:sz w:val="23"/>
                <w:szCs w:val="23"/>
                <w:color w:val="auto"/>
              </w:rPr>
            </w:pPr>
          </w:p>
        </w:tc>
        <w:tc>
          <w:tcPr>
            <w:tcW w:w="2640" w:type="dxa"/>
            <w:vAlign w:val="bottom"/>
            <w:vMerge w:val="continue"/>
          </w:tcPr>
          <w:p>
            <w:pPr>
              <w:spacing w:after="0"/>
              <w:rPr>
                <w:sz w:val="23"/>
                <w:szCs w:val="23"/>
                <w:color w:val="auto"/>
              </w:rPr>
            </w:pP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reorganization and</w:t>
      </w:r>
    </w:p>
    <w:p>
      <w:pPr>
        <w:ind w:left="2560"/>
        <w:spacing w:after="0" w:line="231" w:lineRule="auto"/>
        <w:rPr>
          <w:sz w:val="20"/>
          <w:szCs w:val="20"/>
          <w:color w:val="auto"/>
        </w:rPr>
      </w:pPr>
      <w:r>
        <w:rPr>
          <w:rFonts w:ascii="Times New Roman" w:cs="Times New Roman" w:eastAsia="Times New Roman" w:hAnsi="Times New Roman"/>
          <w:sz w:val="22"/>
          <w:szCs w:val="22"/>
          <w:color w:val="auto"/>
        </w:rPr>
        <w:t>share exchange</w:t>
      </w:r>
    </w:p>
    <w:p>
      <w:pPr>
        <w:ind w:left="2560"/>
        <w:spacing w:after="0" w:line="230" w:lineRule="auto"/>
        <w:rPr>
          <w:sz w:val="20"/>
          <w:szCs w:val="20"/>
          <w:color w:val="auto"/>
        </w:rPr>
      </w:pPr>
      <w:r>
        <w:rPr>
          <w:rFonts w:ascii="Times New Roman" w:cs="Times New Roman" w:eastAsia="Times New Roman" w:hAnsi="Times New Roman"/>
          <w:sz w:val="22"/>
          <w:szCs w:val="22"/>
          <w:color w:val="auto"/>
        </w:rPr>
        <w:t>effected by the</w:t>
      </w:r>
    </w:p>
    <w:p>
      <w:pPr>
        <w:ind w:left="2560"/>
        <w:spacing w:after="0" w:line="231" w:lineRule="auto"/>
        <w:rPr>
          <w:sz w:val="20"/>
          <w:szCs w:val="20"/>
          <w:color w:val="auto"/>
        </w:rPr>
      </w:pPr>
      <w:r>
        <w:rPr>
          <w:rFonts w:ascii="Times New Roman" w:cs="Times New Roman" w:eastAsia="Times New Roman" w:hAnsi="Times New Roman"/>
          <w:sz w:val="22"/>
          <w:szCs w:val="22"/>
          <w:color w:val="auto"/>
        </w:rPr>
        <w:t>issuer's</w:t>
      </w:r>
    </w:p>
    <w:p>
      <w:pPr>
        <w:ind w:left="2560"/>
        <w:spacing w:after="0" w:line="230" w:lineRule="auto"/>
        <w:rPr>
          <w:sz w:val="20"/>
          <w:szCs w:val="20"/>
          <w:color w:val="auto"/>
        </w:rPr>
      </w:pPr>
      <w:r>
        <w:rPr>
          <w:rFonts w:ascii="Times New Roman" w:cs="Times New Roman" w:eastAsia="Times New Roman" w:hAnsi="Times New Roman"/>
          <w:sz w:val="22"/>
          <w:szCs w:val="22"/>
          <w:color w:val="auto"/>
        </w:rPr>
        <w:t>predecessor in</w:t>
      </w:r>
    </w:p>
    <w:p>
      <w:pPr>
        <w:ind w:left="2560"/>
        <w:spacing w:after="0" w:line="231" w:lineRule="auto"/>
        <w:rPr>
          <w:sz w:val="20"/>
          <w:szCs w:val="20"/>
          <w:color w:val="auto"/>
        </w:rPr>
      </w:pPr>
      <w:r>
        <w:rPr>
          <w:rFonts w:ascii="Times New Roman" w:cs="Times New Roman" w:eastAsia="Times New Roman" w:hAnsi="Times New Roman"/>
          <w:sz w:val="22"/>
          <w:szCs w:val="22"/>
          <w:color w:val="auto"/>
        </w:rPr>
        <w:t>connection with</w:t>
      </w:r>
    </w:p>
    <w:p>
      <w:pPr>
        <w:ind w:left="2560"/>
        <w:spacing w:after="0"/>
        <w:rPr>
          <w:sz w:val="20"/>
          <w:szCs w:val="20"/>
          <w:color w:val="auto"/>
        </w:rPr>
      </w:pPr>
      <w:r>
        <w:rPr>
          <w:rFonts w:ascii="Times New Roman" w:cs="Times New Roman" w:eastAsia="Times New Roman" w:hAnsi="Times New Roman"/>
          <w:sz w:val="22"/>
          <w:szCs w:val="22"/>
          <w:color w:val="auto"/>
        </w:rPr>
        <w:t>the issuer's IPO.</w:t>
      </w:r>
    </w:p>
    <w:p>
      <w:pPr>
        <w:spacing w:after="0" w:line="2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888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7"/>
              </w:rPr>
              <w:t>This Form 144 is being filed by 210 Capital, LLC, in its capacity as the sole member of</w:t>
            </w:r>
          </w:p>
        </w:tc>
        <w:tc>
          <w:tcPr>
            <w:tcW w:w="0" w:type="dxa"/>
            <w:vAlign w:val="bottom"/>
          </w:tcPr>
          <w:p>
            <w:pPr>
              <w:spacing w:after="0"/>
              <w:rPr>
                <w:sz w:val="1"/>
                <w:szCs w:val="1"/>
                <w:color w:val="auto"/>
              </w:rPr>
            </w:pPr>
          </w:p>
        </w:tc>
      </w:tr>
      <w:tr>
        <w:trPr>
          <w:trHeight w:val="161"/>
        </w:trPr>
        <w:tc>
          <w:tcPr>
            <w:tcW w:w="2100" w:type="dxa"/>
            <w:vAlign w:val="bottom"/>
            <w:vMerge w:val="continue"/>
          </w:tcPr>
          <w:p>
            <w:pPr>
              <w:spacing w:after="0"/>
              <w:rPr>
                <w:sz w:val="13"/>
                <w:szCs w:val="13"/>
                <w:color w:val="auto"/>
              </w:rPr>
            </w:pPr>
          </w:p>
        </w:tc>
        <w:tc>
          <w:tcPr>
            <w:tcW w:w="8880" w:type="dxa"/>
            <w:vAlign w:val="bottom"/>
            <w:vMerge w:val="restart"/>
          </w:tcPr>
          <w:p>
            <w:pPr>
              <w:ind w:left="1320"/>
              <w:spacing w:after="0"/>
              <w:rPr>
                <w:sz w:val="20"/>
                <w:szCs w:val="20"/>
                <w:color w:val="auto"/>
              </w:rPr>
            </w:pPr>
            <w:r>
              <w:rPr>
                <w:rFonts w:ascii="Times New Roman" w:cs="Times New Roman" w:eastAsia="Times New Roman" w:hAnsi="Times New Roman"/>
                <w:sz w:val="22"/>
                <w:szCs w:val="22"/>
                <w:color w:val="auto"/>
              </w:rPr>
              <w:t>210/P10 Acquisition Partners, LLC, the direct holder of the shares reported herein.</w:t>
            </w: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8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9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07/29/2024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12/10/2023</w:t>
      </w:r>
    </w:p>
    <w:p>
      <w:pPr>
        <w:spacing w:after="0" w:line="623" w:lineRule="exact"/>
        <w:rPr>
          <w:sz w:val="20"/>
          <w:szCs w:val="20"/>
          <w:color w:val="auto"/>
        </w:rPr>
      </w:pPr>
    </w:p>
    <w:p>
      <w:pPr>
        <w:sectPr>
          <w:pgSz w:w="11900" w:h="16838" w:orient="portrait"/>
          <w:cols w:equalWidth="0" w:num="2">
            <w:col w:w="3380" w:space="80"/>
            <w:col w:w="77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/s/Robert Alpert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2024-07-29T17:18:35Z</dcterms:created>
  <dcterms:modified xsi:type="dcterms:W3CDTF">2024-07-29T17:18:35Z</dcterms:modified>
</cp:coreProperties>
</file>