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ASCOLESE MARK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860"/>
        <w:spacing w:after="0" w:line="366" w:lineRule="auto"/>
        <w:rPr>
          <w:sz w:val="20"/>
          <w:szCs w:val="20"/>
          <w:color w:val="auto"/>
        </w:rPr>
      </w:pPr>
      <w:r>
        <w:rPr>
          <w:rFonts w:ascii="Arial" w:cs="Arial" w:eastAsia="Arial" w:hAnsi="Arial"/>
          <w:sz w:val="16"/>
          <w:szCs w:val="16"/>
          <w:color w:val="0000FF"/>
        </w:rPr>
        <w:t>C/O ACTIVE POWER, INC. 2128 W BRAKER LANE, BK 12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ACTIVE POWER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ACPW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12/02/2014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63"/>
        <w:spacing w:after="0"/>
        <w:rPr>
          <w:sz w:val="20"/>
          <w:szCs w:val="20"/>
          <w:color w:val="auto"/>
        </w:rPr>
      </w:pPr>
      <w:r>
        <w:rPr>
          <w:rFonts w:ascii="Arial" w:cs="Arial" w:eastAsia="Arial" w:hAnsi="Arial"/>
          <w:sz w:val="18"/>
          <w:szCs w:val="18"/>
          <w:color w:val="0000FF"/>
        </w:rPr>
        <w:t>President and CEO</w:t>
      </w:r>
    </w:p>
    <w:p>
      <w:pPr>
        <w:spacing w:after="0" w:line="422"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1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AUSTIN</w:t>
            </w:r>
          </w:p>
        </w:tc>
        <w:tc>
          <w:tcPr>
            <w:tcW w:w="1160" w:type="dxa"/>
            <w:vAlign w:val="bottom"/>
          </w:tcPr>
          <w:p>
            <w:pPr>
              <w:ind w:left="3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78758</w:t>
            </w: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160" w:type="dxa"/>
            <w:vAlign w:val="bottom"/>
          </w:tcPr>
          <w:p>
            <w:pPr>
              <w:ind w:left="3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12/02/2014</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87"/>
              </w:rPr>
              <w:t>16,369</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1.86</w:t>
            </w:r>
            <w:r>
              <w:rPr>
                <w:rFonts w:ascii="Arial" w:cs="Arial" w:eastAsia="Arial" w:hAnsi="Arial"/>
                <w:sz w:val="22"/>
                <w:szCs w:val="22"/>
                <w:color w:val="008000"/>
                <w:w w:val="92"/>
                <w:vertAlign w:val="superscript"/>
              </w:rPr>
              <w:t>(1)</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25,000</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8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at prices ranging from $1.85 to $1.86. The reporting person undertakes to provide to Active Power, Inc., any security holder of Active Power, Inc., or the staff of the Securities and Exchange Commission, upon request, full information regarding the number of shares purchased at each separate price within the ranges set forth in footnote (1) to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8,631 shares held in an IRA previously reported as indirectly owned.</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Arial" w:cs="Arial" w:eastAsia="Arial" w:hAnsi="Arial"/>
                <w:sz w:val="18"/>
                <w:szCs w:val="18"/>
                <w:color w:val="0000FF"/>
                <w:w w:val="90"/>
              </w:rPr>
              <w:t>/s/ Mark A. Ascolese</w:t>
            </w:r>
          </w:p>
        </w:tc>
        <w:tc>
          <w:tcPr>
            <w:tcW w:w="62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12/03/2014</w:t>
            </w:r>
          </w:p>
        </w:tc>
      </w:tr>
      <w:tr>
        <w:trPr>
          <w:trHeight w:val="20"/>
        </w:trPr>
        <w:tc>
          <w:tcPr>
            <w:tcW w:w="15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16124" TargetMode="External"/><Relationship Id="rId13"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2019-12-17T06:36:45Z</dcterms:created>
  <dcterms:modified xsi:type="dcterms:W3CDTF">2019-12-17T06:36:45Z</dcterms:modified>
</cp:coreProperties>
</file>