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11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TO RULES 13d-1(b) (c), AND (d) AND AMENDMENTS THERETO FILED</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RULE 13D-2(b)</w:t>
      </w:r>
    </w:p>
    <w:p>
      <w:pPr>
        <w:spacing w:after="0" w:line="28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5)</w:t>
      </w:r>
      <w:r>
        <w:rPr>
          <w:rFonts w:ascii="Arial" w:cs="Arial" w:eastAsia="Arial" w:hAnsi="Arial"/>
          <w:sz w:val="11"/>
          <w:szCs w:val="11"/>
          <w:b w:val="1"/>
          <w:bCs w:val="1"/>
          <w:color w:val="auto"/>
        </w:rPr>
        <w:t>1</w:t>
      </w:r>
    </w:p>
    <w:p>
      <w:pPr>
        <w:spacing w:after="0" w:line="26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27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00504W 10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7"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8"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98" w:lineRule="exact"/>
        <w:rPr>
          <w:rFonts w:ascii="MS PGothic" w:cs="MS PGothic" w:eastAsia="MS PGothic" w:hAnsi="MS PGothic"/>
          <w:sz w:val="18"/>
          <w:szCs w:val="18"/>
          <w:color w:val="auto"/>
        </w:rPr>
      </w:pPr>
    </w:p>
    <w:p>
      <w:pPr>
        <w:ind w:left="220" w:hanging="216"/>
        <w:spacing w:after="0" w:line="232" w:lineRule="auto"/>
        <w:rPr>
          <w:rFonts w:ascii="MS PGothic" w:cs="MS PGothic" w:eastAsia="MS PGothic" w:hAnsi="MS PGothic"/>
          <w:sz w:val="18"/>
          <w:szCs w:val="18"/>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5 pages</w:t>
      </w:r>
    </w:p>
    <w:p>
      <w:pPr>
        <w:sectPr>
          <w:pgSz w:w="11900" w:h="16838" w:orient="portrait"/>
          <w:cols w:equalWidth="0" w:num="1">
            <w:col w:w="11340"/>
          </w:cols>
          <w:pgMar w:left="240" w:top="21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USA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9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1"/>
        </w:trPr>
        <w:tc>
          <w:tcPr>
            <w:tcW w:w="162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420" w:type="dxa"/>
            <w:vAlign w:val="bottom"/>
          </w:tcPr>
          <w:p>
            <w:pPr>
              <w:spacing w:after="0"/>
              <w:rPr>
                <w:sz w:val="21"/>
                <w:szCs w:val="21"/>
                <w:color w:val="auto"/>
              </w:rPr>
            </w:pPr>
          </w:p>
        </w:tc>
        <w:tc>
          <w:tcPr>
            <w:tcW w:w="9380" w:type="dxa"/>
            <w:vAlign w:val="bottom"/>
          </w:tcPr>
          <w:p>
            <w:pPr>
              <w:jc w:val="right"/>
              <w:ind w:right="8302"/>
              <w:spacing w:after="0" w:line="251" w:lineRule="exact"/>
              <w:rPr>
                <w:sz w:val="20"/>
                <w:szCs w:val="20"/>
                <w:color w:val="auto"/>
              </w:rPr>
            </w:pPr>
            <w:r>
              <w:rPr>
                <w:rFonts w:ascii="Arial" w:cs="Arial" w:eastAsia="Arial" w:hAnsi="Arial"/>
                <w:sz w:val="22"/>
                <w:szCs w:val="22"/>
                <w:color w:val="auto"/>
                <w:w w:val="98"/>
              </w:rPr>
              <w:t>1,468,838</w:t>
            </w:r>
          </w:p>
        </w:tc>
        <w:tc>
          <w:tcPr>
            <w:tcW w:w="0" w:type="dxa"/>
            <w:vAlign w:val="bottom"/>
          </w:tcPr>
          <w:p>
            <w:pPr>
              <w:spacing w:after="0"/>
              <w:rPr>
                <w:sz w:val="1"/>
                <w:szCs w:val="1"/>
                <w:color w:val="auto"/>
              </w:rPr>
            </w:pPr>
          </w:p>
        </w:tc>
      </w:tr>
      <w:tr>
        <w:trPr>
          <w:trHeight w:val="68"/>
        </w:trPr>
        <w:tc>
          <w:tcPr>
            <w:tcW w:w="1620" w:type="dxa"/>
            <w:vAlign w:val="bottom"/>
            <w:vMerge w:val="restart"/>
          </w:tcPr>
          <w:p>
            <w:pPr>
              <w:jc w:val="center"/>
              <w:spacing w:after="0" w:line="181" w:lineRule="exact"/>
              <w:rPr>
                <w:sz w:val="20"/>
                <w:szCs w:val="20"/>
                <w:color w:val="auto"/>
              </w:rPr>
            </w:pPr>
            <w:r>
              <w:rPr>
                <w:rFonts w:ascii="Arial" w:cs="Arial" w:eastAsia="Arial" w:hAnsi="Arial"/>
                <w:sz w:val="18"/>
                <w:szCs w:val="18"/>
                <w:color w:val="auto"/>
                <w:w w:val="89"/>
              </w:rPr>
              <w:t>SHARES</w:t>
            </w:r>
          </w:p>
        </w:tc>
        <w:tc>
          <w:tcPr>
            <w:tcW w:w="420" w:type="dxa"/>
            <w:vAlign w:val="bottom"/>
            <w:tcBorders>
              <w:bottom w:val="single" w:sz="8" w:color="auto"/>
            </w:tcBorders>
          </w:tcPr>
          <w:p>
            <w:pPr>
              <w:spacing w:after="0"/>
              <w:rPr>
                <w:sz w:val="5"/>
                <w:szCs w:val="5"/>
                <w:color w:val="auto"/>
              </w:rPr>
            </w:pPr>
          </w:p>
        </w:tc>
        <w:tc>
          <w:tcPr>
            <w:tcW w:w="9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620" w:type="dxa"/>
            <w:vAlign w:val="bottom"/>
            <w:vMerge w:val="continue"/>
          </w:tcPr>
          <w:p>
            <w:pPr>
              <w:spacing w:after="0"/>
              <w:rPr>
                <w:sz w:val="8"/>
                <w:szCs w:val="8"/>
                <w:color w:val="auto"/>
              </w:rPr>
            </w:pPr>
          </w:p>
        </w:tc>
        <w:tc>
          <w:tcPr>
            <w:tcW w:w="42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420" w:type="dxa"/>
            <w:vAlign w:val="bottom"/>
            <w:vMerge w:val="continue"/>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6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380" w:type="dxa"/>
            <w:vAlign w:val="bottom"/>
            <w:vMerge w:val="restart"/>
          </w:tcPr>
          <w:p>
            <w:pPr>
              <w:jc w:val="right"/>
              <w:ind w:right="8302"/>
              <w:spacing w:after="0"/>
              <w:rPr>
                <w:sz w:val="20"/>
                <w:szCs w:val="20"/>
                <w:color w:val="auto"/>
              </w:rPr>
            </w:pPr>
            <w:r>
              <w:rPr>
                <w:rFonts w:ascii="Arial" w:cs="Arial" w:eastAsia="Arial" w:hAnsi="Arial"/>
                <w:sz w:val="22"/>
                <w:szCs w:val="22"/>
                <w:color w:val="auto"/>
                <w:w w:val="98"/>
              </w:rPr>
              <w:t>4,215,597</w:t>
            </w:r>
          </w:p>
        </w:tc>
        <w:tc>
          <w:tcPr>
            <w:tcW w:w="0" w:type="dxa"/>
            <w:vAlign w:val="bottom"/>
          </w:tcPr>
          <w:p>
            <w:pPr>
              <w:spacing w:after="0"/>
              <w:rPr>
                <w:sz w:val="1"/>
                <w:szCs w:val="1"/>
                <w:color w:val="auto"/>
              </w:rPr>
            </w:pPr>
          </w:p>
        </w:tc>
      </w:tr>
      <w:tr>
        <w:trPr>
          <w:trHeight w:val="222"/>
        </w:trPr>
        <w:tc>
          <w:tcPr>
            <w:tcW w:w="1620" w:type="dxa"/>
            <w:vAlign w:val="bottom"/>
          </w:tcPr>
          <w:p>
            <w:pPr>
              <w:jc w:val="center"/>
              <w:spacing w:after="0"/>
              <w:rPr>
                <w:sz w:val="20"/>
                <w:szCs w:val="20"/>
                <w:color w:val="auto"/>
              </w:rPr>
            </w:pPr>
            <w:r>
              <w:rPr>
                <w:rFonts w:ascii="Arial" w:cs="Arial" w:eastAsia="Arial" w:hAnsi="Arial"/>
                <w:sz w:val="18"/>
                <w:szCs w:val="18"/>
                <w:color w:val="auto"/>
                <w:w w:val="95"/>
              </w:rPr>
              <w:t>OWNED BY</w:t>
            </w:r>
          </w:p>
        </w:tc>
        <w:tc>
          <w:tcPr>
            <w:tcW w:w="420" w:type="dxa"/>
            <w:vAlign w:val="bottom"/>
            <w:tcBorders>
              <w:bottom w:val="single" w:sz="8" w:color="auto"/>
            </w:tcBorders>
          </w:tcPr>
          <w:p>
            <w:pPr>
              <w:spacing w:after="0"/>
              <w:rPr>
                <w:sz w:val="19"/>
                <w:szCs w:val="19"/>
                <w:color w:val="auto"/>
              </w:rPr>
            </w:pPr>
          </w:p>
        </w:tc>
        <w:tc>
          <w:tcPr>
            <w:tcW w:w="9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620" w:type="dxa"/>
            <w:vAlign w:val="bottom"/>
          </w:tcPr>
          <w:p>
            <w:pPr>
              <w:jc w:val="center"/>
              <w:ind w:right="12"/>
              <w:spacing w:after="0" w:line="190" w:lineRule="exact"/>
              <w:rPr>
                <w:sz w:val="20"/>
                <w:szCs w:val="20"/>
                <w:color w:val="auto"/>
              </w:rPr>
            </w:pPr>
            <w:r>
              <w:rPr>
                <w:rFonts w:ascii="Arial" w:cs="Arial" w:eastAsia="Arial" w:hAnsi="Arial"/>
                <w:sz w:val="18"/>
                <w:szCs w:val="18"/>
                <w:color w:val="auto"/>
                <w:w w:val="95"/>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7.</w:t>
            </w:r>
          </w:p>
        </w:tc>
        <w:tc>
          <w:tcPr>
            <w:tcW w:w="938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REPORTING</w:t>
            </w:r>
          </w:p>
        </w:tc>
        <w:tc>
          <w:tcPr>
            <w:tcW w:w="420" w:type="dxa"/>
            <w:vAlign w:val="bottom"/>
          </w:tcPr>
          <w:p>
            <w:pPr>
              <w:spacing w:after="0"/>
              <w:rPr>
                <w:sz w:val="18"/>
                <w:szCs w:val="18"/>
                <w:color w:val="auto"/>
              </w:rPr>
            </w:pPr>
          </w:p>
        </w:tc>
        <w:tc>
          <w:tcPr>
            <w:tcW w:w="9380" w:type="dxa"/>
            <w:vAlign w:val="bottom"/>
            <w:vMerge w:val="restart"/>
          </w:tcPr>
          <w:p>
            <w:pPr>
              <w:jc w:val="right"/>
              <w:ind w:right="8302"/>
              <w:spacing w:after="0"/>
              <w:rPr>
                <w:sz w:val="20"/>
                <w:szCs w:val="20"/>
                <w:color w:val="auto"/>
              </w:rPr>
            </w:pPr>
            <w:r>
              <w:rPr>
                <w:rFonts w:ascii="Arial" w:cs="Arial" w:eastAsia="Arial" w:hAnsi="Arial"/>
                <w:sz w:val="22"/>
                <w:szCs w:val="22"/>
                <w:color w:val="auto"/>
                <w:w w:val="98"/>
              </w:rPr>
              <w:t>1,468,838</w:t>
            </w:r>
          </w:p>
        </w:tc>
        <w:tc>
          <w:tcPr>
            <w:tcW w:w="0" w:type="dxa"/>
            <w:vAlign w:val="bottom"/>
          </w:tcPr>
          <w:p>
            <w:pPr>
              <w:spacing w:after="0"/>
              <w:rPr>
                <w:sz w:val="1"/>
                <w:szCs w:val="1"/>
                <w:color w:val="auto"/>
              </w:rPr>
            </w:pPr>
          </w:p>
        </w:tc>
      </w:tr>
      <w:tr>
        <w:trPr>
          <w:trHeight w:val="128"/>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6"/>
              </w:rPr>
              <w:t>PERSON</w:t>
            </w:r>
          </w:p>
        </w:tc>
        <w:tc>
          <w:tcPr>
            <w:tcW w:w="420" w:type="dxa"/>
            <w:vAlign w:val="bottom"/>
            <w:tcBorders>
              <w:bottom w:val="single" w:sz="8" w:color="auto"/>
            </w:tcBorders>
          </w:tcPr>
          <w:p>
            <w:pPr>
              <w:spacing w:after="0"/>
              <w:rPr>
                <w:sz w:val="11"/>
                <w:szCs w:val="11"/>
                <w:color w:val="auto"/>
              </w:rPr>
            </w:pPr>
          </w:p>
        </w:tc>
        <w:tc>
          <w:tcPr>
            <w:tcW w:w="93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420" w:type="dxa"/>
            <w:vAlign w:val="bottom"/>
            <w:vMerge w:val="restart"/>
          </w:tcPr>
          <w:p>
            <w:pPr>
              <w:jc w:val="right"/>
              <w:ind w:right="12"/>
              <w:spacing w:after="0"/>
              <w:rPr>
                <w:sz w:val="20"/>
                <w:szCs w:val="20"/>
                <w:color w:val="auto"/>
              </w:rPr>
            </w:pPr>
            <w:r>
              <w:rPr>
                <w:rFonts w:ascii="Arial" w:cs="Arial" w:eastAsia="Arial" w:hAnsi="Arial"/>
                <w:sz w:val="18"/>
                <w:szCs w:val="18"/>
                <w:color w:val="auto"/>
              </w:rPr>
              <w:t>8.</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50"/>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20" w:type="dxa"/>
            <w:vAlign w:val="bottom"/>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9380" w:type="dxa"/>
            <w:vAlign w:val="bottom"/>
            <w:vMerge w:val="restart"/>
          </w:tcPr>
          <w:p>
            <w:pPr>
              <w:jc w:val="right"/>
              <w:ind w:right="8302"/>
              <w:spacing w:after="0"/>
              <w:rPr>
                <w:sz w:val="20"/>
                <w:szCs w:val="20"/>
                <w:color w:val="auto"/>
              </w:rPr>
            </w:pPr>
            <w:r>
              <w:rPr>
                <w:rFonts w:ascii="Arial" w:cs="Arial" w:eastAsia="Arial" w:hAnsi="Arial"/>
                <w:sz w:val="22"/>
                <w:szCs w:val="22"/>
                <w:color w:val="auto"/>
                <w:w w:val="98"/>
              </w:rPr>
              <w:t>4,215,597</w:t>
            </w: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5,684,435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Check Box if the Aggregate Amount in Row (9) Excludes Certain Shares (See Instructions)</w:t>
      </w:r>
    </w:p>
    <w:p>
      <w:pPr>
        <w:spacing w:after="0" w:line="118" w:lineRule="exact"/>
        <w:rPr>
          <w:sz w:val="20"/>
          <w:szCs w:val="20"/>
          <w:color w:val="auto"/>
        </w:rPr>
      </w:pPr>
    </w:p>
    <w:p>
      <w:pPr>
        <w:ind w:left="104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600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7" w:lineRule="exact"/>
        <w:rPr>
          <w:sz w:val="20"/>
          <w:szCs w:val="20"/>
          <w:color w:val="auto"/>
        </w:rPr>
      </w:pPr>
    </w:p>
    <w:p>
      <w:pPr>
        <w:ind w:right="580" w:firstLine="8"/>
        <w:spacing w:after="0" w:line="268"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upon 49,442,459 shares of Common Stock outstanding as of December 31, 2005, which includes 603,000 shares of Common Stock that may be acquired by the Reporting Person within 60 days of December 31, 2005 through the exercise of stock options.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p>
    <w:p>
      <w:pPr>
        <w:spacing w:after="0" w:line="83" w:lineRule="exact"/>
        <w:rPr>
          <w:sz w:val="20"/>
          <w:szCs w:val="20"/>
          <w:color w:val="auto"/>
        </w:rPr>
      </w:pPr>
    </w:p>
    <w:p>
      <w:pPr>
        <w:ind w:left="900" w:right="8760" w:hanging="446"/>
        <w:spacing w:after="0" w:line="325" w:lineRule="auto"/>
        <w:tabs>
          <w:tab w:leader="none" w:pos="897"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Active Power, Inc.</w:t>
      </w:r>
    </w:p>
    <w:p>
      <w:pPr>
        <w:spacing w:after="0" w:line="1" w:lineRule="exact"/>
        <w:rPr>
          <w:rFonts w:ascii="Arial" w:cs="Arial" w:eastAsia="Arial" w:hAnsi="Arial"/>
          <w:sz w:val="16"/>
          <w:szCs w:val="16"/>
          <w:color w:val="auto"/>
        </w:rPr>
      </w:pPr>
    </w:p>
    <w:p>
      <w:pPr>
        <w:ind w:left="900" w:right="6740" w:hanging="446"/>
        <w:spacing w:after="0" w:line="254" w:lineRule="auto"/>
        <w:tabs>
          <w:tab w:leader="none" w:pos="897"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2128 W. Braker Lane, Braker 12</w:t>
      </w:r>
    </w:p>
    <w:p>
      <w:pPr>
        <w:ind w:left="900"/>
        <w:spacing w:after="0"/>
        <w:rPr>
          <w:rFonts w:ascii="Arial" w:cs="Arial" w:eastAsia="Arial" w:hAnsi="Arial"/>
          <w:sz w:val="18"/>
          <w:szCs w:val="18"/>
          <w:color w:val="auto"/>
        </w:rPr>
      </w:pPr>
      <w:r>
        <w:rPr>
          <w:rFonts w:ascii="Arial" w:cs="Arial" w:eastAsia="Arial" w:hAnsi="Arial"/>
          <w:sz w:val="18"/>
          <w:szCs w:val="18"/>
          <w:color w:val="auto"/>
        </w:rPr>
        <w:t>Austin, TX 78758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83" w:lineRule="exact"/>
        <w:rPr>
          <w:sz w:val="20"/>
          <w:szCs w:val="20"/>
          <w:color w:val="auto"/>
        </w:rPr>
      </w:pPr>
    </w:p>
    <w:p>
      <w:pPr>
        <w:jc w:val="both"/>
        <w:ind w:left="900" w:right="8440" w:hanging="446"/>
        <w:spacing w:after="0" w:line="347" w:lineRule="auto"/>
        <w:tabs>
          <w:tab w:leader="none" w:pos="897" w:val="left"/>
        </w:tabs>
        <w:numPr>
          <w:ilvl w:val="0"/>
          <w:numId w:val="7"/>
        </w:numPr>
        <w:rPr>
          <w:rFonts w:ascii="Arial" w:cs="Arial" w:eastAsia="Arial" w:hAnsi="Arial"/>
          <w:sz w:val="15"/>
          <w:szCs w:val="15"/>
          <w:color w:val="auto"/>
        </w:rPr>
      </w:pPr>
      <w:r>
        <w:rPr>
          <w:rFonts w:ascii="Arial" w:cs="Arial" w:eastAsia="Arial" w:hAnsi="Arial"/>
          <w:sz w:val="15"/>
          <w:szCs w:val="15"/>
          <w:color w:val="auto"/>
        </w:rPr>
        <w:t>Name of Person Filing Joseph F. Pinkerton, III</w:t>
      </w:r>
    </w:p>
    <w:p>
      <w:pPr>
        <w:ind w:left="900" w:right="5840" w:hanging="446"/>
        <w:spacing w:after="0" w:line="254" w:lineRule="auto"/>
        <w:tabs>
          <w:tab w:leader="none" w:pos="897"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Offices or, if none, Residence c/o Active Power, Inc.</w:t>
      </w:r>
    </w:p>
    <w:p>
      <w:pPr>
        <w:ind w:left="900" w:right="7780"/>
        <w:spacing w:after="0" w:line="261" w:lineRule="auto"/>
        <w:rPr>
          <w:rFonts w:ascii="Arial" w:cs="Arial" w:eastAsia="Arial" w:hAnsi="Arial"/>
          <w:sz w:val="18"/>
          <w:szCs w:val="18"/>
          <w:color w:val="auto"/>
        </w:rPr>
      </w:pPr>
      <w:r>
        <w:rPr>
          <w:rFonts w:ascii="Arial" w:cs="Arial" w:eastAsia="Arial" w:hAnsi="Arial"/>
          <w:sz w:val="18"/>
          <w:szCs w:val="18"/>
          <w:color w:val="auto"/>
        </w:rPr>
        <w:t>2128 W. Braker Lane, Braker 12 Austin, TX 78758</w:t>
      </w:r>
    </w:p>
    <w:p>
      <w:pPr>
        <w:spacing w:after="0" w:line="4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7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70" w:lineRule="exact"/>
        <w:rPr>
          <w:rFonts w:ascii="Arial" w:cs="Arial" w:eastAsia="Arial" w:hAnsi="Arial"/>
          <w:sz w:val="18"/>
          <w:szCs w:val="18"/>
          <w:color w:val="auto"/>
        </w:rPr>
      </w:pPr>
    </w:p>
    <w:p>
      <w:pPr>
        <w:ind w:left="900" w:right="8960" w:hanging="446"/>
        <w:spacing w:after="0" w:line="332" w:lineRule="auto"/>
        <w:tabs>
          <w:tab w:leader="none" w:pos="897"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00504W 10 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58" w:lineRule="exact"/>
        <w:rPr>
          <w:sz w:val="20"/>
          <w:szCs w:val="20"/>
          <w:color w:val="auto"/>
        </w:rPr>
      </w:pPr>
    </w:p>
    <w:p>
      <w:pPr>
        <w:ind w:left="420" w:hanging="400"/>
        <w:spacing w:after="0" w:line="207" w:lineRule="exact"/>
        <w:tabs>
          <w:tab w:leader="none" w:pos="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420" w:hanging="410"/>
        <w:spacing w:after="0" w:line="207" w:lineRule="exact"/>
        <w:tabs>
          <w:tab w:leader="none" w:pos="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420" w:hanging="400"/>
        <w:spacing w:after="0" w:line="207" w:lineRule="exact"/>
        <w:tabs>
          <w:tab w:leader="none" w:pos="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420" w:hanging="410"/>
        <w:spacing w:after="0" w:line="207" w:lineRule="exact"/>
        <w:tabs>
          <w:tab w:leader="none" w:pos="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420" w:hanging="400"/>
        <w:spacing w:after="0" w:line="207" w:lineRule="exact"/>
        <w:tabs>
          <w:tab w:leader="none" w:pos="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420" w:hanging="380"/>
        <w:spacing w:after="0" w:line="207" w:lineRule="exact"/>
        <w:tabs>
          <w:tab w:leader="none" w:pos="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420" w:hanging="410"/>
        <w:spacing w:after="0" w:line="207" w:lineRule="exact"/>
        <w:tabs>
          <w:tab w:leader="none" w:pos="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420" w:hanging="410"/>
        <w:spacing w:after="0" w:line="207" w:lineRule="exact"/>
        <w:tabs>
          <w:tab w:leader="none" w:pos="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800" w:hanging="751"/>
        <w:spacing w:after="0" w:line="236" w:lineRule="exact"/>
        <w:tabs>
          <w:tab w:leader="none" w:pos="422"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420" w:hanging="371"/>
        <w:spacing w:after="0" w:line="207" w:lineRule="exact"/>
        <w:tabs>
          <w:tab w:leader="none" w:pos="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1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Page 3 of 5 pages</w:t>
      </w:r>
    </w:p>
    <w:p>
      <w:pPr>
        <w:sectPr>
          <w:pgSz w:w="11900" w:h="16838" w:orient="portrait"/>
          <w:cols w:equalWidth="0" w:num="1">
            <w:col w:w="10980"/>
          </w:cols>
          <w:pgMar w:left="240" w:top="274" w:right="6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 Ownership</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Amount Beneficially Owned:</w:t>
      </w:r>
    </w:p>
    <w:p>
      <w:pPr>
        <w:spacing w:after="0" w:line="77" w:lineRule="exact"/>
        <w:rPr>
          <w:sz w:val="20"/>
          <w:szCs w:val="20"/>
          <w:color w:val="auto"/>
        </w:rPr>
      </w:pPr>
    </w:p>
    <w:p>
      <w:pPr>
        <w:ind w:left="460"/>
        <w:spacing w:after="0" w:line="302" w:lineRule="auto"/>
        <w:rPr>
          <w:sz w:val="20"/>
          <w:szCs w:val="20"/>
          <w:color w:val="auto"/>
        </w:rPr>
      </w:pPr>
      <w:r>
        <w:rPr>
          <w:rFonts w:ascii="Arial" w:cs="Arial" w:eastAsia="Arial" w:hAnsi="Arial"/>
          <w:sz w:val="15"/>
          <w:szCs w:val="15"/>
          <w:color w:val="auto"/>
        </w:rPr>
        <w:t>As of December 31, 2005, Joseph F. Pinkerton, III is the record owner of 400,241 shares of Common Stock and is deemed to beneficially own an additional 603,000 shares of Common Stock which he may acquire within 60 days of December 31, 2005 through the exercise of stock options. He may also be deemed to beneficially own 3,750,000 shares of Common Stock, which is held by CJP Partners, Ltd., a limited partnership in which CJP Management, L.L.C. is the sole general partner and Mr. Pinkerton and his spouse are the only limited partners. Mr. Pinkerton may also be deemed to beneficially own an additional 931,194 shares of Common Stock, of which 215,597 shares are held of record by a Grantor Retained Annuity Trust for the benefit of</w:t>
      </w:r>
    </w:p>
    <w:p>
      <w:pPr>
        <w:spacing w:after="0" w:line="2" w:lineRule="exact"/>
        <w:rPr>
          <w:sz w:val="20"/>
          <w:szCs w:val="20"/>
          <w:color w:val="auto"/>
        </w:rPr>
      </w:pPr>
    </w:p>
    <w:p>
      <w:pPr>
        <w:ind w:left="460" w:right="20"/>
        <w:spacing w:after="0" w:line="281" w:lineRule="auto"/>
        <w:rPr>
          <w:sz w:val="20"/>
          <w:szCs w:val="20"/>
          <w:color w:val="auto"/>
        </w:rPr>
      </w:pPr>
      <w:r>
        <w:rPr>
          <w:rFonts w:ascii="Arial" w:cs="Arial" w:eastAsia="Arial" w:hAnsi="Arial"/>
          <w:sz w:val="16"/>
          <w:szCs w:val="16"/>
          <w:color w:val="auto"/>
        </w:rPr>
        <w:t>Mr. Pinkerton’s minor children and an additional 250,000 shares are held of record by a Grantor Retained Annuity Trust for the benefit of Mr. Pinkerton’s minor children, and for which Mr. Pinkerton is the trustee for both trusts, and 215,597 shares are held of record by a Grantor Retained Annuity Trust for the benefit of Mr. Pinkerton’s minor children and an additional 250,000 shares are held of record by a Grantor Retained Annuity Trust for the benefit of</w:t>
      </w:r>
    </w:p>
    <w:p>
      <w:pPr>
        <w:spacing w:after="0" w:line="2" w:lineRule="exact"/>
        <w:rPr>
          <w:sz w:val="20"/>
          <w:szCs w:val="20"/>
          <w:color w:val="auto"/>
        </w:rPr>
      </w:pPr>
    </w:p>
    <w:p>
      <w:pPr>
        <w:jc w:val="both"/>
        <w:ind w:left="460" w:right="340"/>
        <w:spacing w:after="0" w:line="329" w:lineRule="auto"/>
        <w:rPr>
          <w:sz w:val="20"/>
          <w:szCs w:val="20"/>
          <w:color w:val="auto"/>
        </w:rPr>
      </w:pPr>
      <w:r>
        <w:rPr>
          <w:rFonts w:ascii="Arial" w:cs="Arial" w:eastAsia="Arial" w:hAnsi="Arial"/>
          <w:sz w:val="15"/>
          <w:szCs w:val="15"/>
          <w:color w:val="auto"/>
        </w:rPr>
        <w:t>Mr. Pinkerton’s minor children, and for which Mr. Pinkerton’s wife is the trustee for both trusts. Mr. Pinkerton has the power to vote and dispose of the shares held by the trusts for which he is the trustee and has shared power to vote and dispose of the shares held by the trusts for which his spouse is the trustee. Therefore, Mr. Pinkerton may be deemed to beneficially own an aggregate of 5,684,435 shares of Common Stock as of December 31, 2005</w:t>
      </w: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11.5%</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76" w:lineRule="exact"/>
        <w:rPr>
          <w:rFonts w:ascii="Arial" w:cs="Arial" w:eastAsia="Arial" w:hAnsi="Arial"/>
          <w:sz w:val="18"/>
          <w:szCs w:val="18"/>
          <w:color w:val="auto"/>
        </w:rPr>
      </w:pPr>
    </w:p>
    <w:p>
      <w:pPr>
        <w:ind w:left="460" w:right="7960" w:firstLine="4"/>
        <w:spacing w:after="0" w:line="328" w:lineRule="auto"/>
        <w:tabs>
          <w:tab w:leader="none" w:pos="6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1,468,838</w:t>
      </w:r>
    </w:p>
    <w:p>
      <w:pPr>
        <w:spacing w:after="0" w:line="1" w:lineRule="exact"/>
        <w:rPr>
          <w:rFonts w:ascii="Arial" w:cs="Arial" w:eastAsia="Arial" w:hAnsi="Arial"/>
          <w:sz w:val="18"/>
          <w:szCs w:val="18"/>
          <w:color w:val="auto"/>
        </w:rPr>
      </w:pPr>
    </w:p>
    <w:p>
      <w:pPr>
        <w:ind w:left="460" w:right="7740" w:firstLine="4"/>
        <w:spacing w:after="0" w:line="328" w:lineRule="auto"/>
        <w:tabs>
          <w:tab w:leader="none" w:pos="7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4,215,597</w:t>
      </w:r>
    </w:p>
    <w:p>
      <w:pPr>
        <w:spacing w:after="0" w:line="1" w:lineRule="exact"/>
        <w:rPr>
          <w:rFonts w:ascii="Arial" w:cs="Arial" w:eastAsia="Arial" w:hAnsi="Arial"/>
          <w:sz w:val="18"/>
          <w:szCs w:val="18"/>
          <w:color w:val="auto"/>
        </w:rPr>
      </w:pPr>
    </w:p>
    <w:p>
      <w:pPr>
        <w:ind w:left="460" w:right="6980" w:firstLine="4"/>
        <w:spacing w:after="0" w:line="328" w:lineRule="auto"/>
        <w:tabs>
          <w:tab w:leader="none" w:pos="7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1,468,838</w:t>
      </w:r>
    </w:p>
    <w:p>
      <w:pPr>
        <w:spacing w:after="0" w:line="1" w:lineRule="exact"/>
        <w:rPr>
          <w:rFonts w:ascii="Arial" w:cs="Arial" w:eastAsia="Arial" w:hAnsi="Arial"/>
          <w:sz w:val="18"/>
          <w:szCs w:val="18"/>
          <w:color w:val="auto"/>
        </w:rPr>
      </w:pPr>
    </w:p>
    <w:p>
      <w:pPr>
        <w:ind w:left="460" w:right="6820"/>
        <w:spacing w:after="0" w:line="346" w:lineRule="auto"/>
        <w:rPr>
          <w:rFonts w:ascii="Arial" w:cs="Arial" w:eastAsia="Arial" w:hAnsi="Arial"/>
          <w:sz w:val="18"/>
          <w:szCs w:val="18"/>
          <w:color w:val="auto"/>
        </w:rPr>
      </w:pPr>
      <w:r>
        <w:rPr>
          <w:rFonts w:ascii="Arial" w:cs="Arial" w:eastAsia="Arial" w:hAnsi="Arial"/>
          <w:sz w:val="18"/>
          <w:szCs w:val="18"/>
          <w:color w:val="auto"/>
        </w:rPr>
        <w:t>(iv) Shared power to dispose or to direct the disposition of: 4,215,597</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1420"/>
          </w:cols>
          <w:pgMar w:left="240" w:top="274" w:right="23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that information set forth in this statement is true, complete and correct.</w:t>
      </w:r>
    </w:p>
    <w:p>
      <w:pPr>
        <w:spacing w:after="0" w:line="18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February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Name/Title</w:t>
      </w:r>
    </w:p>
    <w:p>
      <w:pPr>
        <w:spacing w:after="0" w:line="3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or attorney for this purpose which is already on file with the Commission may be incorporated by reference. The name and any title of each person who signs the statement shall be typed or printed beneath his signature.</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lvl w:ilvl="1">
      <w:lvlJc w:val="left"/>
      <w:lvlText w:val="(%2)"/>
      <w:numFmt w:val="lowerLetter"/>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9"/>
    </w:lvl>
  </w:abstractNum>
  <w:abstractNum w:abstractNumId="10">
    <w:nsid w:val="1190CDE7"/>
    <w:multiLevelType w:val="hybridMultilevel"/>
    <w:lvl w:ilvl="0">
      <w:lvlJc w:val="left"/>
      <w:lvlText w:val="(%1)"/>
      <w:numFmt w:val="lowerLetter"/>
      <w:start w:val="35"/>
    </w:lvl>
  </w:abstractNum>
  <w:abstractNum w:abstractNumId="11">
    <w:nsid w:val="66EF438D"/>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2019-12-14T18:11:35Z</dcterms:created>
  <dcterms:modified xsi:type="dcterms:W3CDTF">2019-12-14T18:11:35Z</dcterms:modified>
</cp:coreProperties>
</file>