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ectPr>
          <w:pgSz w:w="11900" w:h="16838" w:orient="portrait"/>
          <w:cols w:equalWidth="0" w:num="1">
            <w:col w:w="10220"/>
          </w:cols>
          <w:pgMar w:left="239" w:top="614" w:right="1440" w:bottom="1440" w:gutter="0" w:footer="0" w:header="0"/>
        </w:sectPr>
      </w:pP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sectPr>
          <w:pgSz w:w="11900" w:h="16838" w:orient="portrait"/>
          <w:cols w:equalWidth="0" w:num="2">
            <w:col w:w="301" w:space="180"/>
            <w:col w:w="973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6"/>
          <w:szCs w:val="16"/>
          <w:color w:val="auto"/>
        </w:rPr>
        <w:t>March 31, 2002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4"/>
          <w:szCs w:val="24"/>
          <w:color w:val="auto"/>
        </w:rPr>
      </w:pPr>
    </w:p>
    <w:p>
      <w:pPr>
        <w:sectPr>
          <w:pgSz w:w="11900" w:h="16838" w:orient="portrait"/>
          <w:cols w:equalWidth="0" w:num="2">
            <w:col w:w="2901" w:space="100"/>
            <w:col w:w="721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3239"/>
        <w:spacing w:after="0" w:line="248"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sectPr>
          <w:pgSz w:w="11900" w:h="16838" w:orient="portrait"/>
          <w:cols w:equalWidth="0" w:num="2">
            <w:col w:w="301" w:space="180"/>
            <w:col w:w="973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4"/>
          <w:szCs w:val="24"/>
          <w:color w:val="auto"/>
        </w:rPr>
      </w:pPr>
    </w:p>
    <w:p>
      <w:pPr>
        <w:sectPr>
          <w:pgSz w:w="11900" w:h="16838" w:orient="portrait"/>
          <w:cols w:equalWidth="0" w:num="2">
            <w:col w:w="4601" w:space="720"/>
            <w:col w:w="4899"/>
          </w:cols>
          <w:pgMar w:left="239" w:top="614" w:right="1440" w:bottom="1440" w:gutter="0" w:footer="0" w:header="0"/>
          <w:type w:val="continuous"/>
        </w:sect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ectPr>
          <w:pgSz w:w="11900" w:h="16838" w:orient="portrait"/>
          <w:cols w:equalWidth="0" w:num="2">
            <w:col w:w="5241" w:space="380"/>
            <w:col w:w="459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Commission file number:</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14" w:right="1440" w:bottom="1440" w:gutter="0" w:footer="0" w:header="0"/>
          <w:type w:val="continuous"/>
        </w:sectPr>
      </w:pP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2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p>
      <w:pPr>
        <w:ind w:left="1061"/>
        <w:spacing w:after="0"/>
        <w:tabs>
          <w:tab w:leader="none" w:pos="5220"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74-2961657</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tabs>
          <w:tab w:leader="none" w:pos="4920"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line="5" w:lineRule="exact"/>
        <w:rPr>
          <w:sz w:val="24"/>
          <w:szCs w:val="24"/>
          <w:color w:val="auto"/>
        </w:rPr>
      </w:pPr>
    </w:p>
    <w:p>
      <w:pPr>
        <w:ind w:left="101"/>
        <w:spacing w:after="0"/>
        <w:tabs>
          <w:tab w:leader="none" w:pos="5020"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191" w:lineRule="exact"/>
        <w:rPr>
          <w:sz w:val="24"/>
          <w:szCs w:val="24"/>
          <w:color w:val="auto"/>
        </w:rPr>
      </w:pPr>
    </w:p>
    <w:p>
      <w:pPr>
        <w:ind w:left="1"/>
        <w:spacing w:after="0"/>
        <w:tabs>
          <w:tab w:leader="none" w:pos="2300" w:val="left"/>
          <w:tab w:leader="none" w:pos="3460" w:val="left"/>
          <w:tab w:leader="none" w:pos="5500" w:val="left"/>
        </w:tabs>
        <w:rPr>
          <w:sz w:val="20"/>
          <w:szCs w:val="20"/>
          <w:color w:val="auto"/>
        </w:rPr>
      </w:pPr>
      <w:r>
        <w:rPr>
          <w:rFonts w:ascii="Courier New" w:cs="Courier New" w:eastAsia="Courier New" w:hAnsi="Courier New"/>
          <w:sz w:val="16"/>
          <w:szCs w:val="16"/>
          <w:color w:val="auto"/>
        </w:rPr>
        <w:t>11525 Stonehollow Dr.,</w:t>
        <w:tab/>
        <w:t>Suite 110,</w:t>
        <w:tab/>
        <w:t>Austin, Texas</w:t>
      </w:r>
      <w:r>
        <w:rPr>
          <w:sz w:val="20"/>
          <w:szCs w:val="20"/>
          <w:color w:val="auto"/>
        </w:rPr>
        <w:tab/>
      </w:r>
      <w:r>
        <w:rPr>
          <w:rFonts w:ascii="Courier New" w:cs="Courier New" w:eastAsia="Courier New" w:hAnsi="Courier New"/>
          <w:sz w:val="16"/>
          <w:szCs w:val="16"/>
          <w:color w:val="auto"/>
        </w:rPr>
        <w:t>78758</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1"/>
        <w:spacing w:after="0"/>
        <w:tabs>
          <w:tab w:leader="none" w:pos="53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8" w:lineRule="exact"/>
        <w:rPr>
          <w:sz w:val="24"/>
          <w:szCs w:val="24"/>
          <w:color w:val="auto"/>
        </w:rPr>
      </w:pPr>
    </w:p>
    <w:p>
      <w:pPr>
        <w:ind w:left="3781" w:hanging="583"/>
        <w:spacing w:after="0"/>
        <w:tabs>
          <w:tab w:leader="none" w:pos="37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836-6464</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(Former name, former address and former fiscal year, if changed since last</w:t>
      </w:r>
    </w:p>
    <w:p>
      <w:pPr>
        <w:spacing w:after="0" w:line="5"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report)</w:t>
            </w:r>
          </w:p>
        </w:tc>
        <w:tc>
          <w:tcPr>
            <w:tcW w:w="38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73"/>
        </w:trPr>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Indicate by check mark whether</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the registrant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has filed all reports</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required to be filed by</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Sections 13</w:t>
            </w:r>
          </w:p>
        </w:tc>
        <w:tc>
          <w:tcPr>
            <w:tcW w:w="4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or 15(d) of the Securities Exchange Act of</w:t>
            </w:r>
          </w:p>
        </w:tc>
      </w:tr>
      <w:tr>
        <w:trPr>
          <w:trHeight w:val="186"/>
        </w:trPr>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1934 during the preceding 12 months</w:t>
            </w:r>
          </w:p>
        </w:tc>
        <w:tc>
          <w:tcPr>
            <w:tcW w:w="43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(or for such shorter period that the</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registrant was required</w:t>
            </w:r>
          </w:p>
        </w:tc>
        <w:tc>
          <w:tcPr>
            <w:tcW w:w="2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file such reports), 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has been subject to such</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filing requirements for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the past 90</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days.</w:t>
            </w:r>
          </w:p>
        </w:tc>
        <w:tc>
          <w:tcPr>
            <w:tcW w:w="380" w:type="dxa"/>
            <w:vAlign w:val="bottom"/>
          </w:tcPr>
          <w:p>
            <w:pPr>
              <w:spacing w:after="0"/>
              <w:rPr>
                <w:sz w:val="16"/>
                <w:szCs w:val="16"/>
                <w:color w:val="auto"/>
              </w:rPr>
            </w:pPr>
          </w:p>
        </w:tc>
        <w:tc>
          <w:tcPr>
            <w:tcW w:w="2480" w:type="dxa"/>
            <w:vAlign w:val="bottom"/>
          </w:tcPr>
          <w:p>
            <w:pPr>
              <w:ind w:left="1120"/>
              <w:spacing w:after="0"/>
              <w:rPr>
                <w:sz w:val="20"/>
                <w:szCs w:val="20"/>
                <w:color w:val="auto"/>
              </w:rPr>
            </w:pPr>
            <w:r>
              <w:rPr>
                <w:rFonts w:ascii="Courier New" w:cs="Courier New" w:eastAsia="Courier New" w:hAnsi="Courier New"/>
                <w:sz w:val="16"/>
                <w:szCs w:val="16"/>
                <w:color w:val="auto"/>
                <w:w w:val="99"/>
              </w:rPr>
              <w:t>[X] Yes [_] No</w:t>
            </w:r>
          </w:p>
        </w:tc>
      </w:tr>
    </w:tbl>
    <w:p>
      <w:pPr>
        <w:spacing w:after="0" w:line="190"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APPLICABLE ONLY TO CORPORATE ISSUERS:</w:t>
      </w:r>
    </w:p>
    <w:p>
      <w:pPr>
        <w:spacing w:after="0" w:line="191" w:lineRule="exact"/>
        <w:rPr>
          <w:sz w:val="24"/>
          <w:szCs w:val="24"/>
          <w:color w:val="auto"/>
        </w:rPr>
      </w:pPr>
    </w:p>
    <w:p>
      <w:pPr>
        <w:ind w:left="1" w:right="2659" w:firstLine="484"/>
        <w:spacing w:after="0" w:line="2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84" w:lineRule="exact"/>
        <w:rPr>
          <w:sz w:val="24"/>
          <w:szCs w:val="24"/>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The number of shares of common stock as of March 31, 2002 was 40,990,798 with a par value of $.001 per share.</w:t>
      </w:r>
    </w:p>
    <w:p>
      <w:pPr>
        <w:spacing w:after="0" w:line="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614" w:right="1440" w:bottom="1440" w:gutter="0" w:footer="0" w:header="0"/>
          <w:type w:val="continuous"/>
        </w:sectPr>
      </w:pPr>
    </w:p>
    <w:bookmarkStart w:id="1" w:name="page2"/>
    <w:bookmarkEnd w:id="1"/>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INDEX</w:t>
      </w:r>
    </w:p>
    <w:p>
      <w:pPr>
        <w:spacing w:after="0" w:line="378"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PART I - FINANCIAL INFORMATION</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Item 1. Financial Statements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ind w:left="480"/>
        <w:spacing w:after="0"/>
        <w:tabs>
          <w:tab w:leader="dot" w:pos="7440" w:val="left"/>
        </w:tabs>
        <w:rPr>
          <w:sz w:val="20"/>
          <w:szCs w:val="20"/>
          <w:color w:val="auto"/>
        </w:rPr>
      </w:pPr>
      <w:r>
        <w:rPr>
          <w:rFonts w:ascii="Courier New" w:cs="Courier New" w:eastAsia="Courier New" w:hAnsi="Courier New"/>
          <w:sz w:val="16"/>
          <w:szCs w:val="16"/>
          <w:color w:val="auto"/>
        </w:rPr>
        <w:t>BALANCE SHEETS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ind w:left="480"/>
        <w:spacing w:after="0"/>
        <w:tabs>
          <w:tab w:leader="dot" w:pos="7440" w:val="left"/>
        </w:tabs>
        <w:rPr>
          <w:sz w:val="20"/>
          <w:szCs w:val="20"/>
          <w:color w:val="auto"/>
        </w:rPr>
      </w:pPr>
      <w:r>
        <w:rPr>
          <w:rFonts w:ascii="Courier New" w:cs="Courier New" w:eastAsia="Courier New" w:hAnsi="Courier New"/>
          <w:sz w:val="16"/>
          <w:szCs w:val="16"/>
          <w:color w:val="auto"/>
        </w:rPr>
        <w:t>STATEMENT OF OPERATIONS</w:t>
      </w:r>
      <w:r>
        <w:rPr>
          <w:sz w:val="20"/>
          <w:szCs w:val="20"/>
          <w:color w:val="auto"/>
        </w:rPr>
        <w:tab/>
      </w:r>
      <w:r>
        <w:rPr>
          <w:rFonts w:ascii="Courier New" w:cs="Courier New" w:eastAsia="Courier New" w:hAnsi="Courier New"/>
          <w:sz w:val="16"/>
          <w:szCs w:val="16"/>
          <w:color w:val="auto"/>
        </w:rPr>
        <w:t>2</w:t>
      </w:r>
    </w:p>
    <w:p>
      <w:pPr>
        <w:spacing w:after="0" w:line="191" w:lineRule="exact"/>
        <w:rPr>
          <w:sz w:val="20"/>
          <w:szCs w:val="20"/>
          <w:color w:val="auto"/>
        </w:rPr>
      </w:pPr>
    </w:p>
    <w:p>
      <w:pPr>
        <w:ind w:left="480"/>
        <w:spacing w:after="0"/>
        <w:tabs>
          <w:tab w:leader="dot" w:pos="7440" w:val="left"/>
        </w:tabs>
        <w:rPr>
          <w:sz w:val="20"/>
          <w:szCs w:val="20"/>
          <w:color w:val="auto"/>
        </w:rPr>
      </w:pPr>
      <w:r>
        <w:rPr>
          <w:rFonts w:ascii="Courier New" w:cs="Courier New" w:eastAsia="Courier New" w:hAnsi="Courier New"/>
          <w:sz w:val="16"/>
          <w:szCs w:val="16"/>
          <w:color w:val="auto"/>
        </w:rPr>
        <w:t>STATEMENT OF CASH FLOWS</w:t>
      </w:r>
      <w:r>
        <w:rPr>
          <w:sz w:val="20"/>
          <w:szCs w:val="20"/>
          <w:color w:val="auto"/>
        </w:rPr>
        <w:tab/>
      </w:r>
      <w:r>
        <w:rPr>
          <w:rFonts w:ascii="Courier New" w:cs="Courier New" w:eastAsia="Courier New" w:hAnsi="Courier New"/>
          <w:sz w:val="16"/>
          <w:szCs w:val="16"/>
          <w:color w:val="auto"/>
        </w:rPr>
        <w:t>3</w:t>
      </w:r>
    </w:p>
    <w:p>
      <w:pPr>
        <w:spacing w:after="0" w:line="191" w:lineRule="exact"/>
        <w:rPr>
          <w:sz w:val="20"/>
          <w:szCs w:val="20"/>
          <w:color w:val="auto"/>
        </w:rPr>
      </w:pPr>
    </w:p>
    <w:p>
      <w:pPr>
        <w:ind w:left="480"/>
        <w:spacing w:after="0"/>
        <w:tabs>
          <w:tab w:leader="dot" w:pos="7440" w:val="left"/>
        </w:tabs>
        <w:rPr>
          <w:sz w:val="20"/>
          <w:szCs w:val="20"/>
          <w:color w:val="auto"/>
        </w:rPr>
      </w:pPr>
      <w:r>
        <w:rPr>
          <w:rFonts w:ascii="Courier New" w:cs="Courier New" w:eastAsia="Courier New" w:hAnsi="Courier New"/>
          <w:sz w:val="16"/>
          <w:szCs w:val="16"/>
          <w:color w:val="auto"/>
        </w:rPr>
        <w:t>Notes to Financial Statements</w:t>
      </w:r>
      <w:r>
        <w:rPr>
          <w:sz w:val="20"/>
          <w:szCs w:val="20"/>
          <w:color w:val="auto"/>
        </w:rPr>
        <w:tab/>
      </w:r>
      <w:r>
        <w:rPr>
          <w:rFonts w:ascii="Courier New" w:cs="Courier New" w:eastAsia="Courier New" w:hAnsi="Courier New"/>
          <w:sz w:val="16"/>
          <w:szCs w:val="16"/>
          <w:color w:val="auto"/>
        </w:rPr>
        <w:t>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Management's Discussion and Analysis of Financial Condition and</w:t>
      </w:r>
    </w:p>
    <w:p>
      <w:pPr>
        <w:spacing w:after="0" w:line="5" w:lineRule="exact"/>
        <w:rPr>
          <w:sz w:val="20"/>
          <w:szCs w:val="20"/>
          <w:color w:val="auto"/>
        </w:rPr>
      </w:pPr>
    </w:p>
    <w:p>
      <w:pPr>
        <w:jc w:val="right"/>
        <w:ind w:right="2659"/>
        <w:spacing w:after="0"/>
        <w:tabs>
          <w:tab w:leader="dot" w:pos="80" w:val="left"/>
        </w:tabs>
        <w:rPr>
          <w:sz w:val="20"/>
          <w:szCs w:val="20"/>
          <w:color w:val="auto"/>
        </w:rPr>
      </w:pPr>
      <w:r>
        <w:rPr>
          <w:rFonts w:ascii="Courier New" w:cs="Courier New" w:eastAsia="Courier New" w:hAnsi="Courier New"/>
          <w:sz w:val="16"/>
          <w:szCs w:val="16"/>
          <w:color w:val="auto"/>
        </w:rPr>
        <w:t>Results of Operations</w:t>
      </w:r>
      <w:r>
        <w:rPr>
          <w:sz w:val="20"/>
          <w:szCs w:val="20"/>
          <w:color w:val="auto"/>
        </w:rPr>
        <w:tab/>
      </w:r>
      <w:r>
        <w:rPr>
          <w:rFonts w:ascii="Courier New" w:cs="Courier New" w:eastAsia="Courier New" w:hAnsi="Courier New"/>
          <w:sz w:val="16"/>
          <w:szCs w:val="16"/>
          <w:color w:val="auto"/>
        </w:rPr>
        <w:t>6</w:t>
      </w:r>
    </w:p>
    <w:p>
      <w:pPr>
        <w:spacing w:after="0" w:line="191" w:lineRule="exact"/>
        <w:rPr>
          <w:sz w:val="20"/>
          <w:szCs w:val="20"/>
          <w:color w:val="auto"/>
        </w:rPr>
      </w:pPr>
    </w:p>
    <w:p>
      <w:pPr>
        <w:ind w:left="480"/>
        <w:spacing w:after="0"/>
        <w:tabs>
          <w:tab w:leader="dot" w:pos="7340" w:val="left"/>
        </w:tabs>
        <w:rPr>
          <w:sz w:val="20"/>
          <w:szCs w:val="20"/>
          <w:color w:val="auto"/>
        </w:rPr>
      </w:pPr>
      <w:r>
        <w:rPr>
          <w:rFonts w:ascii="Courier New" w:cs="Courier New" w:eastAsia="Courier New" w:hAnsi="Courier New"/>
          <w:sz w:val="16"/>
          <w:szCs w:val="16"/>
          <w:color w:val="auto"/>
        </w:rPr>
        <w:t>Liquidity and Capital Resources</w:t>
      </w:r>
      <w:r>
        <w:rPr>
          <w:sz w:val="20"/>
          <w:szCs w:val="20"/>
          <w:color w:val="auto"/>
        </w:rPr>
        <w:tab/>
      </w:r>
      <w:r>
        <w:rPr>
          <w:rFonts w:ascii="Courier New" w:cs="Courier New" w:eastAsia="Courier New" w:hAnsi="Courier New"/>
          <w:sz w:val="16"/>
          <w:szCs w:val="16"/>
          <w:color w:val="auto"/>
        </w:rPr>
        <w:t>10</w:t>
      </w:r>
    </w:p>
    <w:p>
      <w:pPr>
        <w:spacing w:after="0" w:line="191" w:lineRule="exact"/>
        <w:rPr>
          <w:sz w:val="20"/>
          <w:szCs w:val="20"/>
          <w:color w:val="auto"/>
        </w:rPr>
      </w:pPr>
    </w:p>
    <w:p>
      <w:pPr>
        <w:ind w:left="480"/>
        <w:spacing w:after="0"/>
        <w:tabs>
          <w:tab w:leader="dot" w:pos="7340" w:val="left"/>
        </w:tabs>
        <w:rPr>
          <w:sz w:val="20"/>
          <w:szCs w:val="20"/>
          <w:color w:val="auto"/>
        </w:rPr>
      </w:pP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6"/>
          <w:szCs w:val="16"/>
          <w:color w:val="auto"/>
        </w:rPr>
        <w:t>10</w:t>
      </w:r>
    </w:p>
    <w:p>
      <w:pPr>
        <w:spacing w:after="0" w:line="191" w:lineRule="exact"/>
        <w:rPr>
          <w:sz w:val="20"/>
          <w:szCs w:val="20"/>
          <w:color w:val="auto"/>
        </w:rPr>
      </w:pPr>
    </w:p>
    <w:p>
      <w:pPr>
        <w:ind w:left="480"/>
        <w:spacing w:after="0"/>
        <w:tabs>
          <w:tab w:leader="dot" w:pos="7340" w:val="left"/>
        </w:tabs>
        <w:rPr>
          <w:sz w:val="20"/>
          <w:szCs w:val="20"/>
          <w:color w:val="auto"/>
        </w:rPr>
      </w:pPr>
      <w:r>
        <w:rPr>
          <w:rFonts w:ascii="Courier New" w:cs="Courier New" w:eastAsia="Courier New" w:hAnsi="Courier New"/>
          <w:sz w:val="16"/>
          <w:szCs w:val="16"/>
          <w:color w:val="auto"/>
        </w:rPr>
        <w:t>Risk Factors That May Affect Future Results</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3. Quantitative and Qualitative Disclosures About Market Risk</w:t>
      </w:r>
      <w:r>
        <w:rPr>
          <w:sz w:val="20"/>
          <w:szCs w:val="20"/>
          <w:color w:val="auto"/>
        </w:rPr>
        <w:tab/>
      </w:r>
      <w:r>
        <w:rPr>
          <w:rFonts w:ascii="Courier New" w:cs="Courier New" w:eastAsia="Courier New" w:hAnsi="Courier New"/>
          <w:sz w:val="16"/>
          <w:szCs w:val="16"/>
          <w:color w:val="auto"/>
        </w:rPr>
        <w:t>19</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PART II - OTHER INFORMATION</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1. Legal Proceedings</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2. Changes in Securities and Use of Proceeds</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3. Defaults Upon Senior Securities</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4. Submission of Matters to a Vote of Security Holders</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5. Other Information</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Item 6. Exhibits and Reports on Form 8-K</w:t>
      </w:r>
      <w:r>
        <w:rPr>
          <w:sz w:val="20"/>
          <w:szCs w:val="20"/>
          <w:color w:val="auto"/>
        </w:rPr>
        <w:tab/>
      </w:r>
      <w:r>
        <w:rPr>
          <w:rFonts w:ascii="Courier New" w:cs="Courier New" w:eastAsia="Courier New" w:hAnsi="Courier New"/>
          <w:sz w:val="16"/>
          <w:szCs w:val="16"/>
          <w:color w:val="auto"/>
        </w:rPr>
        <w:t>20</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7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FINANCIAL INFORMATION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91"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BALANCE SHEETS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March 31,</w:t>
            </w:r>
          </w:p>
        </w:tc>
        <w:tc>
          <w:tcPr>
            <w:tcW w:w="152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5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2002</w:t>
            </w:r>
          </w:p>
        </w:tc>
        <w:tc>
          <w:tcPr>
            <w:tcW w:w="50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spacing w:after="0"/>
              <w:rPr>
                <w:sz w:val="16"/>
                <w:szCs w:val="16"/>
                <w:color w:val="auto"/>
              </w:rPr>
            </w:pPr>
          </w:p>
        </w:tc>
        <w:tc>
          <w:tcPr>
            <w:tcW w:w="20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(unaudited)</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3"/>
        </w:trPr>
        <w:tc>
          <w:tcPr>
            <w:tcW w:w="5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5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74,567</w:t>
            </w:r>
          </w:p>
        </w:tc>
        <w:tc>
          <w:tcPr>
            <w:tcW w:w="5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80,401</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net</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2,741</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1,723</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Inventories, net</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7,763</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7,869</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Prepaid expenses and other</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1,002</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714</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ind w:left="980"/>
              <w:spacing w:after="0"/>
              <w:rPr>
                <w:sz w:val="20"/>
                <w:szCs w:val="20"/>
                <w:color w:val="auto"/>
              </w:rPr>
            </w:pPr>
            <w:r>
              <w:rPr>
                <w:rFonts w:ascii="Courier New" w:cs="Courier New" w:eastAsia="Courier New" w:hAnsi="Courier New"/>
                <w:sz w:val="16"/>
                <w:szCs w:val="16"/>
                <w:color w:val="auto"/>
              </w:rPr>
              <w:t>Total current assets</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86,073</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90,707</w:t>
            </w:r>
          </w:p>
        </w:tc>
      </w:tr>
      <w:tr>
        <w:trPr>
          <w:trHeight w:val="186"/>
        </w:trPr>
        <w:tc>
          <w:tcPr>
            <w:tcW w:w="568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16,149</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16,965</w:t>
            </w:r>
          </w:p>
        </w:tc>
      </w:tr>
      <w:tr>
        <w:trPr>
          <w:trHeight w:val="186"/>
        </w:trPr>
        <w:tc>
          <w:tcPr>
            <w:tcW w:w="5680" w:type="dxa"/>
            <w:vAlign w:val="bottom"/>
          </w:tcPr>
          <w:p>
            <w:pPr>
              <w:spacing w:after="0"/>
              <w:rPr>
                <w:sz w:val="20"/>
                <w:szCs w:val="20"/>
                <w:color w:val="auto"/>
              </w:rPr>
            </w:pPr>
            <w:r>
              <w:rPr>
                <w:rFonts w:ascii="Courier New" w:cs="Courier New" w:eastAsia="Courier New" w:hAnsi="Courier New"/>
                <w:sz w:val="16"/>
                <w:szCs w:val="16"/>
                <w:color w:val="auto"/>
              </w:rPr>
              <w:t>Long-term investments</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29,344</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31,704</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ind w:left="980"/>
              <w:spacing w:after="0"/>
              <w:rPr>
                <w:sz w:val="20"/>
                <w:szCs w:val="20"/>
                <w:color w:val="auto"/>
              </w:rPr>
            </w:pPr>
            <w:r>
              <w:rPr>
                <w:rFonts w:ascii="Courier New" w:cs="Courier New" w:eastAsia="Courier New" w:hAnsi="Courier New"/>
                <w:sz w:val="16"/>
                <w:szCs w:val="16"/>
                <w:color w:val="auto"/>
              </w:rPr>
              <w:t>Total assets</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131,566</w:t>
            </w:r>
          </w:p>
        </w:tc>
        <w:tc>
          <w:tcPr>
            <w:tcW w:w="5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139,376</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6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5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2,228</w:t>
            </w:r>
          </w:p>
        </w:tc>
        <w:tc>
          <w:tcPr>
            <w:tcW w:w="5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4,530</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2,925</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3,116</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5,153</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7,646</w:t>
            </w:r>
          </w:p>
        </w:tc>
      </w:tr>
      <w:tr>
        <w:trPr>
          <w:trHeight w:val="186"/>
        </w:trPr>
        <w:tc>
          <w:tcPr>
            <w:tcW w:w="56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Common Stock</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Treasury stock</w:t>
            </w:r>
          </w:p>
        </w:tc>
        <w:tc>
          <w:tcPr>
            <w:tcW w:w="7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Deferred stock compensation</w:t>
            </w:r>
          </w:p>
        </w:tc>
        <w:tc>
          <w:tcPr>
            <w:tcW w:w="7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(1,788)</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(2,575)</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Additional paid-in capital</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214,967</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214,637</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Accumulated deficit</w:t>
            </w:r>
          </w:p>
        </w:tc>
        <w:tc>
          <w:tcPr>
            <w:tcW w:w="7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(87,231)</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(80,692)</w:t>
            </w:r>
          </w:p>
        </w:tc>
      </w:tr>
      <w:tr>
        <w:trPr>
          <w:trHeight w:val="186"/>
        </w:trPr>
        <w:tc>
          <w:tcPr>
            <w:tcW w:w="5680" w:type="dxa"/>
            <w:vAlign w:val="bottom"/>
          </w:tcPr>
          <w:p>
            <w:pPr>
              <w:ind w:left="480"/>
              <w:spacing w:after="0"/>
              <w:rPr>
                <w:sz w:val="20"/>
                <w:szCs w:val="20"/>
                <w:color w:val="auto"/>
              </w:rPr>
            </w:pPr>
            <w:r>
              <w:rPr>
                <w:rFonts w:ascii="Courier New" w:cs="Courier New" w:eastAsia="Courier New" w:hAnsi="Courier New"/>
                <w:sz w:val="16"/>
                <w:szCs w:val="16"/>
                <w:color w:val="auto"/>
              </w:rPr>
              <w:t>Other accumulated comprehensive income</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426</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ind w:left="980"/>
              <w:spacing w:after="0"/>
              <w:rPr>
                <w:sz w:val="20"/>
                <w:szCs w:val="20"/>
                <w:color w:val="auto"/>
              </w:rPr>
            </w:pPr>
            <w:r>
              <w:rPr>
                <w:rFonts w:ascii="Courier New" w:cs="Courier New" w:eastAsia="Courier New" w:hAnsi="Courier New"/>
                <w:sz w:val="16"/>
                <w:szCs w:val="16"/>
                <w:color w:val="auto"/>
              </w:rPr>
              <w:t>Total stockholders' equity</w:t>
            </w:r>
          </w:p>
        </w:tc>
        <w:tc>
          <w:tcPr>
            <w:tcW w:w="72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126,413</w:t>
            </w:r>
          </w:p>
        </w:tc>
        <w:tc>
          <w:tcPr>
            <w:tcW w:w="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131,730</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680" w:type="dxa"/>
            <w:vAlign w:val="bottom"/>
          </w:tcPr>
          <w:p>
            <w:pPr>
              <w:ind w:left="9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131,566</w:t>
            </w:r>
          </w:p>
        </w:tc>
        <w:tc>
          <w:tcPr>
            <w:tcW w:w="5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139,376</w:t>
            </w:r>
          </w:p>
        </w:tc>
      </w:tr>
      <w:tr>
        <w:trPr>
          <w:trHeight w:val="186"/>
        </w:trPr>
        <w:tc>
          <w:tcPr>
            <w:tcW w:w="5680" w:type="dxa"/>
            <w:vAlign w:val="bottom"/>
          </w:tcPr>
          <w:p>
            <w:pPr>
              <w:spacing w:after="0"/>
              <w:rPr>
                <w:sz w:val="16"/>
                <w:szCs w:val="16"/>
                <w:color w:val="auto"/>
              </w:rPr>
            </w:pPr>
          </w:p>
        </w:tc>
        <w:tc>
          <w:tcPr>
            <w:tcW w:w="20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80"/>
          </w:cols>
          <w:pgMar w:left="240" w:top="676" w:right="1379" w:bottom="1440" w:gutter="0" w:footer="0" w:header="0"/>
        </w:sectPr>
      </w:pPr>
    </w:p>
    <w:bookmarkStart w:id="3" w:name="page4"/>
    <w:bookmarkEnd w:id="3"/>
    <w:p>
      <w:pPr>
        <w:ind w:left="2520"/>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STATEMENT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60" w:type="dxa"/>
            <w:vAlign w:val="bottom"/>
          </w:tcPr>
          <w:p>
            <w:pPr>
              <w:ind w:left="980"/>
              <w:spacing w:after="0"/>
              <w:rPr>
                <w:sz w:val="20"/>
                <w:szCs w:val="20"/>
                <w:color w:val="auto"/>
              </w:rPr>
            </w:pPr>
            <w:r>
              <w:rPr>
                <w:rFonts w:ascii="Courier New" w:cs="Courier New" w:eastAsia="Courier New" w:hAnsi="Courier New"/>
                <w:sz w:val="16"/>
                <w:szCs w:val="16"/>
                <w:color w:val="auto"/>
              </w:rPr>
              <w:t>(in thousands, except share and per share amounts)</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932"/>
        </w:trPr>
        <w:tc>
          <w:tcPr>
            <w:tcW w:w="6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Three Months Ended March 31,</w:t>
            </w:r>
          </w:p>
        </w:tc>
      </w:tr>
      <w:tr>
        <w:trPr>
          <w:trHeight w:val="186"/>
        </w:trPr>
        <w:tc>
          <w:tcPr>
            <w:tcW w:w="6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6"/>
                <w:szCs w:val="16"/>
                <w:color w:val="auto"/>
              </w:rPr>
              <w:t>(unaudited)</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Product revenue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5,107</w:t>
            </w: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Development contract</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1,000</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ind w:left="980"/>
              <w:spacing w:after="0"/>
              <w:rPr>
                <w:sz w:val="20"/>
                <w:szCs w:val="20"/>
                <w:color w:val="auto"/>
              </w:rPr>
            </w:pPr>
            <w:r>
              <w:rPr>
                <w:rFonts w:ascii="Courier New" w:cs="Courier New" w:eastAsia="Courier New" w:hAnsi="Courier New"/>
                <w:sz w:val="16"/>
                <w:szCs w:val="16"/>
                <w:color w:val="auto"/>
              </w:rPr>
              <w:t>Total revenue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5,107</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Cost of product revenue</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4,471</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6,513</w:t>
            </w: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Cost of development contract</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741</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2,611</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3,543</w:t>
            </w: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Selling, general &amp; administrative</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3,143</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2,741</w:t>
            </w:r>
          </w:p>
        </w:tc>
      </w:tr>
      <w:tr>
        <w:trPr>
          <w:trHeight w:val="186"/>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628</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1,287</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ind w:left="980"/>
              <w:spacing w:after="0"/>
              <w:rPr>
                <w:sz w:val="20"/>
                <w:szCs w:val="20"/>
                <w:color w:val="auto"/>
              </w:rPr>
            </w:pPr>
            <w:r>
              <w:rPr>
                <w:rFonts w:ascii="Courier New" w:cs="Courier New" w:eastAsia="Courier New" w:hAnsi="Courier New"/>
                <w:sz w:val="16"/>
                <w:szCs w:val="16"/>
                <w:color w:val="auto"/>
              </w:rPr>
              <w:t>Total operating expenses</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11,594</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14,084</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440" w:type="dxa"/>
            <w:vAlign w:val="bottom"/>
          </w:tcPr>
          <w:p>
            <w:pPr>
              <w:spacing w:after="0"/>
              <w:rPr>
                <w:sz w:val="24"/>
                <w:szCs w:val="24"/>
                <w:color w:val="auto"/>
              </w:rPr>
            </w:pP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(7,463)</w:t>
            </w: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(8,977)</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905</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2,238</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loss to common stockholders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(6,539)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(6,715)</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loss per share, basic &amp; diluted</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(0.17)</w:t>
            </w:r>
          </w:p>
        </w:tc>
      </w:tr>
      <w:tr>
        <w:trPr>
          <w:trHeight w:val="186"/>
        </w:trPr>
        <w:tc>
          <w:tcPr>
            <w:tcW w:w="616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 share, basic &amp; diluted</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7"/>
              </w:rPr>
              <w:t>40,846,577</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38,906,882</w:t>
            </w:r>
          </w:p>
        </w:tc>
      </w:tr>
      <w:tr>
        <w:trPr>
          <w:trHeight w:val="3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Net loss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(6,539)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(6,715)</w:t>
            </w:r>
          </w:p>
        </w:tc>
      </w:tr>
      <w:tr>
        <w:trPr>
          <w:trHeight w:val="186"/>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Unrealized gain/loss - investments</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105</w:t>
            </w:r>
          </w:p>
        </w:tc>
        <w:tc>
          <w:tcPr>
            <w:tcW w:w="34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Comprehensive income (loss)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(6,434)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(6,715)</w:t>
            </w:r>
          </w:p>
        </w:tc>
      </w:tr>
      <w:tr>
        <w:trPr>
          <w:trHeight w:val="186"/>
        </w:trPr>
        <w:tc>
          <w:tcPr>
            <w:tcW w:w="61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39"/>
          </w:cols>
          <w:pgMar w:left="720" w:top="676" w:right="1440" w:bottom="1440" w:gutter="0" w:footer="0" w:header="0"/>
        </w:sectPr>
      </w:pPr>
    </w:p>
    <w:bookmarkStart w:id="4" w:name="page5"/>
    <w:bookmarkEnd w:id="4"/>
    <w:p>
      <w:pPr>
        <w:ind w:left="2520"/>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STATEMENT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ind w:left="2720"/>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932"/>
        </w:trPr>
        <w:tc>
          <w:tcPr>
            <w:tcW w:w="7760" w:type="dxa"/>
            <w:vAlign w:val="bottom"/>
          </w:tcPr>
          <w:p>
            <w:pPr>
              <w:spacing w:after="0"/>
              <w:rPr>
                <w:sz w:val="24"/>
                <w:szCs w:val="24"/>
                <w:color w:val="auto"/>
              </w:rPr>
            </w:pPr>
          </w:p>
        </w:tc>
        <w:tc>
          <w:tcPr>
            <w:tcW w:w="3280" w:type="dxa"/>
            <w:vAlign w:val="bottom"/>
            <w:gridSpan w:val="3"/>
          </w:tcPr>
          <w:p>
            <w:pPr>
              <w:ind w:left="580"/>
              <w:spacing w:after="0"/>
              <w:rPr>
                <w:sz w:val="20"/>
                <w:szCs w:val="20"/>
                <w:color w:val="auto"/>
              </w:rPr>
            </w:pPr>
            <w:r>
              <w:rPr>
                <w:rFonts w:ascii="Courier New" w:cs="Courier New" w:eastAsia="Courier New" w:hAnsi="Courier New"/>
                <w:sz w:val="16"/>
                <w:szCs w:val="16"/>
                <w:color w:val="auto"/>
                <w:w w:val="99"/>
              </w:rPr>
              <w:t>Three Months Ended March 31,</w:t>
            </w:r>
          </w:p>
        </w:tc>
      </w:tr>
      <w:tr>
        <w:trPr>
          <w:trHeight w:val="186"/>
        </w:trPr>
        <w:tc>
          <w:tcPr>
            <w:tcW w:w="7760" w:type="dxa"/>
            <w:vAlign w:val="bottom"/>
          </w:tcPr>
          <w:p>
            <w:pPr>
              <w:spacing w:after="0"/>
              <w:rPr>
                <w:sz w:val="16"/>
                <w:szCs w:val="16"/>
                <w:color w:val="auto"/>
              </w:rPr>
            </w:pPr>
          </w:p>
        </w:tc>
        <w:tc>
          <w:tcPr>
            <w:tcW w:w="3280" w:type="dxa"/>
            <w:vAlign w:val="bottom"/>
            <w:gridSpan w:val="3"/>
          </w:tcPr>
          <w:p>
            <w:pPr>
              <w:ind w:left="58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7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16"/>
                <w:szCs w:val="16"/>
                <w:color w:val="auto"/>
              </w:rPr>
            </w:pPr>
          </w:p>
        </w:tc>
        <w:tc>
          <w:tcPr>
            <w:tcW w:w="18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(unaudited)</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r>
      <w:tr>
        <w:trPr>
          <w:trHeight w:val="373"/>
        </w:trPr>
        <w:tc>
          <w:tcPr>
            <w:tcW w:w="77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(6,539)</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(6,715)</w:t>
            </w:r>
          </w:p>
        </w:tc>
      </w:tr>
      <w:tr>
        <w:trPr>
          <w:trHeight w:val="186"/>
        </w:trPr>
        <w:tc>
          <w:tcPr>
            <w:tcW w:w="7760" w:type="dxa"/>
            <w:vAlign w:val="bottom"/>
          </w:tcPr>
          <w:p>
            <w:pPr>
              <w:ind w:left="400"/>
              <w:spacing w:after="0"/>
              <w:rPr>
                <w:sz w:val="20"/>
                <w:szCs w:val="20"/>
                <w:color w:val="auto"/>
              </w:rPr>
            </w:pPr>
            <w:r>
              <w:rPr>
                <w:rFonts w:ascii="Courier New" w:cs="Courier New" w:eastAsia="Courier New" w:hAnsi="Courier New"/>
                <w:sz w:val="16"/>
                <w:szCs w:val="16"/>
                <w:color w:val="auto"/>
              </w:rPr>
              <w:t>Adjustment to reconcile net loss to cash used in operating activities:</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7760" w:type="dxa"/>
            <w:vAlign w:val="bottom"/>
          </w:tcPr>
          <w:p>
            <w:pPr>
              <w:ind w:left="400"/>
              <w:spacing w:after="0"/>
              <w:rPr>
                <w:sz w:val="20"/>
                <w:szCs w:val="20"/>
                <w:color w:val="auto"/>
              </w:rPr>
            </w:pPr>
            <w:r>
              <w:rPr>
                <w:rFonts w:ascii="Courier New" w:cs="Courier New" w:eastAsia="Courier New" w:hAnsi="Courier New"/>
                <w:sz w:val="16"/>
                <w:szCs w:val="16"/>
                <w:color w:val="auto"/>
              </w:rPr>
              <w:t>Depreciation expense</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937</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500</w:t>
            </w:r>
          </w:p>
        </w:tc>
      </w:tr>
      <w:tr>
        <w:trPr>
          <w:trHeight w:val="186"/>
        </w:trPr>
        <w:tc>
          <w:tcPr>
            <w:tcW w:w="7760" w:type="dxa"/>
            <w:vAlign w:val="bottom"/>
          </w:tcPr>
          <w:p>
            <w:pPr>
              <w:ind w:left="400"/>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628</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1,287</w:t>
            </w:r>
          </w:p>
        </w:tc>
      </w:tr>
      <w:tr>
        <w:trPr>
          <w:trHeight w:val="186"/>
        </w:trPr>
        <w:tc>
          <w:tcPr>
            <w:tcW w:w="7760" w:type="dxa"/>
            <w:vAlign w:val="bottom"/>
          </w:tcPr>
          <w:p>
            <w:pPr>
              <w:ind w:left="400"/>
              <w:spacing w:after="0"/>
              <w:rPr>
                <w:sz w:val="20"/>
                <w:szCs w:val="20"/>
                <w:color w:val="auto"/>
              </w:rPr>
            </w:pPr>
            <w:r>
              <w:rPr>
                <w:rFonts w:ascii="Courier New" w:cs="Courier New" w:eastAsia="Courier New" w:hAnsi="Courier New"/>
                <w:sz w:val="16"/>
                <w:szCs w:val="16"/>
                <w:color w:val="auto"/>
              </w:rPr>
              <w:t>Unrealized gain on available-for-sale investments</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ind w:left="4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7760" w:type="dxa"/>
            <w:vAlign w:val="bottom"/>
          </w:tcPr>
          <w:p>
            <w:pPr>
              <w:ind w:left="880"/>
              <w:spacing w:after="0"/>
              <w:rPr>
                <w:sz w:val="20"/>
                <w:szCs w:val="20"/>
                <w:color w:val="auto"/>
              </w:rPr>
            </w:pPr>
            <w:r>
              <w:rPr>
                <w:rFonts w:ascii="Courier New" w:cs="Courier New" w:eastAsia="Courier New" w:hAnsi="Courier New"/>
                <w:sz w:val="16"/>
                <w:szCs w:val="16"/>
                <w:color w:val="auto"/>
              </w:rPr>
              <w:t>Accounts receivable, net</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(1,714)</w:t>
            </w:r>
          </w:p>
        </w:tc>
      </w:tr>
      <w:tr>
        <w:trPr>
          <w:trHeight w:val="186"/>
        </w:trPr>
        <w:tc>
          <w:tcPr>
            <w:tcW w:w="7760" w:type="dxa"/>
            <w:vAlign w:val="bottom"/>
          </w:tcPr>
          <w:p>
            <w:pPr>
              <w:ind w:left="880"/>
              <w:spacing w:after="0"/>
              <w:rPr>
                <w:sz w:val="20"/>
                <w:szCs w:val="20"/>
                <w:color w:val="auto"/>
              </w:rPr>
            </w:pPr>
            <w:r>
              <w:rPr>
                <w:rFonts w:ascii="Courier New" w:cs="Courier New" w:eastAsia="Courier New" w:hAnsi="Courier New"/>
                <w:sz w:val="16"/>
                <w:szCs w:val="16"/>
                <w:color w:val="auto"/>
              </w:rPr>
              <w:t>Inventories, net</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(1,689)</w:t>
            </w:r>
          </w:p>
        </w:tc>
      </w:tr>
      <w:tr>
        <w:trPr>
          <w:trHeight w:val="186"/>
        </w:trPr>
        <w:tc>
          <w:tcPr>
            <w:tcW w:w="7760" w:type="dxa"/>
            <w:vAlign w:val="bottom"/>
          </w:tcPr>
          <w:p>
            <w:pPr>
              <w:ind w:left="880"/>
              <w:spacing w:after="0"/>
              <w:rPr>
                <w:sz w:val="20"/>
                <w:szCs w:val="20"/>
                <w:color w:val="auto"/>
              </w:rPr>
            </w:pPr>
            <w:r>
              <w:rPr>
                <w:rFonts w:ascii="Courier New" w:cs="Courier New" w:eastAsia="Courier New" w:hAnsi="Courier New"/>
                <w:sz w:val="16"/>
                <w:szCs w:val="16"/>
                <w:color w:val="auto"/>
              </w:rPr>
              <w:t>Prepaid expenses and other assets</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(653)</w:t>
            </w:r>
          </w:p>
        </w:tc>
      </w:tr>
      <w:tr>
        <w:trPr>
          <w:trHeight w:val="186"/>
        </w:trPr>
        <w:tc>
          <w:tcPr>
            <w:tcW w:w="7760" w:type="dxa"/>
            <w:vAlign w:val="bottom"/>
          </w:tcPr>
          <w:p>
            <w:pPr>
              <w:ind w:left="880"/>
              <w:spacing w:after="0"/>
              <w:rPr>
                <w:sz w:val="20"/>
                <w:szCs w:val="20"/>
                <w:color w:val="auto"/>
              </w:rPr>
            </w:pPr>
            <w:r>
              <w:rPr>
                <w:rFonts w:ascii="Courier New" w:cs="Courier New" w:eastAsia="Courier New" w:hAnsi="Courier New"/>
                <w:sz w:val="16"/>
                <w:szCs w:val="16"/>
                <w:color w:val="auto"/>
              </w:rPr>
              <w:t>Accounts payable</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(2,302)</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704</w:t>
            </w:r>
          </w:p>
        </w:tc>
      </w:tr>
      <w:tr>
        <w:trPr>
          <w:trHeight w:val="186"/>
        </w:trPr>
        <w:tc>
          <w:tcPr>
            <w:tcW w:w="7760" w:type="dxa"/>
            <w:vAlign w:val="bottom"/>
          </w:tcPr>
          <w:p>
            <w:pPr>
              <w:ind w:left="880"/>
              <w:spacing w:after="0"/>
              <w:rPr>
                <w:sz w:val="20"/>
                <w:szCs w:val="20"/>
                <w:color w:val="auto"/>
              </w:rPr>
            </w:pPr>
            <w:r>
              <w:rPr>
                <w:rFonts w:ascii="Courier New" w:cs="Courier New" w:eastAsia="Courier New" w:hAnsi="Courier New"/>
                <w:sz w:val="16"/>
                <w:szCs w:val="16"/>
                <w:color w:val="auto"/>
              </w:rPr>
              <w:t>Accrued expenses</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(71)</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(8,560)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(8,351)</w:t>
            </w:r>
          </w:p>
        </w:tc>
      </w:tr>
      <w:tr>
        <w:trPr>
          <w:trHeight w:val="373"/>
        </w:trPr>
        <w:tc>
          <w:tcPr>
            <w:tcW w:w="77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maturity (purchase) of short-term investments</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2,361</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16,603</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Purchases of property and equipment</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(1,549)</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cash provided by investing activities</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2,239</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15,054</w:t>
            </w:r>
          </w:p>
        </w:tc>
      </w:tr>
      <w:tr>
        <w:trPr>
          <w:trHeight w:val="373"/>
        </w:trPr>
        <w:tc>
          <w:tcPr>
            <w:tcW w:w="77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proceeds from issuance of common stock</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487</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700</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487</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700</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9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(5,834)</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7,403</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92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80,401</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92,720</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74,567</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100,123</w:t>
            </w:r>
          </w:p>
        </w:tc>
      </w:tr>
      <w:tr>
        <w:trPr>
          <w:trHeight w:val="186"/>
        </w:trPr>
        <w:tc>
          <w:tcPr>
            <w:tcW w:w="7760" w:type="dxa"/>
            <w:vAlign w:val="bottom"/>
          </w:tcPr>
          <w:p>
            <w:pPr>
              <w:spacing w:after="0"/>
              <w:rPr>
                <w:sz w:val="16"/>
                <w:szCs w:val="16"/>
                <w:color w:val="auto"/>
              </w:rPr>
            </w:pPr>
          </w:p>
        </w:tc>
        <w:tc>
          <w:tcPr>
            <w:tcW w:w="18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040"/>
          </w:cols>
          <w:pgMar w:left="720" w:top="676" w:right="139" w:bottom="1440" w:gutter="0" w:footer="0" w:header="0"/>
        </w:sectPr>
      </w:pPr>
    </w:p>
    <w:bookmarkStart w:id="5" w:name="page6"/>
    <w:bookmarkEnd w:id="5"/>
    <w:p>
      <w:pPr>
        <w:ind w:left="3001"/>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March 31, 2002</w:t>
      </w:r>
    </w:p>
    <w:p>
      <w:pPr>
        <w:spacing w:after="0" w:line="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(unaudited)</w:t>
      </w:r>
    </w:p>
    <w:p>
      <w:pPr>
        <w:spacing w:after="0" w:line="378"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intellectual property, successful production of our initial prototypes, raising capital and pursuing markets for our flywheel-based power quality and energy storage products. In 2000 and 2001, we expanded the size and scope of our operations considerably. We raised our level of new product development expenditures, increased our manufacturing capabilities and capacity, and added resources in sales and service to strengthen our distribution channels.</w:t>
      </w:r>
    </w:p>
    <w:p>
      <w:pPr>
        <w:spacing w:after="0" w:line="192" w:lineRule="exact"/>
        <w:rPr>
          <w:sz w:val="20"/>
          <w:szCs w:val="20"/>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ending December 31, 2001.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93"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Active Power states inventories at the lower of cost or replacement cost, with cost being determined on a standard cost basis, which does not differ materially from actual cost.</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Inventories consist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March 31,</w:t>
            </w:r>
          </w:p>
        </w:tc>
        <w:tc>
          <w:tcPr>
            <w:tcW w:w="16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2002</w:t>
            </w:r>
          </w:p>
        </w:tc>
        <w:tc>
          <w:tcPr>
            <w:tcW w:w="58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3140" w:type="dxa"/>
            <w:vAlign w:val="bottom"/>
          </w:tcPr>
          <w:p>
            <w:pPr>
              <w:spacing w:after="0"/>
              <w:rPr>
                <w:sz w:val="16"/>
                <w:szCs w:val="16"/>
                <w:color w:val="auto"/>
              </w:rPr>
            </w:pPr>
          </w:p>
        </w:tc>
        <w:tc>
          <w:tcPr>
            <w:tcW w:w="18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4,579,495</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4,326,357</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34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3,657,318</w:t>
            </w:r>
          </w:p>
        </w:tc>
        <w:tc>
          <w:tcPr>
            <w:tcW w:w="5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3,923,040</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34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596,593</w:t>
            </w:r>
          </w:p>
        </w:tc>
        <w:tc>
          <w:tcPr>
            <w:tcW w:w="5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190,718</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Less Reserves.................</w:t>
            </w:r>
          </w:p>
        </w:tc>
        <w:tc>
          <w:tcPr>
            <w:tcW w:w="34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(1,070,756)</w:t>
            </w:r>
          </w:p>
        </w:tc>
        <w:tc>
          <w:tcPr>
            <w:tcW w:w="5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(570,756)</w:t>
            </w:r>
          </w:p>
        </w:tc>
      </w:tr>
      <w:tr>
        <w:trPr>
          <w:trHeight w:val="186"/>
        </w:trPr>
        <w:tc>
          <w:tcPr>
            <w:tcW w:w="3140" w:type="dxa"/>
            <w:vAlign w:val="bottom"/>
          </w:tcPr>
          <w:p>
            <w:pPr>
              <w:spacing w:after="0"/>
              <w:rPr>
                <w:sz w:val="16"/>
                <w:szCs w:val="16"/>
                <w:color w:val="auto"/>
              </w:rPr>
            </w:pPr>
          </w:p>
        </w:tc>
        <w:tc>
          <w:tcPr>
            <w:tcW w:w="18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7,762,650</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7,869,359</w:t>
            </w:r>
          </w:p>
        </w:tc>
      </w:tr>
      <w:tr>
        <w:trPr>
          <w:trHeight w:val="186"/>
        </w:trPr>
        <w:tc>
          <w:tcPr>
            <w:tcW w:w="3140" w:type="dxa"/>
            <w:vAlign w:val="bottom"/>
          </w:tcPr>
          <w:p>
            <w:pPr>
              <w:spacing w:after="0"/>
              <w:rPr>
                <w:sz w:val="16"/>
                <w:szCs w:val="16"/>
                <w:color w:val="auto"/>
              </w:rPr>
            </w:pPr>
          </w:p>
        </w:tc>
        <w:tc>
          <w:tcPr>
            <w:tcW w:w="18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During the quarter ended March 31, 2002 we increased our inventory reserve to recognize the potential obsolescence of component parts that are at risk of becoming obsolete when various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1440" w:gutter="0" w:footer="0" w:header="0"/>
        </w:sectPr>
      </w:pPr>
    </w:p>
    <w:bookmarkStart w:id="6" w:name="page7"/>
    <w:bookmarkEnd w:id="6"/>
    <w:p>
      <w:pPr>
        <w:ind w:left="1" w:right="3439"/>
        <w:spacing w:after="0" w:line="248" w:lineRule="auto"/>
        <w:rPr>
          <w:sz w:val="20"/>
          <w:szCs w:val="20"/>
          <w:color w:val="auto"/>
        </w:rPr>
      </w:pPr>
      <w:r>
        <w:rPr>
          <w:rFonts w:ascii="Courier New" w:cs="Courier New" w:eastAsia="Courier New" w:hAnsi="Courier New"/>
          <w:sz w:val="16"/>
          <w:szCs w:val="16"/>
          <w:color w:val="auto"/>
        </w:rPr>
        <w:t>engineering product enhancements and cost reduction design changes are implemented over the next 12 months.</w:t>
      </w:r>
    </w:p>
    <w:p>
      <w:pPr>
        <w:spacing w:after="0" w:line="184"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w:t>
      </w:r>
    </w:p>
    <w:p>
      <w:pPr>
        <w:spacing w:after="0" w:line="191" w:lineRule="exact"/>
        <w:rPr>
          <w:sz w:val="20"/>
          <w:szCs w:val="20"/>
          <w:color w:val="auto"/>
        </w:rPr>
      </w:pPr>
    </w:p>
    <w:p>
      <w:pPr>
        <w:ind w:left="1" w:right="2859" w:firstLine="484"/>
        <w:spacing w:after="0" w:line="248" w:lineRule="auto"/>
        <w:rPr>
          <w:sz w:val="20"/>
          <w:szCs w:val="20"/>
          <w:color w:val="auto"/>
        </w:rPr>
      </w:pPr>
      <w:r>
        <w:rPr>
          <w:rFonts w:ascii="Courier New" w:cs="Courier New" w:eastAsia="Courier New" w:hAnsi="Courier New"/>
          <w:sz w:val="16"/>
          <w:szCs w:val="16"/>
          <w:color w:val="auto"/>
        </w:rPr>
        <w:t>The following table sets forth the computation of basic and diluted net loss per share:</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306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Three Months Ended March 31,</w:t>
            </w:r>
          </w:p>
        </w:tc>
      </w:tr>
      <w:tr>
        <w:trPr>
          <w:trHeight w:val="186"/>
        </w:trPr>
        <w:tc>
          <w:tcPr>
            <w:tcW w:w="6240" w:type="dxa"/>
            <w:vAlign w:val="bottom"/>
          </w:tcPr>
          <w:p>
            <w:pPr>
              <w:spacing w:after="0"/>
              <w:rPr>
                <w:sz w:val="16"/>
                <w:szCs w:val="16"/>
                <w:color w:val="auto"/>
              </w:rPr>
            </w:pPr>
          </w:p>
        </w:tc>
        <w:tc>
          <w:tcPr>
            <w:tcW w:w="306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6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3"/>
        </w:trPr>
        <w:tc>
          <w:tcPr>
            <w:tcW w:w="62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Net loss to common stockholders (thousands) ...................</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(6,539)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(6,715)</w:t>
            </w: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Basic and diluted:</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6240" w:type="dxa"/>
            <w:vAlign w:val="bottom"/>
          </w:tcPr>
          <w:p>
            <w:pPr>
              <w:jc w:val="right"/>
              <w:ind w:right="1999"/>
              <w:spacing w:after="0"/>
              <w:rPr>
                <w:sz w:val="20"/>
                <w:szCs w:val="20"/>
                <w:color w:val="auto"/>
              </w:rPr>
            </w:pPr>
            <w:r>
              <w:rPr>
                <w:rFonts w:ascii="Courier New" w:cs="Courier New" w:eastAsia="Courier New" w:hAnsi="Courier New"/>
                <w:sz w:val="16"/>
                <w:szCs w:val="16"/>
                <w:color w:val="auto"/>
              </w:rPr>
              <w:t>Weighted-average shares of common stock</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62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outstanding ............................................</w:t>
            </w: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40,920,118</w:t>
            </w:r>
          </w:p>
        </w:tc>
        <w:tc>
          <w:tcPr>
            <w:tcW w:w="1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39,262,431</w:t>
            </w:r>
          </w:p>
        </w:tc>
      </w:tr>
      <w:tr>
        <w:trPr>
          <w:trHeight w:val="186"/>
        </w:trPr>
        <w:tc>
          <w:tcPr>
            <w:tcW w:w="6240" w:type="dxa"/>
            <w:vAlign w:val="bottom"/>
          </w:tcPr>
          <w:p>
            <w:pPr>
              <w:jc w:val="right"/>
              <w:ind w:right="1999"/>
              <w:spacing w:after="0"/>
              <w:rPr>
                <w:sz w:val="20"/>
                <w:szCs w:val="20"/>
                <w:color w:val="auto"/>
              </w:rPr>
            </w:pPr>
            <w:r>
              <w:rPr>
                <w:rFonts w:ascii="Courier New" w:cs="Courier New" w:eastAsia="Courier New" w:hAnsi="Courier New"/>
                <w:sz w:val="16"/>
                <w:szCs w:val="16"/>
                <w:color w:val="auto"/>
              </w:rPr>
              <w:t>Weighted-average shares of common stock</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62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subject to repurchase ..................................</w:t>
            </w:r>
          </w:p>
        </w:tc>
        <w:tc>
          <w:tcPr>
            <w:tcW w:w="54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(73,541)</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(355,549)</w:t>
            </w:r>
          </w:p>
        </w:tc>
      </w:tr>
      <w:tr>
        <w:trPr>
          <w:trHeight w:val="186"/>
        </w:trPr>
        <w:tc>
          <w:tcPr>
            <w:tcW w:w="62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24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 and diluted net</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62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loss per share ............................................</w:t>
            </w: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40,846,577</w:t>
            </w:r>
          </w:p>
        </w:tc>
        <w:tc>
          <w:tcPr>
            <w:tcW w:w="1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38,906,882</w:t>
            </w:r>
          </w:p>
        </w:tc>
      </w:tr>
      <w:tr>
        <w:trPr>
          <w:trHeight w:val="186"/>
        </w:trPr>
        <w:tc>
          <w:tcPr>
            <w:tcW w:w="62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2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Basic and diluted net loss per share ..........................</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86"/>
        </w:trPr>
        <w:tc>
          <w:tcPr>
            <w:tcW w:w="6240" w:type="dxa"/>
            <w:vAlign w:val="bottom"/>
          </w:tcPr>
          <w:p>
            <w:pPr>
              <w:spacing w:after="0"/>
              <w:rPr>
                <w:sz w:val="16"/>
                <w:szCs w:val="16"/>
                <w:color w:val="auto"/>
              </w:rPr>
            </w:pPr>
          </w:p>
        </w:tc>
        <w:tc>
          <w:tcPr>
            <w:tcW w:w="16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6240" w:type="dxa"/>
            <w:vAlign w:val="bottom"/>
          </w:tcPr>
          <w:p>
            <w:pPr>
              <w:jc w:val="right"/>
              <w:ind w:right="2279"/>
              <w:spacing w:after="0"/>
              <w:rPr>
                <w:sz w:val="20"/>
                <w:szCs w:val="20"/>
                <w:color w:val="auto"/>
              </w:rPr>
            </w:pPr>
            <w:r>
              <w:rPr>
                <w:rFonts w:ascii="Courier New" w:cs="Courier New" w:eastAsia="Courier New" w:hAnsi="Courier New"/>
                <w:sz w:val="16"/>
                <w:szCs w:val="16"/>
                <w:color w:val="auto"/>
              </w:rPr>
              <w:t>5</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0"/>
          </w:cols>
          <w:pgMar w:left="239" w:top="676" w:right="1440" w:bottom="1440" w:gutter="0" w:footer="0" w:header="0"/>
        </w:sectPr>
      </w:pPr>
    </w:p>
    <w:bookmarkStart w:id="7" w:name="page8"/>
    <w:bookmarkEnd w:id="7"/>
    <w:p>
      <w:pPr>
        <w:ind w:left="880" w:right="2459" w:hanging="871"/>
        <w:spacing w:after="0" w:line="248" w:lineRule="auto"/>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following discussion should be read in conjunction with the financial statements appearing elsewhere in this Form 10-Q and within our Form 10-K for the year ending December 31, 2001.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Among the important factors which could cause actual results to differ materially include: the potential for significant losses to continue; inability to accurately predict revenue and budget for expenses for future periods; fluctuations in revenue and operating results; overall market performance; a slowing global economy; limited product lines;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Inc., the leading maker of engine generators for the power reliability market, we have developed a battery-free uninterruptible power supply (UPS), which is marketed under the Caterpillar brand name as the Cat(R) UPS. We have also developed a battery-free DC system that is compatible with all major UPS brands, CleanSource2 DC. We sell our CleanSource2 DC products through Powerware, an original equipment manufacturer, or OEM. Our products are sold for use in the facilities of companies in many different industries that all share a critical need for reliable, high-quality power, such as plastic manufacturers, semiconductor manufacturers, hospitals, credit card processing centers, broadcasters, advanced data centers, and electric utilities.</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Since 1996, we have focused our efforts and financial resources primarily on the design and development of our CleanSource(R) line of power quality products and on establishing effective OEM channels to market our products (CleanSource2 DC and CleanSource UPS). As of March 31, 2002, we had generated an accumulated deficit of $87.2 million and expect to continue to sustain operating losses for the next several quarters. We initially funded our operations primarily through sales of shares of preferred stock, which resulted in gross proceeds of approximately $42.6 million. We believe the proceeds from our August 2000 initial public</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8" w:name="page9"/>
    <w:bookmarkEnd w:id="8"/>
    <w:p>
      <w:pPr>
        <w:ind w:right="2559"/>
        <w:spacing w:after="0" w:line="247" w:lineRule="auto"/>
        <w:rPr>
          <w:sz w:val="20"/>
          <w:szCs w:val="20"/>
          <w:color w:val="auto"/>
        </w:rPr>
      </w:pPr>
      <w:r>
        <w:rPr>
          <w:rFonts w:ascii="Courier New" w:cs="Courier New" w:eastAsia="Courier New" w:hAnsi="Courier New"/>
          <w:sz w:val="16"/>
          <w:szCs w:val="16"/>
          <w:color w:val="auto"/>
        </w:rPr>
        <w:t>offering, approximately $138.4 million net of commissions and issuance costs, together with cash balances on hand prior to August 2000 will be sufficient to meet our capital requirements through at least the next 24 months. Our cash and investments position at March 31, 2002 was $103.9 million.</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2001, our business level with Caterpillar and its dealer network grew substantially, accounting for 96% and 87%, respectively, of our revenue due to the commercial introduction of the CleanSource(R) UPS product line. We expect to continue to be dependent on a few OEM customers, primarily Caterpillar, for the majority of our sales for the foreseeable future.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Since the commercial release of the CleanSource UPS in May 2000 under the Caterpillar brand name, the demand for our products has increased significantly. To address this growth in demand and to position us for anticipated future growth, we increased the scale of our operations in the following ways:</w:t>
      </w:r>
    </w:p>
    <w:p>
      <w:pPr>
        <w:spacing w:after="0" w:line="186" w:lineRule="exact"/>
        <w:rPr>
          <w:sz w:val="20"/>
          <w:szCs w:val="20"/>
          <w:color w:val="auto"/>
        </w:rPr>
      </w:pPr>
    </w:p>
    <w:p>
      <w:pPr>
        <w:ind w:left="960" w:right="3339" w:hanging="476"/>
        <w:spacing w:after="0" w:line="248"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Expanded our manufacturing facilities and added manufacturing personnel to address increases in product demand;</w:t>
      </w:r>
    </w:p>
    <w:p>
      <w:pPr>
        <w:spacing w:after="0" w:line="184" w:lineRule="exact"/>
        <w:rPr>
          <w:rFonts w:ascii="Courier New" w:cs="Courier New" w:eastAsia="Courier New" w:hAnsi="Courier New"/>
          <w:sz w:val="16"/>
          <w:szCs w:val="16"/>
          <w:color w:val="auto"/>
        </w:rPr>
      </w:pPr>
    </w:p>
    <w:p>
      <w:pPr>
        <w:ind w:left="960" w:right="2559" w:hanging="476"/>
        <w:spacing w:after="0" w:line="247"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our personnel levels in product development and engineering to accelerate time to market on new products and enhance existing product lines; and</w:t>
      </w:r>
    </w:p>
    <w:p>
      <w:pPr>
        <w:spacing w:after="0" w:line="185" w:lineRule="exact"/>
        <w:rPr>
          <w:rFonts w:ascii="Courier New" w:cs="Courier New" w:eastAsia="Courier New" w:hAnsi="Courier New"/>
          <w:sz w:val="16"/>
          <w:szCs w:val="16"/>
          <w:color w:val="auto"/>
        </w:rPr>
      </w:pPr>
    </w:p>
    <w:p>
      <w:pPr>
        <w:ind w:left="960" w:right="3139" w:hanging="476"/>
        <w:spacing w:after="0" w:line="248"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Added sales, service and marketing personnel to support our OEM customers and accelerate our other sales efforts.</w:t>
      </w:r>
    </w:p>
    <w:p>
      <w:pPr>
        <w:spacing w:after="0" w:line="184"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Although these efforts have increased our operating expenses, we believe they are necessary to enable us to realize significant revenue growth.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believe the following list represents our critical accounting policies: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Revenue recognition. We recognize product revenue when title transfers and our obligations are complete, usually when a unit is shipped. We recognize product revenue related to units shipped for evaluation by the customer at the time the customer accepts the unit. We recognize development funding revenue as we achieve development milestones specified in the respective agreements.</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Bad debt. We estimate an allowance for doubtful accounts based on factors related to the credit risk of each customer. Credit losses have not been significant to date. If the financial condition of our customers were to deteriorate, resulting in an impairment of their ability to make payments, additional allowances may be required.</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Inventories. We state inventories at the lower of cost or replacement cost, with cost being determined on a standard cost basis, which does not differ materially from actual cost. If actual future demand or market conditions are less favorable than those projected by management, additional inventory write-downs may be required.</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Warranty costs. We provide for the estimated cost of product warranties at the time revenue is recognized. While we engage in product quality programs and processes, our warranty obligation is affected by product failure rates, material usage and service delivery costs incurred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9" w:name="page10"/>
    <w:bookmarkEnd w:id="9"/>
    <w:p>
      <w:pPr>
        <w:ind w:right="2659"/>
        <w:spacing w:after="0" w:line="247" w:lineRule="auto"/>
        <w:rPr>
          <w:sz w:val="20"/>
          <w:szCs w:val="20"/>
          <w:color w:val="auto"/>
        </w:rPr>
      </w:pPr>
      <w:r>
        <w:rPr>
          <w:rFonts w:ascii="Courier New" w:cs="Courier New" w:eastAsia="Courier New" w:hAnsi="Courier New"/>
          <w:sz w:val="16"/>
          <w:szCs w:val="16"/>
          <w:color w:val="auto"/>
        </w:rPr>
        <w:t>in correcting a product failure. Should actual product failure rates, material usage or service delivery costs differ from our estimates, revisions to the estimated warranty liability may be required.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Product revenue. Product revenue primarily consists of sales of our CleanSource line of power quality products. Sales decreased $2.0 million, or 39%, to $3.1 million for the three months ended March 31, 2002, from $5.1 million for the three months ended March 31, 2001. We believe this decrease was primarily attributable to a significant reduction in the market for capital equipment due, in large part, to the overall economic slowdown that has taken place in the United States and globally. In the three months ended March 31, 2002, we sold 54 quarter-megawatt flywheel units, while we sold 101 quarter-megawatt flywheel units for the same period of 2001. The majority of the units shipped in both periods were sold to our CleanSource UPS OEM, Caterpillar.</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Development contract revenue. Development contract revenue primarily consists of funding paid to us by Caterpillar. In 1999 we entered into an agreement with 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calls for an additional $5.0 million in funding upon successful completion of certain development milestones. In December 2001 we completed the first milestone and collected $1.0 million, and in January 2002 we completed a second milestone and collected another $1.0 million. There was no development contract revenue recorded in the first quarter of 2001.</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Cost of product revenue. Cost of product revenue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product revenue decreased $2.0 million, or 31%, to $4.5 million for the three months ended March 31, 2002, from $6.5 million for the three months ended March 31, 2001. This decrease was primarily due to the lower sales activity in 2002 compared to the same period of 2001, which we believe was due to the overall economic slowdown. In anticipation of future demand for our products, we have significantly expanded our manufacturing capacity by increasing our manufacturing facilities, which has increased our fixed manufacturing expense base. This increase will adversely impact our gross margins until production volumes increase enough to cover these added costs. While our variable product margin (sales less materials and direct labor) was positive in 2001 and the first quarter of 2002, our overall product margin was negative due, in large part, to the underutilization of our indirect manufacturing costs. Over time we believe gross margins will improve as we increase product volumes, achieve greater economies of scale in production and in purchasing component parts, and introduce additional engineering design savings.</w:t>
      </w:r>
    </w:p>
    <w:p>
      <w:pPr>
        <w:spacing w:after="0" w:line="198"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Cost of development contract. Cost of development contract primarily consists of engineering expenses incurred related to the joint development process with Caterpillar, through which we receive development funding. For the three months ended March 31, 2002, we incurred $741,000 in development contract expenses. We had no development contract expenses for the same period in 2001. The margins we achieve in our development funding activities can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0" w:name="page11"/>
    <w:bookmarkEnd w:id="10"/>
    <w:p>
      <w:pPr>
        <w:ind w:right="2459"/>
        <w:spacing w:after="0" w:line="247" w:lineRule="auto"/>
        <w:rPr>
          <w:sz w:val="20"/>
          <w:szCs w:val="20"/>
          <w:color w:val="auto"/>
        </w:rPr>
      </w:pPr>
      <w:r>
        <w:rPr>
          <w:rFonts w:ascii="Courier New" w:cs="Courier New" w:eastAsia="Courier New" w:hAnsi="Courier New"/>
          <w:sz w:val="16"/>
          <w:szCs w:val="16"/>
          <w:color w:val="auto"/>
        </w:rPr>
        <w:t>vary considerably depending on the difficulty of each development milestone, the level of contract development we purchase from third parties, and level of materials purchased.</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decreased $0.9 million, or 26%, to $2.6 million for the three months ended March 31, 2002, from $3.5 million for the three months ended March 31, 2001. The decrease in research and development expense was driven by two principal factors. The first factor was a phase down of spending on our low power telecom development project. Although many of the internal resources committed to this project have been redirected to other new product initiatives, such as our high power UPS product line extension, the external funding associated with this project has been eliminated, thereby reducing our overall spending levels. The second factor was the separation of costs associated with the development of our high power UPS product line extension. These costs have been separated from R&amp;D and recorded as a separate line on the income statement, called "cost of development contracts" (see above). The impact this separate accounting for the cost of development contracts has on what is reported as R&amp;D spending will vary according to the level of activity and assignment of personnel on development contract projects. We believe that research and development expenses will remain flat for the foreseeable future, but will decrease as a percentage of sales over time as revenue increases.</w:t>
      </w:r>
    </w:p>
    <w:p>
      <w:pPr>
        <w:spacing w:after="0" w:line="198"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is primarily comprised of compensation and related costs for sales, service, marketing and administrative personnel, selling and marketing expenses, professional fees, and for product warranty and bad debt costs and reserves. Selling, general and administrative expense increased approximately $0.4 million, or 15%, to $3.1 million for the three months ended March 31, 2002, from $2.7 million for the three months ended March 31, 2001. The increase in selling, general and administrative expense was principally due to increased personnel in our sales, service and marketing organizations to support our OEM channel partners' sales and service ramp up. We believe that selling, general and administrative expense will increase in future periods as we add sales, and service personnel and costs to position us for anticipated future sales growth.</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Amortization of deferred stock compensation. Deferred stock compensation is a non-cash expense that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$628,000 for the three months ended March 31, 2002 and $1.3 million for the three months ended March 31, 2001. We expect this amortization expense to decrease in the future, as the options for which we are amortizing this expense become fully vested and, to a lesser extent, as some employees to whom these options were granted leave the company and any unvested options are canceled.</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Interest income. Interest income decreased $1.3 million to $0.9 million for the three months ended March 31, 2002, from $2.2 million for the three months ended March 31, 2001. This decrease is attributable to two factors. First, there was a decrease in our average cash and investments balance for the three-month period of 2002 of $105.1 million compared to an average cash and investments balance of $140.6 million for the first quarter of 2001. Second, the average rate of return on our investments dropped significantly from the first quarter of 2001 to</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1" w:name="page12"/>
    <w:bookmarkEnd w:id="11"/>
    <w:p>
      <w:pPr>
        <w:ind w:right="3239"/>
        <w:spacing w:after="0" w:line="248" w:lineRule="auto"/>
        <w:rPr>
          <w:sz w:val="20"/>
          <w:szCs w:val="20"/>
          <w:color w:val="auto"/>
        </w:rPr>
      </w:pPr>
      <w:r>
        <w:rPr>
          <w:rFonts w:ascii="Courier New" w:cs="Courier New" w:eastAsia="Courier New" w:hAnsi="Courier New"/>
          <w:sz w:val="16"/>
          <w:szCs w:val="16"/>
          <w:color w:val="auto"/>
        </w:rPr>
        <w:t>the same period in 2002, as interest rates in the financial markets have declined over the past year.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Our principal source of liquidity as of March 31, 2002 consisted of $103.9 million of cash, cash equivalents and investments.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August 2000, we completed a successful initial public offering, raising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$138.4 million, net of commissions and issuance expenses. This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addition to our private financing efforts, including the sale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preferred stock, which have resulted in gross proceeds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$42.6 million, and $7.0 million in development funding received from Caterpillar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 1999. During the three months ended March 31, 2002, cash used by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 remained relatively flat at $8.6 million, compared to $8.4 million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used by operating activities for the three months ended March 31, 2001.</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Capital expenditures were $122,000 for the three months ended March 31, 2002 and $1.5 million for the three months ended March 31, 2001. Our expenditures in 2001 were primarily attributable to the increase in our manufacturing capacity, including several new product test lines and leasehold improvements for our new manufacturing facility. In 2002 our expenditures were limited to leasehold improvements to our engineering testing facilities and other general computer equipment and software for administrative purposes. We expect to incur approximately $2.0 to $3.0 million in additional capital expenditures in 2002 primarily on additional engineering lab equipment and improvements, demonstration units, and general computer equipment and software for manufacturing, engineering and administrative purposes.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believe our existing cash balance at March 31, 2002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$1.0 million. Because of the short-term nature of the majority of our investments, we do not believe a 1% decline in interest rates would have a material effect on their fair value.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2" w:name="page13"/>
    <w:bookmarkEnd w:id="12"/>
    <w:p>
      <w:pPr>
        <w:ind w:right="2559" w:firstLine="484"/>
        <w:spacing w:after="0" w:line="247" w:lineRule="auto"/>
        <w:rPr>
          <w:sz w:val="20"/>
          <w:szCs w:val="20"/>
          <w:color w:val="auto"/>
        </w:rPr>
      </w:pPr>
      <w:r>
        <w:rPr>
          <w:rFonts w:ascii="Courier New" w:cs="Courier New" w:eastAsia="Courier New" w:hAnsi="Courier New"/>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Risk Factors That May Affect Future Results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addition to the other information in this Form 10-Q,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limited product lines;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19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have incurred significant losses and anticipate losses for the next several quarters.</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have incurred operating losses since our inception and expect to continue to incur losses for the next several quarters. As of March 31, 2002, we had an accumulated deficit of $87.2 million. To date, we have funded our operations principally through the sale of our stock, our product revenue and $7.0 million in development funding payments from Caterpillar.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have generated a total of $31.5 million in product revenue since January 1, 1998, and we have sold approximately 600 CleanSource DC and UPS products.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continue to incur significant losses.</w:t>
      </w:r>
    </w:p>
    <w:p>
      <w:pPr>
        <w:spacing w:after="0" w:line="194"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Our business is subject to fluctuations in operating results, which could negatively impact the price of our stock.</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4" w:name="page15"/>
    <w:bookmarkEnd w:id="14"/>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86" w:lineRule="exact"/>
        <w:rPr>
          <w:sz w:val="20"/>
          <w:szCs w:val="20"/>
          <w:color w:val="auto"/>
        </w:rPr>
      </w:pPr>
    </w:p>
    <w:p>
      <w:pPr>
        <w:ind w:left="960" w:right="2459" w:hanging="476"/>
        <w:spacing w:after="0" w:line="247"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orders from our customers and the possibility that these customers may change their order requirements with little or no advance notice to us;</w:t>
      </w:r>
    </w:p>
    <w:p>
      <w:pPr>
        <w:spacing w:after="0" w:line="185"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adoption of our flywheel-based energy storage system as an alternative to lead-acid batteries;</w:t>
      </w:r>
    </w:p>
    <w:p>
      <w:pPr>
        <w:spacing w:after="0" w:line="184" w:lineRule="exact"/>
        <w:rPr>
          <w:rFonts w:ascii="Courier New" w:cs="Courier New" w:eastAsia="Courier New" w:hAnsi="Courier New"/>
          <w:sz w:val="16"/>
          <w:szCs w:val="16"/>
          <w:color w:val="auto"/>
        </w:rPr>
      </w:pPr>
    </w:p>
    <w:p>
      <w:pPr>
        <w:ind w:left="960" w:right="2659" w:hanging="476"/>
        <w:spacing w:after="0" w:line="24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deferral of customer orders in anticipation of new products from us or other providers of power quality systems;</w:t>
      </w:r>
    </w:p>
    <w:p>
      <w:pPr>
        <w:spacing w:after="0" w:line="184"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need for short-term power outage protection in traditional UPS systems;</w:t>
      </w:r>
    </w:p>
    <w:p>
      <w:pPr>
        <w:spacing w:after="0" w:line="184" w:lineRule="exact"/>
        <w:rPr>
          <w:rFonts w:ascii="Courier New" w:cs="Courier New" w:eastAsia="Courier New" w:hAnsi="Courier New"/>
          <w:sz w:val="16"/>
          <w:szCs w:val="16"/>
          <w:color w:val="auto"/>
        </w:rPr>
      </w:pPr>
    </w:p>
    <w:p>
      <w:pPr>
        <w:ind w:left="960" w:right="2859" w:hanging="476"/>
        <w:spacing w:after="0" w:line="247"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uncertainty regarding the adoption of our current and future products, including our recently introduced CleanSource UPS and CleanSource2 DC products, as well as our other products, which are currently under development; and</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growth of the markets for our products.</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during the recent economic slowdown, and will continue to suffer if the slowdown continues.</w:t>
      </w:r>
    </w:p>
    <w:p>
      <w:pPr>
        <w:spacing w:after="0" w:line="193"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We have limited product offerings, and our success depends on our ability to develop in a timely manner new and enhanced products that achieve market acceptance.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While our products are achieving a more significant operating history at customer sites, our CleanSource2 DC and CleanSource UPS products are relatively new to the marketplace. To grow our revenue, we must rely on Powerware and Caterpillar to successfully market our DC and UPS products, respectively, and we must develop and introduce to the market new products and product enhancements in a timely manner. Even if we are able to develop and commercially introduce new products and enhancements, they may not achieve market acceptance. This would substantially impair our revenue, profitability and overall financial prospects.</w:t>
      </w:r>
    </w:p>
    <w:p>
      <w:pPr>
        <w:spacing w:after="0" w:line="191"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6"/>
          <w:szCs w:val="16"/>
          <w:color w:val="auto"/>
        </w:rPr>
        <w:t>Failure to expand our distribution channels and manage our distribution relationships could impede our future growth.</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5" w:name="page16"/>
    <w:bookmarkEnd w:id="15"/>
    <w:p>
      <w:pPr>
        <w:ind w:right="2459"/>
        <w:spacing w:after="0" w:line="247" w:lineRule="auto"/>
        <w:rPr>
          <w:sz w:val="20"/>
          <w:szCs w:val="20"/>
          <w:color w:val="auto"/>
        </w:rPr>
      </w:pPr>
      <w:r>
        <w:rPr>
          <w:rFonts w:ascii="Courier New" w:cs="Courier New" w:eastAsia="Courier New" w:hAnsi="Courier New"/>
          <w:sz w:val="16"/>
          <w:szCs w:val="16"/>
          <w:color w:val="auto"/>
        </w:rPr>
        <w:t>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6"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We are heavily dependent on our relationship with Caterpillar. If our relationship is unsuccessful, for whatever reason, our business and financial prospects will suffer.</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our relationship with Caterpillar is not successful, or if Caterpillar's distribution of the Cat UPS product is not successful, our business and financial prospects will suffer. Pursuant to a development agreement, Caterpillar has provided us with $7.0 million in funding through March 31, 2002, to support the development of the Cat UPS product and other development efforts. In exchange for this payment,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 We also have a distribution agreement with Caterpillar. During 2000 and 2001, our business level with Caterpillar and its dealer network accounted for 96% and 87% of our product revenue, respectively. Pursuant to the distribution agreement with Caterpillar, they are the exclusive distributor, subject to limited exceptions, of our CleanSource UPS product. Caterpillar is not obligated to purchase any CleanSource UPS units.</w:t>
      </w:r>
    </w:p>
    <w:p>
      <w:pPr>
        <w:spacing w:after="0" w:line="197"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or Powerware, would significantly reduce our revenue.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rely on OEMs as a primary distribution channel because they are able to sell our products to a large number of end user organizations. We further rely on our OEMs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2001, our volume of business with Caterpillar and its dealers accounted for 96% and 87% of our product revenue, respectively. Therefore, the loss of our key OEM customer, Caterpillar, or a significant reduction in sales to Caterpillar and its dealers, would significantly reduce our revenue. We have granted Caterpillar semi-exclusive worldwide rights to distribute our UPS product, provided that they meet minimum annual sales requirements. We have also granted Powerware semi-exclusive distribution rights to our CleanSource2 DC product in North America. Because we have entered into exclusive or semi-exclusive agreements for the distribution of our products with a very limited number of OEM customers, the failure of any one of these relationships, particularly Caterpillar or Powerware, could negatively impact our revenue.</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6" w:name="page17"/>
    <w:bookmarkEnd w:id="16"/>
    <w:p>
      <w:pPr>
        <w:ind w:right="2559"/>
        <w:spacing w:after="0" w:line="248" w:lineRule="auto"/>
        <w:rPr>
          <w:sz w:val="20"/>
          <w:szCs w:val="20"/>
          <w:color w:val="auto"/>
        </w:rPr>
      </w:pPr>
      <w:r>
        <w:rPr>
          <w:rFonts w:ascii="Courier New" w:cs="Courier New" w:eastAsia="Courier New" w:hAnsi="Courier New"/>
          <w:sz w:val="16"/>
          <w:szCs w:val="16"/>
          <w:color w:val="auto"/>
        </w:rPr>
        <w:t>We have no experience manufacturing our products in the quantities we expect to sell in the future.</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3"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expanded our manufacturing facility based on our forecasted sales volumes in the future. If we do not achieve these forecasted sales volumes, we will underutilize our manufacturing capacity and our business will suffer.</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We recently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If we do not reach our forecasted sales volumes, our revenue will suffer and our ability to reach profitability will be materially limited.</w:t>
      </w:r>
    </w:p>
    <w:p>
      <w:pPr>
        <w:spacing w:after="0" w:line="185" w:lineRule="exact"/>
        <w:rPr>
          <w:sz w:val="20"/>
          <w:szCs w:val="20"/>
          <w:color w:val="auto"/>
        </w:rPr>
      </w:pPr>
    </w:p>
    <w:p>
      <w:pPr>
        <w:jc w:val="both"/>
        <w:ind w:right="2659"/>
        <w:spacing w:after="0" w:line="247" w:lineRule="auto"/>
        <w:rPr>
          <w:sz w:val="20"/>
          <w:szCs w:val="20"/>
          <w:color w:val="auto"/>
        </w:rPr>
      </w:pPr>
      <w:r>
        <w:rPr>
          <w:rFonts w:ascii="Courier New" w:cs="Courier New" w:eastAsia="Courier New" w:hAnsi="Courier New"/>
          <w:sz w:val="16"/>
          <w:szCs w:val="16"/>
          <w:color w:val="auto"/>
        </w:rPr>
        <w:t>Quality problems relating to one or more of our new or existing products could negatively impact the market's acceptance of our products and cause us to miss our revenue goals and/or to incur significant liability.</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Because of the nature of the power quality and reliability market, quality problems attributable to the CleanSource DC or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19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are subject to increased inventory risks and costs because we outsource the manufacturing of components of our products in advance of binding commitments from our customers to purchase our products.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7" w:name="page18"/>
    <w:bookmarkEnd w:id="17"/>
    <w:p>
      <w:pPr>
        <w:ind w:right="2559"/>
        <w:spacing w:after="0" w:line="247" w:lineRule="auto"/>
        <w:rPr>
          <w:sz w:val="20"/>
          <w:szCs w:val="20"/>
          <w:color w:val="auto"/>
        </w:rPr>
      </w:pPr>
      <w:r>
        <w:rPr>
          <w:rFonts w:ascii="Courier New" w:cs="Courier New" w:eastAsia="Courier New" w:hAnsi="Courier New"/>
          <w:sz w:val="16"/>
          <w:szCs w:val="16"/>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We purchase a power module and a microprocessor for our products from sole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trying to enter into long-term agreements with our sole suppliers and other key suppliers, using a rolling sales volume forecast to stabilize component availability. Our power module supplier currently maintains a buffer stock and, our microprocessor demand is covered by purchase orders for the next two quarters.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199"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If we are unable to retain the personnel we currently employ, or if we are unable to quickly replace departing employees, our operations and new product development may suffer.</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are a relatively small company with limited resources compared to some of our current and potential competitors, and competition within our markets may limit our sales growth.</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8" w:name="page19"/>
    <w:bookmarkEnd w:id="18"/>
    <w:p>
      <w:pPr>
        <w:ind w:right="2459"/>
        <w:spacing w:after="0" w:line="246" w:lineRule="auto"/>
        <w:rPr>
          <w:sz w:val="20"/>
          <w:szCs w:val="20"/>
          <w:color w:val="auto"/>
        </w:rPr>
      </w:pPr>
      <w:r>
        <w:rPr>
          <w:rFonts w:ascii="Courier New" w:cs="Courier New" w:eastAsia="Courier New" w:hAnsi="Courier New"/>
          <w:sz w:val="16"/>
          <w:szCs w:val="16"/>
          <w:color w:val="auto"/>
        </w:rPr>
        <w:t>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2"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If we are unable to protect our intellectual property, we may be unable to compete.</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97"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Our efforts to protect our intellectual property may cause us to become involved in costly and lengthy litigation, which could seriously harm our business.</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recent years, there has been significant litigation in the United States involving patents, trademarks and other intellectual property rights. We have recently been named in a lawsuit that we describe in further detail in "Legal Proceedings" below. We may become involved in additional litigation in the future to protect our intellectual property or defend allegations of infringement asserted by others. Legal proceedings, including the lawsuit in which we were recently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93" w:lineRule="exact"/>
        <w:rPr>
          <w:sz w:val="20"/>
          <w:szCs w:val="20"/>
          <w:color w:val="auto"/>
        </w:rPr>
      </w:pPr>
    </w:p>
    <w:p>
      <w:pPr>
        <w:ind w:left="960" w:right="3139" w:hanging="476"/>
        <w:spacing w:after="0" w:line="24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selling our products that use the challenged intellectual property;</w:t>
      </w:r>
    </w:p>
    <w:p>
      <w:pPr>
        <w:spacing w:after="0" w:line="184" w:lineRule="exact"/>
        <w:rPr>
          <w:rFonts w:ascii="Courier New" w:cs="Courier New" w:eastAsia="Courier New" w:hAnsi="Courier New"/>
          <w:sz w:val="16"/>
          <w:szCs w:val="16"/>
          <w:color w:val="auto"/>
        </w:rPr>
      </w:pPr>
    </w:p>
    <w:p>
      <w:pPr>
        <w:ind w:left="960" w:right="2659" w:hanging="476"/>
        <w:spacing w:after="0" w:line="247"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owner of the infringed intellectual property right a license to sell or use the relevant technology or trademark, which license may not be available on reasonable terms, or at all; or</w:t>
      </w:r>
    </w:p>
    <w:p>
      <w:pPr>
        <w:spacing w:after="0" w:line="185" w:lineRule="exact"/>
        <w:rPr>
          <w:rFonts w:ascii="Courier New" w:cs="Courier New" w:eastAsia="Courier New" w:hAnsi="Courier New"/>
          <w:sz w:val="16"/>
          <w:szCs w:val="16"/>
          <w:color w:val="auto"/>
        </w:rPr>
      </w:pPr>
    </w:p>
    <w:p>
      <w:pPr>
        <w:ind w:left="960" w:right="2659" w:hanging="476"/>
        <w:spacing w:after="0" w:line="24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redesign those products that use infringing intellectual property or cease to use an infringing trademark.</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9" w:name="page20"/>
    <w:bookmarkEnd w:id="19"/>
    <w:p>
      <w:pPr>
        <w:ind w:right="3039"/>
        <w:spacing w:after="0" w:line="248" w:lineRule="auto"/>
        <w:rPr>
          <w:sz w:val="20"/>
          <w:szCs w:val="20"/>
          <w:color w:val="auto"/>
        </w:rPr>
      </w:pPr>
      <w:r>
        <w:rPr>
          <w:rFonts w:ascii="Courier New" w:cs="Courier New" w:eastAsia="Courier New" w:hAnsi="Courier New"/>
          <w:sz w:val="16"/>
          <w:szCs w:val="16"/>
          <w:color w:val="auto"/>
        </w:rPr>
        <w:t>Any acquisitions we make could disrupt our business and harm our financial condition.</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85" w:lineRule="exact"/>
        <w:rPr>
          <w:sz w:val="20"/>
          <w:szCs w:val="20"/>
          <w:color w:val="auto"/>
        </w:rPr>
      </w:pPr>
    </w:p>
    <w:p>
      <w:pPr>
        <w:ind w:left="960" w:right="245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problems integrating the acquired operations, technologies or products with our existing business and products;</w:t>
      </w:r>
    </w:p>
    <w:p>
      <w:pPr>
        <w:spacing w:after="0" w:line="184" w:lineRule="exact"/>
        <w:rPr>
          <w:rFonts w:ascii="Courier New" w:cs="Courier New" w:eastAsia="Courier New" w:hAnsi="Courier New"/>
          <w:sz w:val="16"/>
          <w:szCs w:val="16"/>
          <w:color w:val="auto"/>
        </w:rPr>
      </w:pPr>
    </w:p>
    <w:p>
      <w:pPr>
        <w:ind w:left="960" w:right="275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disruption of our ongoing business and distraction of our management;</w:t>
      </w:r>
    </w:p>
    <w:p>
      <w:pPr>
        <w:spacing w:after="0" w:line="184" w:lineRule="exact"/>
        <w:rPr>
          <w:rFonts w:ascii="Courier New" w:cs="Courier New" w:eastAsia="Courier New" w:hAnsi="Courier New"/>
          <w:sz w:val="16"/>
          <w:szCs w:val="16"/>
          <w:color w:val="auto"/>
        </w:rPr>
      </w:pPr>
    </w:p>
    <w:p>
      <w:pPr>
        <w:ind w:left="960" w:right="275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retaining business relationships with suppliers and customers of the acquired companies;</w:t>
      </w:r>
    </w:p>
    <w:p>
      <w:pPr>
        <w:spacing w:after="0" w:line="184"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coordinating and integrating overall business strategies, sales and marketing, and research and development efforts;</w:t>
      </w:r>
    </w:p>
    <w:p>
      <w:pPr>
        <w:spacing w:after="0" w:line="184" w:lineRule="exact"/>
        <w:rPr>
          <w:rFonts w:ascii="Courier New" w:cs="Courier New" w:eastAsia="Courier New" w:hAnsi="Courier New"/>
          <w:sz w:val="16"/>
          <w:szCs w:val="16"/>
          <w:color w:val="auto"/>
        </w:rPr>
      </w:pPr>
    </w:p>
    <w:p>
      <w:pPr>
        <w:ind w:left="960" w:right="313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maintenance of corporate cultures, controls, procedures and policies;</w:t>
      </w:r>
    </w:p>
    <w:p>
      <w:pPr>
        <w:spacing w:after="0" w:line="184" w:lineRule="exact"/>
        <w:rPr>
          <w:rFonts w:ascii="Courier New" w:cs="Courier New" w:eastAsia="Courier New" w:hAnsi="Courier New"/>
          <w:sz w:val="16"/>
          <w:szCs w:val="16"/>
          <w:color w:val="auto"/>
        </w:rPr>
      </w:pPr>
    </w:p>
    <w:p>
      <w:pPr>
        <w:ind w:left="960" w:right="3339" w:hanging="476"/>
        <w:spacing w:after="0" w:line="248"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associated with entering markets in which we lack prior experience; and</w:t>
      </w:r>
    </w:p>
    <w:p>
      <w:pPr>
        <w:spacing w:after="0" w:line="18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loss of key employees.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We may require substantial additional funds in the future to finance our product development and commercialization plans.</w:t>
      </w:r>
    </w:p>
    <w:p>
      <w:pPr>
        <w:spacing w:after="0" w:line="18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4"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Our stock price may be volatile.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Since January 1, 2001, the market price of our common stock has fluctuated between $3.13 and $31.50 per share. The market price of our common stock can be expected to fluctuate significantly in response to numerous factors, some of which are beyond our control, including the following:</w:t>
      </w:r>
    </w:p>
    <w:p>
      <w:pPr>
        <w:spacing w:after="0" w:line="186" w:lineRule="exact"/>
        <w:rPr>
          <w:sz w:val="20"/>
          <w:szCs w:val="20"/>
          <w:color w:val="auto"/>
        </w:rPr>
      </w:pPr>
    </w:p>
    <w:p>
      <w:pPr>
        <w:ind w:left="960" w:hanging="476"/>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fluctuations in our operating results;</w:t>
      </w:r>
    </w:p>
    <w:p>
      <w:pPr>
        <w:spacing w:after="0" w:line="191" w:lineRule="exact"/>
        <w:rPr>
          <w:rFonts w:ascii="Courier New" w:cs="Courier New" w:eastAsia="Courier New" w:hAnsi="Courier New"/>
          <w:sz w:val="16"/>
          <w:szCs w:val="16"/>
          <w:color w:val="auto"/>
        </w:rPr>
      </w:pPr>
    </w:p>
    <w:p>
      <w:pPr>
        <w:ind w:left="960" w:right="2659" w:hanging="476"/>
        <w:spacing w:after="0" w:line="24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financial estimates by securities analysts or our failure to perform in line with such estimates;</w:t>
      </w:r>
    </w:p>
    <w:p>
      <w:pPr>
        <w:spacing w:after="0" w:line="184" w:lineRule="exact"/>
        <w:rPr>
          <w:rFonts w:ascii="Courier New" w:cs="Courier New" w:eastAsia="Courier New" w:hAnsi="Courier New"/>
          <w:sz w:val="16"/>
          <w:szCs w:val="16"/>
          <w:color w:val="auto"/>
        </w:rPr>
      </w:pPr>
    </w:p>
    <w:p>
      <w:pPr>
        <w:ind w:left="960" w:right="2659" w:hanging="476"/>
        <w:spacing w:after="0" w:line="24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market valuations of other technology companies, particularly those that sell products used in power quality systems;</w:t>
      </w:r>
    </w:p>
    <w:p>
      <w:pPr>
        <w:spacing w:after="0" w:line="184" w:lineRule="exact"/>
        <w:rPr>
          <w:rFonts w:ascii="Courier New" w:cs="Courier New" w:eastAsia="Courier New" w:hAnsi="Courier New"/>
          <w:sz w:val="16"/>
          <w:szCs w:val="16"/>
          <w:color w:val="auto"/>
        </w:rPr>
      </w:pPr>
    </w:p>
    <w:p>
      <w:pPr>
        <w:ind w:left="960" w:right="2659" w:hanging="476"/>
        <w:spacing w:after="0" w:line="247"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by us or our competitors of significant technical innovations, acquisitions, strategic partnerships, joint ventures or capital commitments;</w:t>
      </w:r>
    </w:p>
    <w:p>
      <w:pPr>
        <w:spacing w:after="0" w:line="185" w:lineRule="exact"/>
        <w:rPr>
          <w:rFonts w:ascii="Courier New" w:cs="Courier New" w:eastAsia="Courier New" w:hAnsi="Courier New"/>
          <w:sz w:val="16"/>
          <w:szCs w:val="16"/>
          <w:color w:val="auto"/>
        </w:rPr>
      </w:pPr>
    </w:p>
    <w:p>
      <w:pPr>
        <w:ind w:left="960" w:right="2659" w:hanging="476"/>
        <w:spacing w:after="0" w:line="24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of technologies or product enhancements that reduce the need for flywheel energy storage systems;</w:t>
      </w:r>
    </w:p>
    <w:p>
      <w:pPr>
        <w:spacing w:after="0" w:line="184" w:lineRule="exact"/>
        <w:rPr>
          <w:rFonts w:ascii="Courier New" w:cs="Courier New" w:eastAsia="Courier New" w:hAnsi="Courier New"/>
          <w:sz w:val="16"/>
          <w:szCs w:val="16"/>
          <w:color w:val="auto"/>
        </w:rPr>
      </w:pPr>
    </w:p>
    <w:p>
      <w:pPr>
        <w:ind w:left="960" w:right="2859" w:hanging="476"/>
        <w:spacing w:after="0" w:line="248"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one or more key OEM customers; and o departures of key personnel.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This information is included in the section captioned "Quantitative and Qualitative Disclosures About Market Risk" in Item 2. Management's Discussion and Analysis of Financial Condition and Results of Operations.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1" w:name="page22"/>
    <w:bookmarkEnd w:id="21"/>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1"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the alleged breach of a joint venture agreement dated June 23, 1989, which was entered into by and among Pinkerton Generator, Inc., Magnex Corp. and Enigma Corp.; the breach of fiduciary duties; the misappropriation of trade secrets; and the commission of other torts relating to this joint venture. Neither Active Power nor any of its predecessors in interest was a party to the joint venture agreement. A First Amended Complaint was filed on April 16, 2002. We were not served with the Original Complaint and Amended Complaint until April 19, 2002. This proceeding is at a very early stage and while we are still investigating this matter and have yet to respond, both we and Mr. Pinkerton believe the claims have no merit, deny the allegations in the complaint and intend to defend ourselves vigorously.</w:t>
      </w:r>
    </w:p>
    <w:p>
      <w:pPr>
        <w:spacing w:after="0" w:line="1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Changes in Securities and Use of Proceeds.</w:t>
      </w:r>
    </w:p>
    <w:p>
      <w:pPr>
        <w:spacing w:after="0" w:line="191" w:lineRule="exact"/>
        <w:rPr>
          <w:sz w:val="20"/>
          <w:szCs w:val="20"/>
          <w:color w:val="auto"/>
        </w:rPr>
      </w:pPr>
    </w:p>
    <w:p>
      <w:pPr>
        <w:ind w:left="480" w:right="2459" w:firstLine="485"/>
        <w:spacing w:after="0" w:line="247" w:lineRule="auto"/>
        <w:rPr>
          <w:sz w:val="20"/>
          <w:szCs w:val="20"/>
          <w:color w:val="auto"/>
        </w:rPr>
      </w:pPr>
      <w:r>
        <w:rPr>
          <w:rFonts w:ascii="Courier New" w:cs="Courier New" w:eastAsia="Courier New" w:hAnsi="Courier New"/>
          <w:sz w:val="16"/>
          <w:szCs w:val="16"/>
          <w:color w:val="auto"/>
        </w:rPr>
        <w:t>During the first quarter of 2002, we issued an aggregate of 246,050 shares of our common stock pursuant to exercises of stock options that were granted prior to August 7, 2000 with exercise prices ranging from $0.16 to $1.85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Defaults Upon Senior Securities.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Other Information.</w:t>
      </w:r>
    </w:p>
    <w:p>
      <w:pPr>
        <w:spacing w:after="0" w:line="191" w:lineRule="exact"/>
        <w:rPr>
          <w:sz w:val="20"/>
          <w:szCs w:val="20"/>
          <w:color w:val="auto"/>
        </w:rPr>
      </w:pPr>
    </w:p>
    <w:p>
      <w:pPr>
        <w:ind w:left="480" w:right="2459" w:firstLine="485"/>
        <w:spacing w:after="0" w:line="247" w:lineRule="auto"/>
        <w:rPr>
          <w:sz w:val="20"/>
          <w:szCs w:val="20"/>
          <w:color w:val="auto"/>
        </w:rPr>
      </w:pPr>
      <w:r>
        <w:rPr>
          <w:rFonts w:ascii="Courier New" w:cs="Courier New" w:eastAsia="Courier New" w:hAnsi="Courier New"/>
          <w:sz w:val="16"/>
          <w:szCs w:val="16"/>
          <w:color w:val="auto"/>
        </w:rPr>
        <w:t>On March 26, 2002 Benjamin Scott was elected to our board of directors as a Class I director. He shall serve until the company's 2004 annual meeting of stockholders, or until his successor has been duly elected and qualified. This appointment increases our total number of directors to seven.</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2" w:name="page23"/>
    <w:bookmarkEnd w:id="22"/>
    <w:p>
      <w:pPr>
        <w:jc w:val="center"/>
        <w:ind w:right="237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576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ACTIVE POWER, INC.</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(Registrant)</w:t>
            </w:r>
          </w:p>
        </w:tc>
      </w:tr>
      <w:tr>
        <w:trPr>
          <w:trHeight w:val="373"/>
        </w:trPr>
        <w:tc>
          <w:tcPr>
            <w:tcW w:w="1800" w:type="dxa"/>
            <w:vAlign w:val="bottom"/>
          </w:tcPr>
          <w:p>
            <w:pPr>
              <w:spacing w:after="0"/>
              <w:rPr>
                <w:sz w:val="20"/>
                <w:szCs w:val="20"/>
                <w:color w:val="auto"/>
              </w:rPr>
            </w:pPr>
            <w:r>
              <w:rPr>
                <w:rFonts w:ascii="Courier New" w:cs="Courier New" w:eastAsia="Courier New" w:hAnsi="Courier New"/>
                <w:sz w:val="16"/>
                <w:szCs w:val="16"/>
                <w:color w:val="auto"/>
              </w:rPr>
              <w:t>May 13, 2002</w:t>
            </w:r>
          </w:p>
        </w:tc>
        <w:tc>
          <w:tcPr>
            <w:tcW w:w="576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/s/ Joseph F. Pinkerton, III</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w:t>
            </w:r>
          </w:p>
        </w:tc>
      </w:tr>
      <w:tr>
        <w:trPr>
          <w:trHeight w:val="186"/>
        </w:trPr>
        <w:tc>
          <w:tcPr>
            <w:tcW w:w="180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576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Joseph F. Pinkerton, III</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Chairman of the Board and Chief Executive Officer</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(Principal Executive Officer)</w:t>
            </w:r>
          </w:p>
        </w:tc>
      </w:tr>
      <w:tr>
        <w:trPr>
          <w:trHeight w:val="559"/>
        </w:trPr>
        <w:tc>
          <w:tcPr>
            <w:tcW w:w="1800" w:type="dxa"/>
            <w:vAlign w:val="bottom"/>
          </w:tcPr>
          <w:p>
            <w:pPr>
              <w:spacing w:after="0"/>
              <w:rPr>
                <w:sz w:val="20"/>
                <w:szCs w:val="20"/>
                <w:color w:val="auto"/>
              </w:rPr>
            </w:pPr>
            <w:r>
              <w:rPr>
                <w:rFonts w:ascii="Courier New" w:cs="Courier New" w:eastAsia="Courier New" w:hAnsi="Courier New"/>
                <w:sz w:val="16"/>
                <w:szCs w:val="16"/>
                <w:color w:val="auto"/>
              </w:rPr>
              <w:t>May 13, 2002</w:t>
            </w: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/s/ David S. Gino</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w:t>
            </w:r>
          </w:p>
        </w:tc>
      </w:tr>
      <w:tr>
        <w:trPr>
          <w:trHeight w:val="186"/>
        </w:trPr>
        <w:tc>
          <w:tcPr>
            <w:tcW w:w="180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David S. Gino</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539"/>
              <w:spacing w:after="0"/>
              <w:rPr>
                <w:sz w:val="20"/>
                <w:szCs w:val="20"/>
                <w:color w:val="auto"/>
              </w:rPr>
            </w:pPr>
            <w:r>
              <w:rPr>
                <w:rFonts w:ascii="Courier New" w:cs="Courier New" w:eastAsia="Courier New" w:hAnsi="Courier New"/>
                <w:sz w:val="16"/>
                <w:szCs w:val="16"/>
                <w:color w:val="auto"/>
              </w:rPr>
              <w:t>Chief Operating Officer and Chief Financial Officer</w:t>
            </w:r>
          </w:p>
        </w:tc>
      </w:tr>
      <w:tr>
        <w:trPr>
          <w:trHeight w:val="186"/>
        </w:trPr>
        <w:tc>
          <w:tcPr>
            <w:tcW w:w="1800" w:type="dxa"/>
            <w:vAlign w:val="bottom"/>
          </w:tcPr>
          <w:p>
            <w:pPr>
              <w:spacing w:after="0"/>
              <w:rPr>
                <w:sz w:val="16"/>
                <w:szCs w:val="16"/>
                <w:color w:val="auto"/>
              </w:rPr>
            </w:pPr>
          </w:p>
        </w:tc>
        <w:tc>
          <w:tcPr>
            <w:tcW w:w="576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(Principal Accounting Officer)</w:t>
            </w:r>
          </w:p>
        </w:tc>
      </w:tr>
    </w:tbl>
    <w:p>
      <w:pPr>
        <w:spacing w:after="0" w:line="1" w:lineRule="exact"/>
        <w:rPr>
          <w:sz w:val="20"/>
          <w:szCs w:val="20"/>
          <w:color w:val="auto"/>
        </w:rPr>
      </w:pPr>
    </w:p>
    <w:sectPr>
      <w:pgSz w:w="11900" w:h="16838" w:orient="portrait"/>
      <w:cols w:equalWidth="0" w:num="1">
        <w:col w:w="10219"/>
      </w:cols>
      <w:pgMar w:left="240"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51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o"/>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2019-12-14T17:15:18Z</dcterms:created>
  <dcterms:modified xsi:type="dcterms:W3CDTF">2019-12-14T17:15:18Z</dcterms:modified>
</cp:coreProperties>
</file>