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and Exchange Commission on March 12, 2007</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333-123586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POST EFFECTIVE 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9" w:right="2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440"/>
        <w:spacing w:after="0"/>
        <w:rPr>
          <w:sz w:val="20"/>
          <w:szCs w:val="20"/>
          <w:color w:val="auto"/>
        </w:rPr>
      </w:pPr>
      <w:r>
        <w:rPr>
          <w:rFonts w:ascii="Arial" w:cs="Arial" w:eastAsia="Arial" w:hAnsi="Arial"/>
          <w:sz w:val="15"/>
          <w:szCs w:val="15"/>
          <w:b w:val="1"/>
          <w:bCs w:val="1"/>
          <w:color w:val="auto"/>
        </w:rPr>
        <w:t>4911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960" w:space="720"/>
            <w:col w:w="2780" w:space="720"/>
            <w:col w:w="2240"/>
          </w:cols>
          <w:pgMar w:left="240" w:top="239" w:right="239" w:bottom="1440" w:gutter="0" w:footer="0" w:header="0"/>
          <w:type w:val="continuous"/>
        </w:sectPr>
      </w:pPr>
    </w:p>
    <w:p>
      <w:pPr>
        <w:spacing w:after="0" w:line="9" w:lineRule="exact"/>
        <w:rPr>
          <w:sz w:val="24"/>
          <w:szCs w:val="24"/>
          <w:color w:val="auto"/>
        </w:rPr>
      </w:pPr>
    </w:p>
    <w:p>
      <w:pPr>
        <w:ind w:left="2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(Primary Standard</w:t>
      </w:r>
    </w:p>
    <w:p>
      <w:pPr>
        <w:jc w:val="center"/>
        <w:ind w:right="1300"/>
        <w:spacing w:after="0"/>
        <w:rPr>
          <w:sz w:val="20"/>
          <w:szCs w:val="20"/>
          <w:color w:val="auto"/>
        </w:rPr>
      </w:pPr>
      <w:r>
        <w:rPr>
          <w:rFonts w:ascii="Arial" w:cs="Arial" w:eastAsia="Arial" w:hAnsi="Arial"/>
          <w:sz w:val="12"/>
          <w:szCs w:val="12"/>
          <w:b w:val="1"/>
          <w:bCs w:val="1"/>
          <w:color w:val="auto"/>
        </w:rPr>
        <w:t>Industrial Classification</w:t>
      </w:r>
    </w:p>
    <w:p>
      <w:pPr>
        <w:spacing w:after="0" w:line="10" w:lineRule="exact"/>
        <w:rPr>
          <w:sz w:val="24"/>
          <w:szCs w:val="24"/>
          <w:color w:val="auto"/>
        </w:rPr>
      </w:pPr>
    </w:p>
    <w:p>
      <w:pPr>
        <w:jc w:val="center"/>
        <w:ind w:right="1300"/>
        <w:spacing w:after="0"/>
        <w:rPr>
          <w:sz w:val="20"/>
          <w:szCs w:val="20"/>
          <w:color w:val="auto"/>
        </w:rPr>
      </w:pPr>
      <w:r>
        <w:rPr>
          <w:rFonts w:ascii="Arial" w:cs="Arial" w:eastAsia="Arial" w:hAnsi="Arial"/>
          <w:sz w:val="14"/>
          <w:szCs w:val="14"/>
          <w:b w:val="1"/>
          <w:bCs w:val="1"/>
          <w:color w:val="auto"/>
        </w:rPr>
        <w:t>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470" w:lineRule="exact"/>
        <w:rPr>
          <w:sz w:val="24"/>
          <w:szCs w:val="24"/>
          <w:color w:val="auto"/>
        </w:rPr>
      </w:pPr>
    </w:p>
    <w:p>
      <w:pPr>
        <w:sectPr>
          <w:pgSz w:w="11900" w:h="16838" w:orient="portrait"/>
          <w:cols w:equalWidth="0" w:num="3">
            <w:col w:w="4420" w:space="720"/>
            <w:col w:w="2700" w:space="720"/>
            <w:col w:w="2860"/>
          </w:cols>
          <w:pgMar w:left="240" w:top="23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320-9200</w:t>
      </w:r>
    </w:p>
    <w:p>
      <w:pPr>
        <w:spacing w:after="0" w:line="200" w:lineRule="exact"/>
        <w:rPr>
          <w:rFonts w:ascii="Arial" w:cs="Arial" w:eastAsia="Arial" w:hAnsi="Arial"/>
          <w:sz w:val="16"/>
          <w:szCs w:val="16"/>
          <w:b w:val="1"/>
          <w:bCs w:val="1"/>
          <w:color w:val="auto"/>
        </w:rPr>
      </w:pPr>
    </w:p>
    <w:p>
      <w:pPr>
        <w:spacing w:after="0" w:line="30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-233045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DEREGISTRATION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25, 2005, Active Power, Inc. (“Active Power”) filed a Registration Statement on Form S-3 (Registration No. 333-123586) (the “Registration Statement”), as amended on May 9, 2005 and August 23, 2006, with the Securities and Exchange Commission, registering up to 7,090,863 shares of Active Power’s common stock (the “Common Stock”) of which 5,454,510 shares of Common Stock were issued to certain selling stockholders in a private placement on February 4, 2005 and the additional 1,636,353 shares of Common Stock were to be issued to the selling stockholders only if and when they exercised their additional investment rights to acquire these shares within 180 days following the effective date of the Registration Statement. On August 23, 2006, Active Power filed Post-Effective Amendment No. 1 to the Registration Statement to deregister the 1,636,353 shares of Common Stock that were never issued pursuant to the Additional Investment Rights that were never exercised and thus expired pursuant to their terms.</w:t>
      </w:r>
    </w:p>
    <w:p>
      <w:pPr>
        <w:spacing w:after="0" w:line="11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remaining 5,454,510 shares of Common Stock registered under the Registration Statement have either been sold by the selling stockholders pursuant to the Registration Statement or are no longer required to be registered because such shares are freely tradable pursuant to an exemption from the registration requirements of the Securities Act of 1933, as amended. Pursuant to the undertaking made by Active Power as required by Item 512(a)(3) of Regulation S-K, Active Power hereby amends the Registration Statement by deregistering all of such 5,454,510 shares remaining unsold as of the date hereof and files this Post-Effective Amendment No. 2 to remove all such unsold shares from registration and to terminate the effectiveness of the Registration Statement.</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Post-Effective Amendment No. 2 to Registration Statement No. 333-123586 to be signed on its behalf by the undersigned, thereunto duly authorized, in the City of Austin, State of Texas, on the 12th day of March, 2007.</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7540" w:type="dxa"/>
            <w:vAlign w:val="bottom"/>
            <w:gridSpan w:val="2"/>
          </w:tcPr>
          <w:p>
            <w:pPr>
              <w:ind w:left="1820"/>
              <w:spacing w:after="0"/>
              <w:rPr>
                <w:sz w:val="20"/>
                <w:szCs w:val="20"/>
                <w:color w:val="auto"/>
              </w:rPr>
            </w:pPr>
            <w:r>
              <w:rPr>
                <w:rFonts w:ascii="Arial" w:cs="Arial" w:eastAsia="Arial" w:hAnsi="Arial"/>
                <w:sz w:val="18"/>
                <w:szCs w:val="18"/>
                <w:b w:val="1"/>
                <w:bCs w:val="1"/>
                <w:color w:val="auto"/>
              </w:rPr>
              <w:t>ACTIVE POWER, INC.</w:t>
            </w:r>
          </w:p>
        </w:tc>
      </w:tr>
      <w:tr>
        <w:trPr>
          <w:trHeight w:val="434"/>
        </w:trPr>
        <w:tc>
          <w:tcPr>
            <w:tcW w:w="3440" w:type="dxa"/>
            <w:vAlign w:val="bottom"/>
          </w:tcPr>
          <w:p>
            <w:pPr>
              <w:spacing w:after="0"/>
              <w:rPr>
                <w:sz w:val="20"/>
                <w:szCs w:val="20"/>
                <w:color w:val="auto"/>
              </w:rPr>
            </w:pPr>
            <w:r>
              <w:rPr>
                <w:rFonts w:ascii="Arial" w:cs="Arial" w:eastAsia="Arial" w:hAnsi="Arial"/>
                <w:sz w:val="18"/>
                <w:szCs w:val="18"/>
                <w:color w:val="auto"/>
              </w:rPr>
              <w:t>Dated: March 12, 2007</w:t>
            </w:r>
          </w:p>
        </w:tc>
        <w:tc>
          <w:tcPr>
            <w:tcW w:w="7540" w:type="dxa"/>
            <w:vAlign w:val="bottom"/>
            <w:gridSpan w:val="2"/>
          </w:tcPr>
          <w:p>
            <w:pPr>
              <w:ind w:left="1820"/>
              <w:spacing w:after="0"/>
              <w:rPr>
                <w:sz w:val="20"/>
                <w:szCs w:val="20"/>
                <w:color w:val="auto"/>
              </w:rPr>
            </w:pPr>
            <w:r>
              <w:rPr>
                <w:rFonts w:ascii="Arial" w:cs="Arial" w:eastAsia="Arial" w:hAnsi="Arial"/>
                <w:sz w:val="18"/>
                <w:szCs w:val="18"/>
                <w:color w:val="auto"/>
              </w:rPr>
              <w:t>By:   /s/ James A. Clishem</w:t>
            </w:r>
          </w:p>
        </w:tc>
      </w:tr>
      <w:tr>
        <w:trPr>
          <w:trHeight w:val="201"/>
        </w:trPr>
        <w:tc>
          <w:tcPr>
            <w:tcW w:w="3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6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James A. Clishem,</w:t>
            </w:r>
          </w:p>
        </w:tc>
      </w:tr>
      <w:tr>
        <w:trPr>
          <w:trHeight w:val="222"/>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below by the following persons on behalf of the registrant in the capacities set forth below on March 12,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w w:val="87"/>
              </w:rPr>
              <w:t>/s/ James A. Clishem</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President, Chief Executive Officer and Director (principal executive officer)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88"/>
              </w:rPr>
              <w:t>James A. Clishem</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7"/>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w w:val="86"/>
              </w:rPr>
              <w:t>/s/ John K. Penver</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Vice President – Finance, Chief Financial Officer and Secretary (principal financial and</w:t>
            </w:r>
          </w:p>
        </w:tc>
      </w:tr>
      <w:tr>
        <w:trPr>
          <w:trHeight w:val="218"/>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87"/>
              </w:rPr>
              <w:t>John K. Penver</w:t>
            </w:r>
          </w:p>
        </w:tc>
        <w:tc>
          <w:tcPr>
            <w:tcW w:w="240" w:type="dxa"/>
            <w:vAlign w:val="bottom"/>
          </w:tcPr>
          <w:p>
            <w:pPr>
              <w:spacing w:after="0"/>
              <w:rPr>
                <w:sz w:val="18"/>
                <w:szCs w:val="18"/>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accounting officer)</w:t>
            </w: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90"/>
              </w:rPr>
              <w:t>Benjamin L. Scott</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93"/>
              </w:rPr>
              <w:t>Ake Almgren</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89"/>
              </w:rPr>
              <w:t>Richard E. Anderson</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88"/>
              </w:rPr>
              <w:t>Rodney S. Bond</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88"/>
              </w:rPr>
              <w:t>Brad Boston</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700" w:type="dxa"/>
            <w:vAlign w:val="bottom"/>
          </w:tcPr>
          <w:p>
            <w:pPr>
              <w:spacing w:after="0"/>
              <w:rPr>
                <w:sz w:val="18"/>
                <w:szCs w:val="18"/>
                <w:color w:val="auto"/>
              </w:rPr>
            </w:pPr>
          </w:p>
        </w:tc>
        <w:tc>
          <w:tcPr>
            <w:tcW w:w="4220" w:type="dxa"/>
            <w:vAlign w:val="bottom"/>
          </w:tcPr>
          <w:p>
            <w:pPr>
              <w:jc w:val="center"/>
              <w:ind w:right="612"/>
              <w:spacing w:after="0"/>
              <w:rPr>
                <w:sz w:val="20"/>
                <w:szCs w:val="20"/>
                <w:color w:val="auto"/>
              </w:rPr>
            </w:pPr>
            <w:r>
              <w:rPr>
                <w:rFonts w:ascii="Arial" w:cs="Arial" w:eastAsia="Arial" w:hAnsi="Arial"/>
                <w:sz w:val="18"/>
                <w:szCs w:val="18"/>
                <w:color w:val="auto"/>
                <w:w w:val="90"/>
              </w:rPr>
              <w:t>Jan H. Lindelow</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 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K. Penver</w:t>
            </w:r>
          </w:p>
        </w:tc>
        <w:tc>
          <w:tcPr>
            <w:tcW w:w="24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7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6"/>
              </w:rPr>
              <w:t>John K. Penver</w:t>
            </w:r>
          </w:p>
        </w:tc>
        <w:tc>
          <w:tcPr>
            <w:tcW w:w="240" w:type="dxa"/>
            <w:vAlign w:val="bottom"/>
          </w:tcPr>
          <w:p>
            <w:pPr>
              <w:spacing w:after="0"/>
              <w:rPr>
                <w:sz w:val="18"/>
                <w:szCs w:val="18"/>
                <w:color w:val="auto"/>
              </w:rPr>
            </w:pPr>
          </w:p>
        </w:tc>
        <w:tc>
          <w:tcPr>
            <w:tcW w:w="626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2019-12-12T00:48:43Z</dcterms:created>
  <dcterms:modified xsi:type="dcterms:W3CDTF">2019-12-12T00:48:43Z</dcterms:modified>
</cp:coreProperties>
</file>