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P10, Inc.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22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WTI Fund XI,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4514 COLE AVENUE, SUITE 1600</w:t>
            </w: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75205</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20"/>
                <w:szCs w:val="20"/>
                <w:color w:val="0000FF"/>
              </w:rPr>
              <w:t>100,000</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940" w:type="dxa"/>
            <w:vAlign w:val="bottom"/>
            <w:vMerge w:val="restart"/>
          </w:tcPr>
          <w:p>
            <w:pPr>
              <w:ind w:left="3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Issuer's shares are owned directly by WTI Fund XI, LLC. WTI Fund XI GP, LLC, an indirect majority-owned subsidiary of the reporting person, is the managing member of WTI Fund XI, LLC. By virtue of this relationship, the reporting person may be deemed to beneficially own the reported securities. The reporting person disclaims beneficial ownership of the reported securities except to the extent of its pecuniary interest therein.</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Amanda Coussens,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04/01/2024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Chief Financial Officer</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3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41968" TargetMode="External"/><Relationship Id="rId11" Type="http://schemas.openxmlformats.org/officeDocument/2006/relationships/hyperlink" Target="http://www.sec.gov/cgi-bin/browse-edgar?action=getcompany&amp;CIK=0001987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2024-04-01T18:38:00Z</dcterms:created>
  <dcterms:modified xsi:type="dcterms:W3CDTF">2024-04-01T18:38:00Z</dcterms:modified>
</cp:coreProperties>
</file>