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11/22/2024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54,103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13.63</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is being filed by Edwin Poston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 In addition, Mr. Poston serves as a director on the Board of Directors of the Issuer.</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Member of 10% Owner Group (see Footnote 1)</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A. Poston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2024-11-26T19:19:50Z</dcterms:created>
  <dcterms:modified xsi:type="dcterms:W3CDTF">2024-11-26T19:19:50Z</dcterms:modified>
</cp:coreProperties>
</file>