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October 27,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12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27, 2004, Active Power, Inc. issued a press release reporting its results of operations for its fiscal quarter ended September 30, 2004. A copy of the press release is furnished herewith as Exhibit 99.1.</w:t>
      </w:r>
    </w:p>
    <w:p>
      <w:pPr>
        <w:spacing w:after="0" w:line="118"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(c)</w:t>
            </w:r>
          </w:p>
        </w:tc>
        <w:tc>
          <w:tcPr>
            <w:tcW w:w="8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420" w:type="dxa"/>
            <w:vAlign w:val="bottom"/>
            <w:gridSpan w:val="3"/>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43"/>
        </w:trPr>
        <w:tc>
          <w:tcPr>
            <w:tcW w:w="5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360" w:type="dxa"/>
            <w:vAlign w:val="bottom"/>
          </w:tcPr>
          <w:p>
            <w:pPr>
              <w:spacing w:after="0"/>
              <w:rPr>
                <w:sz w:val="3"/>
                <w:szCs w:val="3"/>
                <w:color w:val="auto"/>
              </w:rPr>
            </w:pPr>
          </w:p>
        </w:tc>
      </w:tr>
      <w:tr>
        <w:trPr>
          <w:trHeight w:val="316"/>
        </w:trPr>
        <w:tc>
          <w:tcPr>
            <w:tcW w:w="5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w w:val="87"/>
              </w:rPr>
              <w:t>Press Release of Active Power, Inc. dated October 27, 2004</w:t>
            </w:r>
          </w:p>
        </w:tc>
      </w:tr>
      <w:tr>
        <w:trPr>
          <w:trHeight w:val="365"/>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October 27, 2004</w:t>
      </w:r>
      <w:r>
        <w:rPr>
          <w:sz w:val="20"/>
          <w:szCs w:val="20"/>
          <w:color w:val="auto"/>
        </w:rPr>
        <w:tab/>
      </w:r>
      <w:r>
        <w:rPr>
          <w:rFonts w:ascii="Arial" w:cs="Arial" w:eastAsia="Arial" w:hAnsi="Arial"/>
          <w:sz w:val="16"/>
          <w:szCs w:val="16"/>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40" w:type="dxa"/>
            <w:vAlign w:val="bottom"/>
          </w:tcPr>
          <w:p>
            <w:pPr>
              <w:ind w:left="288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Press Release of Active Power, Inc. dated October 27, 2004</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 of Active Power, Inc. dated October 27,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THIRD QUARTER RESULTS</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AUSTIN, Texas (October 27, 2004) — Active Power, Inc. (NASDAQ: ACPW) today announced results for its third quarter ended September 30, 2004. Revenues for the third quarter of fiscal 2004 were $4.1 million, an increase of 36% from the same period last year, and 10% sequentially from the previous quarter. Third quarter’s revenue growth was driven primarily by increased sales of our UPS products, including sales of our new 1200 kilovolt-amps (kVA) UPS product family.</w:t>
      </w:r>
    </w:p>
    <w:p>
      <w:pPr>
        <w:spacing w:after="0" w:line="9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Net loss for the third quarter of 2004 was $10.9 million, or 26 cents per share, compared to a net loss of $5.1 million, or 12 cents per share, for the same period last year and a net loss of $6.1 million, or 14 cents per share in the second quarter of 2004. Included in this third quarter’s net loss was a $4.8 million litigation settlement, or 11 cents per share, that ended the Magnex lawsuit. Product gross margin improved 19 percentage points from the same period last year, and 21 percentage points sequentially, to negative 10% due to several factors, including increased UPS product sales, material cost reductions on component parts and the recognition of $152,000 of previously deferred revenue due to the successful completion of required performance guarantees.</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Consumption of cash and investments for the quarter was $5.9 million, as compared to $4.5 million for the same period last year. The increase in cash and investment consumption was due primarily to the first installment payment against the litigation settlement of $806,000 and legal and professional fees associated with defending this lawsuit. Cash and investments at September 30, 2004 were $56.5 million.</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continue to post significant gains in sales, driven primarily by our new products,” said Joe Pinkerton, Chairman and CEO of Active Power. “The resulting increase in volume through our factory is also allowing us to show solid improvement in gross margin. We believe that sales of our new high power UPS line will drive additional revenue growth over the next several quarters.</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the launch of our thermal and compressed air storage (TACAS) technology in Q3, we are now promoting the industry’s first minute-for-minute alternative to batteries – CleanSource XR. Our prototypes have achieved each of their technical milestones, including operating at 80 kilowatts (kW) for 15 minutes in Q2 and at 10 kW for two hours during Q3. We plan to ship customers a number of CleanSource XR evaluation units over the next several months and begin full production in the second half of 2005.”</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Q3 Business Highlights:</w:t>
      </w:r>
    </w:p>
    <w:p>
      <w:pPr>
        <w:spacing w:after="0" w:line="77" w:lineRule="exact"/>
        <w:rPr>
          <w:sz w:val="20"/>
          <w:szCs w:val="20"/>
          <w:color w:val="auto"/>
        </w:rPr>
      </w:pPr>
    </w:p>
    <w:p>
      <w:pPr>
        <w:ind w:left="800" w:right="66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Operated a CleanSource XR prototype at 10 kW for over 2 hours, a milestone that positions the new product well for the low power UPS and telecommunications markets.</w:t>
      </w:r>
    </w:p>
    <w:p>
      <w:pPr>
        <w:spacing w:after="0" w:line="37" w:lineRule="exact"/>
        <w:rPr>
          <w:rFonts w:ascii="Arial" w:cs="Arial" w:eastAsia="Arial" w:hAnsi="Arial"/>
          <w:sz w:val="18"/>
          <w:szCs w:val="18"/>
          <w:color w:val="auto"/>
        </w:rPr>
      </w:pPr>
    </w:p>
    <w:p>
      <w:pPr>
        <w:ind w:left="800" w:hanging="346"/>
        <w:spacing w:after="0" w:line="306"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Launched our extended runtime technology at INTELEC in Chicago. Customer feedback to date has been overwhelmingly positive and several groups have requested a CleanSource XR evaluation unit. In addition to backup power, CleanSource XR is also being considered for utility load-shifting applications (storing low cost energy at night and delivering this energy at peak periods during the day).</w:t>
      </w:r>
    </w:p>
    <w:p>
      <w:pPr>
        <w:spacing w:after="0" w:line="12" w:lineRule="exact"/>
        <w:rPr>
          <w:rFonts w:ascii="Arial" w:cs="Arial" w:eastAsia="Arial" w:hAnsi="Arial"/>
          <w:sz w:val="16"/>
          <w:szCs w:val="16"/>
          <w:color w:val="auto"/>
        </w:rPr>
      </w:pPr>
    </w:p>
    <w:p>
      <w:pPr>
        <w:ind w:left="800" w:right="46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our first order for a parallel multi-megawatt UPS system from a government facility in Europe. This system will be used to protect the country’s vital homeland defense efforts. We expect to install the system in the first half of 2005.</w:t>
      </w:r>
    </w:p>
    <w:p>
      <w:pPr>
        <w:spacing w:after="0" w:line="37" w:lineRule="exact"/>
        <w:rPr>
          <w:rFonts w:ascii="Arial" w:cs="Arial" w:eastAsia="Arial" w:hAnsi="Arial"/>
          <w:sz w:val="18"/>
          <w:szCs w:val="18"/>
          <w:color w:val="auto"/>
        </w:rPr>
      </w:pPr>
    </w:p>
    <w:p>
      <w:pPr>
        <w:ind w:left="800" w:right="70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nine systems to healthcare facilities in Q3, including hospitals and transplant centers. Our products continue to perform very well in healthcare applications.</w:t>
      </w:r>
    </w:p>
    <w:p>
      <w:pPr>
        <w:spacing w:after="0" w:line="37"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a $2.7 million order for four high power continuous power systems (CPS) from an existing customer for an industrial application. We expect to ship product against this order over the next two quarters.</w:t>
      </w:r>
    </w:p>
    <w:p>
      <w:pPr>
        <w:spacing w:after="0" w:line="37" w:lineRule="exact"/>
        <w:rPr>
          <w:rFonts w:ascii="Arial" w:cs="Arial" w:eastAsia="Arial" w:hAnsi="Arial"/>
          <w:sz w:val="18"/>
          <w:szCs w:val="18"/>
          <w:color w:val="auto"/>
        </w:rPr>
      </w:pPr>
    </w:p>
    <w:p>
      <w:pPr>
        <w:ind w:left="800" w:right="42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three systems to broadcast customers in North America. Our mid-range UPS systems (65 kVA – 150 kVA) are an outstanding fit for this industry.</w:t>
      </w:r>
    </w:p>
    <w:p>
      <w:pPr>
        <w:spacing w:after="0" w:line="37"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Placed four systems with a leading semiconductor manufacturer to be used in their Austin, Texas facilities to protect critical semiconductor processing equipment.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a high power 1200 kVA UPS to a leading scientific research institute in North America.</w:t>
      </w:r>
    </w:p>
    <w:p>
      <w:pPr>
        <w:spacing w:after="0" w:line="76" w:lineRule="exact"/>
        <w:rPr>
          <w:rFonts w:ascii="Arial" w:cs="Arial" w:eastAsia="Arial" w:hAnsi="Arial"/>
          <w:sz w:val="18"/>
          <w:szCs w:val="18"/>
          <w:color w:val="auto"/>
        </w:rPr>
      </w:pPr>
    </w:p>
    <w:p>
      <w:pPr>
        <w:ind w:left="800" w:right="60" w:hanging="346"/>
        <w:spacing w:after="0" w:line="325"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Sold systems to several repeat customers, including government hospital facilities and state departments of transportation. Repeat customer orders are the strongest vote of confidence for our products and services, and the clearest demonstration of our customers’ satisfaction.</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Settled a lawsuit against the Company that had consumed resources for over two years and generated significant legal fees during 2004.</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Outlook:</w:t>
      </w:r>
    </w:p>
    <w:p>
      <w:pPr>
        <w:spacing w:after="0" w:line="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Active Power expects Q4 2004 revenue to increase to approximately $4.5 to $5.0 million, and Q4 earnings per share to be a loss of approximately 11 to 12 cents. We expect consumption of cash and investments in Q4 to be in the range of $10.0 to $11.0 million, including final payments for the litigation settlement and associated legal and professional fees of approximately $5.0 million, which were expensed in Q3 but not fully paid until Q4.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83" w:lineRule="exact"/>
        <w:rPr>
          <w:sz w:val="20"/>
          <w:szCs w:val="20"/>
          <w:color w:val="auto"/>
        </w:rPr>
      </w:pPr>
    </w:p>
    <w:p>
      <w:pPr>
        <w:ind w:right="120"/>
        <w:spacing w:after="0" w:line="333" w:lineRule="auto"/>
        <w:rPr>
          <w:sz w:val="20"/>
          <w:szCs w:val="20"/>
          <w:color w:val="auto"/>
        </w:rPr>
      </w:pPr>
      <w:r>
        <w:rPr>
          <w:rFonts w:ascii="Arial" w:cs="Arial" w:eastAsia="Arial" w:hAnsi="Arial"/>
          <w:sz w:val="16"/>
          <w:szCs w:val="16"/>
          <w:color w:val="auto"/>
        </w:rPr>
        <w:t>The Company will host a conference call today, Wednesday, October 27, at 11:00 a.m. Eastern Time, to further review the Company’s fiscal Q3 results. A replay of the webcast will be available until November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Investors may access the live broadcast and replay through our web site: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b w:val="1"/>
          <w:bCs w:val="1"/>
          <w:color w:val="auto"/>
        </w:rPr>
        <w:t>About Active Power:</w:t>
      </w:r>
    </w:p>
    <w:p>
      <w:pPr>
        <w:spacing w:after="0" w:line="83" w:lineRule="exact"/>
        <w:rPr>
          <w:sz w:val="20"/>
          <w:szCs w:val="20"/>
          <w:color w:val="auto"/>
        </w:rPr>
      </w:pPr>
    </w:p>
    <w:p>
      <w:pPr>
        <w:ind w:right="240"/>
        <w:spacing w:after="0" w:line="317"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that provides a highly reliable, low-cost and non-toxic replacement for lead-acid batteries used in conventional power quality installations.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8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Arial" w:cs="Arial" w:eastAsia="Arial" w:hAnsi="Arial"/>
          <w:sz w:val="21"/>
          <w:szCs w:val="21"/>
          <w:color w:val="auto"/>
          <w:vertAlign w:val="superscript"/>
        </w:rPr>
        <w:t>®</w:t>
      </w:r>
      <w:r>
        <w:rPr>
          <w:rFonts w:ascii="Arial" w:cs="Arial" w:eastAsia="Arial" w:hAnsi="Arial"/>
          <w:sz w:val="17"/>
          <w:szCs w:val="17"/>
          <w:color w:val="auto"/>
        </w:rPr>
        <w:t>; competition; delays in research and development; dependence on sole or limited source suppliers; inability to increase product sales; inventory risks; dependence upon key personnel; inability to protect our intellectual property rights; potential future acquisitions;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12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Active Power and our Active Power logo and CleanSource are registered trademarks of Active Power, Inc</w:t>
      </w:r>
      <w:r>
        <w:rPr>
          <w:rFonts w:ascii="Arial" w:cs="Arial" w:eastAsia="Arial" w:hAnsi="Arial"/>
          <w:sz w:val="18"/>
          <w:szCs w:val="18"/>
          <w:color w:val="auto"/>
        </w:rPr>
        <w:t>. All other trademarks are the properties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Michael Chibib, Investors, 512.744.9453, </w:t>
      </w:r>
      <w:r>
        <w:rPr>
          <w:rFonts w:ascii="Arial" w:cs="Arial" w:eastAsia="Arial" w:hAnsi="Arial"/>
          <w:sz w:val="18"/>
          <w:szCs w:val="18"/>
          <w:u w:val="single" w:color="auto"/>
          <w:color w:val="auto"/>
        </w:rPr>
        <w:t>mchibib@activepower.com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Derek Jones, Corporate Communications, 512.744.9210, </w:t>
      </w:r>
      <w:r>
        <w:rPr>
          <w:rFonts w:ascii="Arial" w:cs="Arial" w:eastAsia="Arial" w:hAnsi="Arial"/>
          <w:sz w:val="18"/>
          <w:szCs w:val="18"/>
          <w:u w:val="single" w:color="auto"/>
          <w:color w:val="auto"/>
        </w:rPr>
        <w:t>djones@activepower.com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9"/>
              </w:rPr>
              <w:t>Three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85"/>
              </w:rPr>
              <w:t>Nine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00" w:type="dxa"/>
            <w:vAlign w:val="bottom"/>
          </w:tcPr>
          <w:p>
            <w:pPr>
              <w:spacing w:after="0"/>
              <w:rPr>
                <w:sz w:val="12"/>
                <w:szCs w:val="12"/>
                <w:color w:val="auto"/>
              </w:rPr>
            </w:pPr>
          </w:p>
        </w:tc>
        <w:tc>
          <w:tcPr>
            <w:tcW w:w="15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Litigation settlement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(11,001)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(5,488)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(23,387)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(18,740)</w:t>
            </w:r>
          </w:p>
        </w:tc>
        <w:tc>
          <w:tcPr>
            <w:tcW w:w="0" w:type="dxa"/>
            <w:vAlign w:val="bottom"/>
          </w:tcPr>
          <w:p>
            <w:pPr>
              <w:spacing w:after="0"/>
              <w:rPr>
                <w:sz w:val="1"/>
                <w:szCs w:val="1"/>
                <w:color w:val="auto"/>
              </w:rPr>
            </w:pPr>
          </w:p>
        </w:tc>
      </w:tr>
      <w:tr>
        <w:trPr>
          <w:trHeight w:val="322"/>
        </w:trPr>
        <w:tc>
          <w:tcPr>
            <w:tcW w:w="56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(10,930)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(22,648)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42,559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41,995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42,389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(10,930)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(22,648)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Change in unrealized gain (loss) on investments in marketable securities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(10,642)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(22,763)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(17,676)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420" w:type="dxa"/>
            <w:vAlign w:val="bottom"/>
            <w:vMerge w:val="restart"/>
          </w:tcPr>
          <w:p>
            <w:pPr>
              <w:jc w:val="right"/>
              <w:ind w:right="217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-1663700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-1663700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-1663700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-1663700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-1663700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-1663700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-1663700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-1663700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-1663700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-1663700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-1663700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-1663700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-325755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4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58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8,232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9,125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58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58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liability</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Stockholders’ equity:</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215,673</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3"/>
              </w:rPr>
              <w:t>(152,666)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458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440" w:type="dxa"/>
            <w:vAlign w:val="bottom"/>
            <w:vMerge w:val="restart"/>
          </w:tcPr>
          <w:p>
            <w:pPr>
              <w:jc w:val="right"/>
              <w:ind w:right="319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40" w:type="dxa"/>
            <w:vAlign w:val="bottom"/>
          </w:tcPr>
          <w:p>
            <w:pPr>
              <w:jc w:val="right"/>
              <w:ind w:right="3272"/>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-3422015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-3422015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-3422015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-3422015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-3422015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-3422015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-557530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-557530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-557530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-557530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2019-12-14T17:58:56Z</dcterms:created>
  <dcterms:modified xsi:type="dcterms:W3CDTF">2019-12-14T17:58:56Z</dcterms:modified>
</cp:coreProperties>
</file>