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McCoy David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2699 HOWELL ST.,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P10,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09/19/2025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09/19/2025</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44,000</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12.08</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170,323</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160"/>
        <w:spacing w:after="0" w:line="253" w:lineRule="auto"/>
        <w:rPr>
          <w:sz w:val="20"/>
          <w:szCs w:val="20"/>
          <w:color w:val="auto"/>
        </w:rPr>
      </w:pPr>
      <w:r>
        <w:rPr>
          <w:rFonts w:ascii="Times New Roman" w:cs="Times New Roman" w:eastAsia="Times New Roman" w:hAnsi="Times New Roman"/>
          <w:sz w:val="13"/>
          <w:szCs w:val="13"/>
          <w:color w:val="008000"/>
        </w:rPr>
        <w:t>This Form 4 is being filed on behalf of David M. McCoy (the "Reporting Person"). The Reporting Person may be deemed to be a member of a Section 13(d) group that collectively beneficially owns more than 10% of the Issuer's outstanding Common Stock. The securities reported herein do not include any securities held by any group member other than the Reporting Person, as such securities are being reported in separate Form 4 filings.</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/s/Amanda Coussens,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7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the</w:t>
      </w:r>
      <w:r>
        <w:rPr>
          <w:sz w:val="20"/>
          <w:szCs w:val="20"/>
          <w:color w:val="auto"/>
        </w:rPr>
        <w:tab/>
      </w:r>
      <w:r>
        <w:rPr>
          <w:rFonts w:ascii="Times New Roman" w:cs="Times New Roman" w:eastAsia="Times New Roman" w:hAnsi="Times New Roman"/>
          <w:sz w:val="17"/>
          <w:szCs w:val="17"/>
          <w:color w:val="0000FF"/>
        </w:rPr>
        <w:t>09/23/2025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096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8953"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2025-09-23T16:42:43Z</dcterms:created>
  <dcterms:modified xsi:type="dcterms:W3CDTF">2025-09-23T16:42:43Z</dcterms:modified>
</cp:coreProperties>
</file>