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July 25,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2260" w:type="dxa"/>
            <w:vAlign w:val="bottom"/>
          </w:tcPr>
          <w:p>
            <w:pPr>
              <w:jc w:val="center"/>
              <w:ind w:right="486"/>
              <w:spacing w:after="0"/>
              <w:rPr>
                <w:sz w:val="20"/>
                <w:szCs w:val="20"/>
                <w:color w:val="auto"/>
              </w:rPr>
            </w:pPr>
            <w:r>
              <w:rPr>
                <w:rFonts w:ascii="Arial" w:cs="Arial" w:eastAsia="Arial" w:hAnsi="Arial"/>
                <w:sz w:val="18"/>
                <w:szCs w:val="18"/>
                <w:b w:val="1"/>
                <w:bCs w:val="1"/>
                <w:color w:val="auto"/>
                <w:w w:val="88"/>
              </w:rPr>
              <w:t>Delaware</w:t>
            </w:r>
          </w:p>
        </w:tc>
        <w:tc>
          <w:tcPr>
            <w:tcW w:w="3540" w:type="dxa"/>
            <w:vAlign w:val="bottom"/>
            <w:gridSpan w:val="2"/>
          </w:tcPr>
          <w:p>
            <w:pPr>
              <w:jc w:val="right"/>
              <w:ind w:right="597"/>
              <w:spacing w:after="0"/>
              <w:rPr>
                <w:sz w:val="20"/>
                <w:szCs w:val="20"/>
                <w:color w:val="auto"/>
              </w:rPr>
            </w:pPr>
            <w:r>
              <w:rPr>
                <w:rFonts w:ascii="Arial" w:cs="Arial" w:eastAsia="Arial" w:hAnsi="Arial"/>
                <w:sz w:val="18"/>
                <w:szCs w:val="18"/>
                <w:b w:val="1"/>
                <w:bCs w:val="1"/>
                <w:color w:val="auto"/>
              </w:rPr>
              <w:t>000-30939</w:t>
            </w:r>
          </w:p>
        </w:tc>
        <w:tc>
          <w:tcPr>
            <w:tcW w:w="1380" w:type="dxa"/>
            <w:vAlign w:val="bottom"/>
          </w:tcPr>
          <w:p>
            <w:pPr>
              <w:spacing w:after="0"/>
              <w:rPr>
                <w:sz w:val="18"/>
                <w:szCs w:val="18"/>
                <w:color w:val="auto"/>
              </w:rPr>
            </w:pPr>
          </w:p>
        </w:tc>
        <w:tc>
          <w:tcPr>
            <w:tcW w:w="1840" w:type="dxa"/>
            <w:vAlign w:val="bottom"/>
          </w:tcPr>
          <w:p>
            <w:pPr>
              <w:jc w:val="center"/>
              <w:ind w:left="72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2260" w:type="dxa"/>
            <w:vAlign w:val="bottom"/>
          </w:tcPr>
          <w:p>
            <w:pPr>
              <w:jc w:val="center"/>
              <w:ind w:right="4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60" w:type="dxa"/>
            <w:vAlign w:val="bottom"/>
          </w:tcPr>
          <w:p>
            <w:pPr>
              <w:spacing w:after="0"/>
              <w:rPr>
                <w:sz w:val="12"/>
                <w:szCs w:val="12"/>
                <w:color w:val="auto"/>
              </w:rPr>
            </w:pPr>
          </w:p>
        </w:tc>
        <w:tc>
          <w:tcPr>
            <w:tcW w:w="37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1840" w:type="dxa"/>
            <w:vAlign w:val="bottom"/>
          </w:tcPr>
          <w:p>
            <w:pPr>
              <w:jc w:val="center"/>
              <w:ind w:left="7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260" w:type="dxa"/>
            <w:vAlign w:val="bottom"/>
          </w:tcPr>
          <w:p>
            <w:pPr>
              <w:jc w:val="center"/>
              <w:ind w:right="466"/>
              <w:spacing w:after="0"/>
              <w:rPr>
                <w:sz w:val="20"/>
                <w:szCs w:val="20"/>
                <w:color w:val="auto"/>
              </w:rPr>
            </w:pPr>
            <w:r>
              <w:rPr>
                <w:rFonts w:ascii="Arial" w:cs="Arial" w:eastAsia="Arial" w:hAnsi="Arial"/>
                <w:sz w:val="14"/>
                <w:szCs w:val="14"/>
                <w:b w:val="1"/>
                <w:bCs w:val="1"/>
                <w:color w:val="auto"/>
                <w:w w:val="88"/>
              </w:rPr>
              <w:t>incorporation)</w:t>
            </w:r>
          </w:p>
        </w:tc>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706"/>
              <w:spacing w:after="0"/>
              <w:rPr>
                <w:sz w:val="20"/>
                <w:szCs w:val="20"/>
                <w:color w:val="auto"/>
              </w:rPr>
            </w:pPr>
            <w:r>
              <w:rPr>
                <w:rFonts w:ascii="Arial" w:cs="Arial" w:eastAsia="Arial" w:hAnsi="Arial"/>
                <w:sz w:val="14"/>
                <w:szCs w:val="14"/>
                <w:b w:val="1"/>
                <w:bCs w:val="1"/>
                <w:color w:val="auto"/>
                <w:w w:val="89"/>
              </w:rPr>
              <w:t>Identification No.)</w:t>
            </w:r>
          </w:p>
        </w:tc>
      </w:tr>
      <w:tr>
        <w:trPr>
          <w:trHeight w:val="163"/>
        </w:trPr>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57"/>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2128 W. Braker Lane, BK12</w:t>
            </w:r>
          </w:p>
        </w:tc>
        <w:tc>
          <w:tcPr>
            <w:tcW w:w="1840" w:type="dxa"/>
            <w:vAlign w:val="bottom"/>
          </w:tcPr>
          <w:p>
            <w:pPr>
              <w:spacing w:after="0"/>
              <w:rPr>
                <w:sz w:val="24"/>
                <w:szCs w:val="24"/>
                <w:color w:val="auto"/>
              </w:rPr>
            </w:pPr>
          </w:p>
        </w:tc>
      </w:tr>
      <w:tr>
        <w:trPr>
          <w:trHeight w:val="218"/>
        </w:trPr>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87"/>
              </w:rPr>
              <w:t>Austin, Texas 78758</w:t>
            </w:r>
          </w:p>
        </w:tc>
        <w:tc>
          <w:tcPr>
            <w:tcW w:w="1840" w:type="dxa"/>
            <w:vAlign w:val="bottom"/>
          </w:tcPr>
          <w:p>
            <w:pPr>
              <w:spacing w:after="0"/>
              <w:rPr>
                <w:sz w:val="18"/>
                <w:szCs w:val="18"/>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c>
          <w:tcPr>
            <w:tcW w:w="1840" w:type="dxa"/>
            <w:vAlign w:val="bottom"/>
          </w:tcPr>
          <w:p>
            <w:pPr>
              <w:spacing w:after="0"/>
              <w:rPr>
                <w:sz w:val="15"/>
                <w:szCs w:val="15"/>
                <w:color w:val="auto"/>
              </w:rPr>
            </w:pPr>
          </w:p>
        </w:tc>
      </w:tr>
      <w:tr>
        <w:trPr>
          <w:trHeight w:val="352"/>
        </w:trPr>
        <w:tc>
          <w:tcPr>
            <w:tcW w:w="2260" w:type="dxa"/>
            <w:vAlign w:val="bottom"/>
          </w:tcPr>
          <w:p>
            <w:pPr>
              <w:spacing w:after="0"/>
              <w:rPr>
                <w:sz w:val="24"/>
                <w:szCs w:val="24"/>
                <w:color w:val="auto"/>
              </w:rPr>
            </w:pPr>
          </w:p>
        </w:tc>
        <w:tc>
          <w:tcPr>
            <w:tcW w:w="3540" w:type="dxa"/>
            <w:vAlign w:val="bottom"/>
            <w:gridSpan w:val="2"/>
          </w:tcPr>
          <w:p>
            <w:pPr>
              <w:jc w:val="center"/>
              <w:ind w:left="1084"/>
              <w:spacing w:after="0"/>
              <w:rPr>
                <w:sz w:val="20"/>
                <w:szCs w:val="20"/>
                <w:color w:val="auto"/>
              </w:rPr>
            </w:pPr>
            <w:r>
              <w:rPr>
                <w:rFonts w:ascii="Arial" w:cs="Arial" w:eastAsia="Arial" w:hAnsi="Arial"/>
                <w:sz w:val="18"/>
                <w:szCs w:val="18"/>
                <w:b w:val="1"/>
                <w:bCs w:val="1"/>
                <w:color w:val="auto"/>
                <w:w w:val="89"/>
              </w:rPr>
              <w:t>(512) 836-6464</w:t>
            </w: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840" w:type="dxa"/>
            <w:vAlign w:val="bottom"/>
          </w:tcPr>
          <w:p>
            <w:pPr>
              <w:spacing w:after="0"/>
              <w:rPr>
                <w:sz w:val="15"/>
                <w:szCs w:val="15"/>
                <w:color w:val="auto"/>
              </w:rPr>
            </w:pPr>
          </w:p>
        </w:tc>
      </w:tr>
      <w:tr>
        <w:trPr>
          <w:trHeight w:val="352"/>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88"/>
              </w:rPr>
              <w:t>Not Applicable</w:t>
            </w:r>
          </w:p>
        </w:tc>
        <w:tc>
          <w:tcPr>
            <w:tcW w:w="184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840" w:type="dxa"/>
            <w:vAlign w:val="bottom"/>
          </w:tcPr>
          <w:p>
            <w:pPr>
              <w:spacing w:after="0"/>
              <w:rPr>
                <w:sz w:val="15"/>
                <w:szCs w:val="15"/>
                <w:color w:val="auto"/>
              </w:rPr>
            </w:pPr>
          </w:p>
        </w:tc>
      </w:tr>
    </w:tbl>
    <w:p>
      <w:pPr>
        <w:spacing w:after="0" w:line="14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 and Financial Condition.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25, 2008, Active Power, Inc. issued a press release reporting its results of operations for its fiscal quarter ended June 30, 2008. A copy of the press release is furnished herewith as Exhibit 99.1.</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information furnished in this Current Report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July 25, 2008.</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080" w:val="left"/>
          <w:tab w:leader="none" w:pos="5540" w:val="left"/>
        </w:tabs>
        <w:rPr>
          <w:sz w:val="20"/>
          <w:szCs w:val="20"/>
          <w:color w:val="auto"/>
        </w:rPr>
      </w:pPr>
      <w:r>
        <w:rPr>
          <w:rFonts w:ascii="Arial" w:cs="Arial" w:eastAsia="Arial" w:hAnsi="Arial"/>
          <w:sz w:val="18"/>
          <w:szCs w:val="18"/>
          <w:color w:val="auto"/>
        </w:rPr>
        <w:t>Date: July 25,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10795</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Press Release of Active Power, Inc. dated July 25, 2008.</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5831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583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Active Power Announces Second Quarter 2008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Increases Gross Profit Margin; Continues to Reduce Operating Losses</w:t>
      </w:r>
    </w:p>
    <w:p>
      <w:pPr>
        <w:spacing w:after="0" w:line="156"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b w:val="1"/>
          <w:bCs w:val="1"/>
          <w:color w:val="auto"/>
        </w:rPr>
        <w:t xml:space="preserve">AUSTIN, Texas (July 25, 2008) </w:t>
      </w:r>
      <w:r>
        <w:rPr>
          <w:rFonts w:ascii="Arial" w:cs="Arial" w:eastAsia="Arial" w:hAnsi="Arial"/>
          <w:sz w:val="18"/>
          <w:szCs w:val="18"/>
          <w:color w:val="auto"/>
        </w:rPr>
        <w:t>– Active Power, Inc. (NASDAQ: ACPW) today announced results for its second quarter ended June 30, 2008.</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for the second quarter was $6.8 million, a 10 percent decrease from the previous quarter and a decrease of 26 percent from the same period last year. For the six months ended June 30, 2008, revenues were $14.3 million compared to $15.2 million in 2007. The net loss for the quarter was $4.4 million, or 7 cents per share, compared to a net loss of $4.5 million or 7 cents per share in the prior quarter and a loss of $4.6 million, or 9 cents per share, for the same period last year.</w:t>
      </w:r>
    </w:p>
    <w:p>
      <w:pPr>
        <w:spacing w:after="0" w:line="153"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For the quarter, Active Power reported a gross profit margin of 14 percent compared to 10 percent in the previous quarter and compared to 17 percent in the same period last year. The decrease in cash and investments during the quarter was $3.2 million compared to a decrease of $5.1 million in the previous quarter and a decrease of $4.4 million in the same period last year. Cash and investments on June 30, 2008, were $14.2 million.</w:t>
      </w:r>
    </w:p>
    <w:p>
      <w:pPr>
        <w:spacing w:after="0" w:line="15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quarterly results were achieved within the guidance provided,” said Jim Clishem, president and CEO of Active Power. “As we advised at the beginning of second quarter, we anticipated delays in receiving orders and recognizing revenue due to a higher mix of large systems and containerized product opportunities that typically have longer sales cycles. As anticipated, we have seen a significant increase in new orders. Since April, we have received orders valued at more than $15 million, positioning us for a strong second half of the year. We believe our key differentiators of efficient, reliable and green are becoming even more attractive to major data center operators who are struggling in an environment of economic uncertainty and increasing energy demand and cost.”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99" w:lineRule="exact"/>
        <w:rPr>
          <w:sz w:val="20"/>
          <w:szCs w:val="20"/>
          <w:color w:val="auto"/>
        </w:rPr>
      </w:pPr>
    </w:p>
    <w:p>
      <w:pPr>
        <w:ind w:left="900" w:right="340" w:hanging="325"/>
        <w:spacing w:after="0" w:line="23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multiple sales orders for Megawatt Class CleanSource UPS systems and PowerHouse solutions from global customers including Tesco and a Chinese utility, one of the largest subsidiaries of the China National Power Grid.</w:t>
      </w:r>
    </w:p>
    <w:p>
      <w:pPr>
        <w:spacing w:after="0" w:line="73" w:lineRule="exact"/>
        <w:rPr>
          <w:rFonts w:ascii="Arial" w:cs="Arial" w:eastAsia="Arial" w:hAnsi="Arial"/>
          <w:sz w:val="18"/>
          <w:szCs w:val="18"/>
          <w:color w:val="auto"/>
        </w:rPr>
      </w:pPr>
    </w:p>
    <w:p>
      <w:pPr>
        <w:ind w:left="900" w:right="520" w:hanging="325"/>
        <w:spacing w:after="0" w:line="23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relationship with Sun Microsystems where Active Power’s PowerHouse containerized solution will complement Sun’s Modular Datacenter.</w:t>
      </w:r>
    </w:p>
    <w:p>
      <w:pPr>
        <w:sectPr>
          <w:pgSz w:w="11900" w:h="16838" w:orient="portrait"/>
          <w:cols w:equalWidth="0" w:num="1">
            <w:col w:w="11420"/>
          </w:cols>
          <w:pgMar w:left="240" w:top="121" w:right="239" w:bottom="1440" w:gutter="0" w:footer="0" w:header="0"/>
        </w:sectPr>
      </w:pPr>
    </w:p>
    <w:bookmarkStart w:id="5" w:name="page6"/>
    <w:bookmarkEnd w:id="5"/>
    <w:p>
      <w:pPr>
        <w:ind w:left="900" w:right="460" w:hanging="325"/>
        <w:spacing w:after="0" w:line="21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Received multiple product certifications from China Ministry of Information Industry for CleanSource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UPS 300 Series product line which will allow Active Power to sell UPS solutions in China.</w:t>
      </w:r>
    </w:p>
    <w:p>
      <w:pPr>
        <w:spacing w:after="0" w:line="74"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sales accounted for 50 percent of total second quarter sales while indirect channels contributed 50 percent.</w:t>
      </w:r>
    </w:p>
    <w:p>
      <w:pPr>
        <w:spacing w:after="0" w:line="76" w:lineRule="exact"/>
        <w:rPr>
          <w:rFonts w:ascii="Arial" w:cs="Arial" w:eastAsia="Arial" w:hAnsi="Arial"/>
          <w:sz w:val="18"/>
          <w:szCs w:val="18"/>
          <w:color w:val="auto"/>
        </w:rPr>
      </w:pPr>
    </w:p>
    <w:p>
      <w:pPr>
        <w:ind w:left="900" w:right="260" w:hanging="325"/>
        <w:spacing w:after="0" w:line="23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 revenues for first half of 2008 were 15 percent higher compared to 2007 levels, which continue to reflect benefits of having a direct sales model in place and selling full solutions.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Shipped equipment to eight countries outside the U.S. in second quarter, which represented 39 percent of revenue.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Active Power expects third quarter 2008 revenues to be between $9 and $12 million. Third quarter earnings per share are expected to be a loss of approximately 4 to 6 cents. Active Power expects its cash and investments balance to decrease in the third quarter by $3 and $4 million as we fund an anticipated increase in working capital due to the expected higher business levels.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Active Power will host a conference call today, Friday, July 25, 2008, at 11:00 a.m. (ET), to further review second quarter 2008 results. Interested parties can listen via Web cast at </w:t>
      </w:r>
      <w:r>
        <w:rPr>
          <w:rFonts w:ascii="Arial" w:cs="Arial" w:eastAsia="Arial" w:hAnsi="Arial"/>
          <w:sz w:val="18"/>
          <w:szCs w:val="18"/>
          <w:u w:val="single" w:color="auto"/>
          <w:color w:val="auto"/>
        </w:rPr>
        <w:t>http://www.videonewswire.com/event.asp?id=49404</w:t>
      </w:r>
      <w:r>
        <w:rPr>
          <w:rFonts w:ascii="Arial" w:cs="Arial" w:eastAsia="Arial" w:hAnsi="Arial"/>
          <w:sz w:val="18"/>
          <w:szCs w:val="18"/>
          <w:color w:val="auto"/>
        </w:rPr>
        <w:t xml:space="preserve">. A replay of the Web cast will be available until August 8, 2008. Investors may access the live broadcast and replay via Active Power’s Web site at </w:t>
      </w:r>
      <w:r>
        <w:rPr>
          <w:rFonts w:ascii="Arial" w:cs="Arial" w:eastAsia="Arial" w:hAnsi="Arial"/>
          <w:sz w:val="18"/>
          <w:szCs w:val="18"/>
          <w:u w:val="single" w:color="auto"/>
          <w:color w:val="auto"/>
        </w:rPr>
        <w:t>www.activepower.com</w:t>
      </w:r>
      <w:r>
        <w:rPr>
          <w:rFonts w:ascii="Arial" w:cs="Arial" w:eastAsia="Arial" w:hAnsi="Arial"/>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ectPr>
          <w:pgSz w:w="11900" w:h="16838" w:orient="portrait"/>
          <w:cols w:equalWidth="0" w:num="1">
            <w:col w:w="11420"/>
          </w:cols>
          <w:pgMar w:left="240" w:top="291" w:right="239" w:bottom="1440" w:gutter="0" w:footer="0" w:header="0"/>
        </w:sectPr>
      </w:pPr>
    </w:p>
    <w:bookmarkStart w:id="6" w:name="page7"/>
    <w:bookmarkEnd w:id="6"/>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CleanSource and CoolAir are registered trademarks of Active Power, Inc. The Active Power logo, PowerHouse and PowerCentre are trademarks of Active Power, Inc. All other trademarks are the properties of their respective companies.</w:t>
      </w:r>
    </w:p>
    <w:p>
      <w:pPr>
        <w:sectPr>
          <w:pgSz w:w="11900" w:h="16838" w:orient="portrait"/>
          <w:cols w:equalWidth="0" w:num="1">
            <w:col w:w="11120"/>
          </w:cols>
          <w:pgMar w:left="240" w:top="291" w:right="5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512-744-9234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234" w:lineRule="auto"/>
        <w:rPr>
          <w:sz w:val="20"/>
          <w:szCs w:val="20"/>
          <w:color w:val="auto"/>
        </w:rPr>
      </w:pPr>
      <w:r>
        <w:rPr>
          <w:rFonts w:ascii="Arial" w:cs="Arial" w:eastAsia="Arial" w:hAnsi="Arial"/>
          <w:sz w:val="18"/>
          <w:szCs w:val="18"/>
          <w:color w:val="auto"/>
        </w:rPr>
        <w:t>Public Relations Manager</w:t>
      </w:r>
    </w:p>
    <w:p>
      <w:pPr>
        <w:spacing w:after="0" w:line="235" w:lineRule="auto"/>
        <w:rPr>
          <w:sz w:val="20"/>
          <w:szCs w:val="20"/>
          <w:color w:val="auto"/>
        </w:rPr>
      </w:pPr>
      <w:r>
        <w:rPr>
          <w:rFonts w:ascii="Arial" w:cs="Arial" w:eastAsia="Arial" w:hAnsi="Arial"/>
          <w:sz w:val="18"/>
          <w:szCs w:val="18"/>
          <w:color w:val="auto"/>
        </w:rPr>
        <w:t>512-744-9488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ectPr>
          <w:pgSz w:w="11900" w:h="16838" w:orient="portrait"/>
          <w:cols w:equalWidth="0" w:num="2">
            <w:col w:w="5240" w:space="720"/>
            <w:col w:w="5160"/>
          </w:cols>
          <w:pgMar w:left="240" w:top="291" w:right="5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99"/>
              </w:rPr>
              <w:t>Three</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Months Ended</w:t>
            </w:r>
          </w:p>
        </w:tc>
        <w:tc>
          <w:tcPr>
            <w:tcW w:w="100" w:type="dxa"/>
            <w:vAlign w:val="bottom"/>
          </w:tcPr>
          <w:p>
            <w:pPr>
              <w:spacing w:after="0"/>
              <w:rPr>
                <w:sz w:val="12"/>
                <w:szCs w:val="12"/>
                <w:color w:val="auto"/>
              </w:rPr>
            </w:pPr>
          </w:p>
        </w:tc>
        <w:tc>
          <w:tcPr>
            <w:tcW w:w="162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Months Ended</w:t>
            </w:r>
          </w:p>
        </w:tc>
      </w:tr>
      <w:tr>
        <w:trPr>
          <w:trHeight w:val="165"/>
        </w:trPr>
        <w:tc>
          <w:tcPr>
            <w:tcW w:w="6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4"/>
                <w:szCs w:val="1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6"/>
              </w:rPr>
              <w:t>June 30,</w:t>
            </w:r>
          </w:p>
        </w:tc>
      </w:tr>
      <w:tr>
        <w:trPr>
          <w:trHeight w:val="142"/>
        </w:trPr>
        <w:tc>
          <w:tcPr>
            <w:tcW w:w="6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Product revenue</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5,592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7,725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11,840</w:t>
            </w:r>
          </w:p>
        </w:tc>
        <w:tc>
          <w:tcPr>
            <w:tcW w:w="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12,996</w:t>
            </w:r>
          </w:p>
        </w:tc>
        <w:tc>
          <w:tcPr>
            <w:tcW w:w="6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Service and spares revenue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1,457</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2,486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2,159</w:t>
            </w:r>
          </w:p>
        </w:tc>
        <w:tc>
          <w:tcPr>
            <w:tcW w:w="60" w:type="dxa"/>
            <w:vAlign w:val="bottom"/>
          </w:tcPr>
          <w:p>
            <w:pPr>
              <w:spacing w:after="0"/>
              <w:rPr>
                <w:sz w:val="17"/>
                <w:szCs w:val="17"/>
                <w:color w:val="auto"/>
              </w:rPr>
            </w:pPr>
          </w:p>
        </w:tc>
      </w:tr>
      <w:tr>
        <w:trPr>
          <w:trHeight w:val="27"/>
        </w:trPr>
        <w:tc>
          <w:tcPr>
            <w:tcW w:w="6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5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9,182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14,326</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15,155</w:t>
            </w:r>
          </w:p>
        </w:tc>
        <w:tc>
          <w:tcPr>
            <w:tcW w:w="60" w:type="dxa"/>
            <w:vAlign w:val="bottom"/>
            <w:shd w:val="clear" w:color="auto" w:fill="CCEEFF"/>
          </w:tcPr>
          <w:p>
            <w:pPr>
              <w:spacing w:after="0"/>
              <w:rPr>
                <w:sz w:val="17"/>
                <w:szCs w:val="17"/>
                <w:color w:val="auto"/>
              </w:rPr>
            </w:pPr>
          </w:p>
        </w:tc>
      </w:tr>
      <w:tr>
        <w:trPr>
          <w:trHeight w:val="311"/>
        </w:trPr>
        <w:tc>
          <w:tcPr>
            <w:tcW w:w="6560" w:type="dxa"/>
            <w:vAlign w:val="bottom"/>
          </w:tcPr>
          <w:p>
            <w:pPr>
              <w:ind w:left="440"/>
              <w:spacing w:after="0"/>
              <w:rPr>
                <w:sz w:val="20"/>
                <w:szCs w:val="20"/>
                <w:color w:val="auto"/>
              </w:rPr>
            </w:pPr>
            <w:r>
              <w:rPr>
                <w:rFonts w:ascii="Arial" w:cs="Arial" w:eastAsia="Arial" w:hAnsi="Arial"/>
                <w:sz w:val="18"/>
                <w:szCs w:val="18"/>
                <w:color w:val="auto"/>
              </w:rPr>
              <w:t>Cost of product revenue</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4,765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11,380</w:t>
            </w:r>
          </w:p>
        </w:tc>
        <w:tc>
          <w:tcPr>
            <w:tcW w:w="60" w:type="dxa"/>
            <w:vAlign w:val="bottom"/>
          </w:tcPr>
          <w:p>
            <w:pPr>
              <w:spacing w:after="0"/>
              <w:rPr>
                <w:sz w:val="24"/>
                <w:szCs w:val="24"/>
                <w:color w:val="auto"/>
              </w:rPr>
            </w:pPr>
          </w:p>
        </w:tc>
      </w:tr>
      <w:tr>
        <w:trPr>
          <w:trHeight w:val="203"/>
        </w:trPr>
        <w:tc>
          <w:tcPr>
            <w:tcW w:w="6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Cost of service and spares revenue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6560" w:type="dxa"/>
            <w:vAlign w:val="bottom"/>
          </w:tcPr>
          <w:p>
            <w:pPr>
              <w:ind w:left="880"/>
              <w:spacing w:after="0"/>
              <w:rPr>
                <w:sz w:val="20"/>
                <w:szCs w:val="20"/>
                <w:color w:val="auto"/>
              </w:rPr>
            </w:pPr>
            <w:r>
              <w:rPr>
                <w:rFonts w:ascii="Arial" w:cs="Arial" w:eastAsia="Arial" w:hAnsi="Arial"/>
                <w:sz w:val="18"/>
                <w:szCs w:val="18"/>
                <w:color w:val="auto"/>
              </w:rPr>
              <w:t>Total cost of revenue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5,846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12,601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13,271</w:t>
            </w:r>
          </w:p>
        </w:tc>
        <w:tc>
          <w:tcPr>
            <w:tcW w:w="60" w:type="dxa"/>
            <w:vAlign w:val="bottom"/>
          </w:tcPr>
          <w:p>
            <w:pPr>
              <w:spacing w:after="0"/>
              <w:rPr>
                <w:sz w:val="19"/>
                <w:szCs w:val="19"/>
                <w:color w:val="auto"/>
              </w:rPr>
            </w:pPr>
          </w:p>
        </w:tc>
      </w:tr>
      <w:tr>
        <w:trPr>
          <w:trHeight w:val="97"/>
        </w:trPr>
        <w:tc>
          <w:tcPr>
            <w:tcW w:w="6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1,884</w:t>
            </w:r>
          </w:p>
        </w:tc>
        <w:tc>
          <w:tcPr>
            <w:tcW w:w="60" w:type="dxa"/>
            <w:vAlign w:val="bottom"/>
            <w:shd w:val="clear" w:color="auto" w:fill="CCEEFF"/>
          </w:tcPr>
          <w:p>
            <w:pPr>
              <w:spacing w:after="0"/>
              <w:rPr>
                <w:sz w:val="17"/>
                <w:szCs w:val="17"/>
                <w:color w:val="auto"/>
              </w:rPr>
            </w:pP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6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2,706</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2,910</w:t>
            </w:r>
          </w:p>
        </w:tc>
        <w:tc>
          <w:tcPr>
            <w:tcW w:w="60" w:type="dxa"/>
            <w:vAlign w:val="bottom"/>
            <w:shd w:val="clear" w:color="auto" w:fill="CCEEFF"/>
          </w:tcPr>
          <w:p>
            <w:pPr>
              <w:spacing w:after="0"/>
              <w:rPr>
                <w:sz w:val="17"/>
                <w:szCs w:val="17"/>
                <w:color w:val="auto"/>
              </w:rPr>
            </w:pPr>
          </w:p>
        </w:tc>
      </w:tr>
      <w:tr>
        <w:trPr>
          <w:trHeight w:val="203"/>
        </w:trPr>
        <w:tc>
          <w:tcPr>
            <w:tcW w:w="6560" w:type="dxa"/>
            <w:vAlign w:val="bottom"/>
          </w:tcPr>
          <w:p>
            <w:pPr>
              <w:ind w:left="440"/>
              <w:spacing w:after="0" w:line="202" w:lineRule="exact"/>
              <w:rPr>
                <w:sz w:val="20"/>
                <w:szCs w:val="20"/>
                <w:color w:val="auto"/>
              </w:rPr>
            </w:pPr>
            <w:r>
              <w:rPr>
                <w:rFonts w:ascii="Arial" w:cs="Arial" w:eastAsia="Arial" w:hAnsi="Arial"/>
                <w:sz w:val="18"/>
                <w:szCs w:val="18"/>
                <w:color w:val="auto"/>
              </w:rPr>
              <w:t>Selling and marketing</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3,055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2,621</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6,005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5,246</w:t>
            </w:r>
          </w:p>
        </w:tc>
        <w:tc>
          <w:tcPr>
            <w:tcW w:w="6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General &amp; administrative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2,368</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5,207</w:t>
            </w:r>
          </w:p>
        </w:tc>
        <w:tc>
          <w:tcPr>
            <w:tcW w:w="60" w:type="dxa"/>
            <w:vAlign w:val="bottom"/>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56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11,079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13,363</w:t>
            </w:r>
          </w:p>
        </w:tc>
        <w:tc>
          <w:tcPr>
            <w:tcW w:w="60" w:type="dxa"/>
            <w:vAlign w:val="bottom"/>
          </w:tcPr>
          <w:p>
            <w:pPr>
              <w:spacing w:after="0"/>
              <w:rPr>
                <w:sz w:val="18"/>
                <w:szCs w:val="18"/>
                <w:color w:val="auto"/>
              </w:rPr>
            </w:pPr>
          </w:p>
        </w:tc>
      </w:tr>
      <w:tr>
        <w:trPr>
          <w:trHeight w:val="27"/>
        </w:trPr>
        <w:tc>
          <w:tcPr>
            <w:tcW w:w="6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(4,856)</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(9,354)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(11,479)</w:t>
            </w:r>
          </w:p>
        </w:tc>
      </w:tr>
      <w:tr>
        <w:trPr>
          <w:trHeight w:val="322"/>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4"/>
                <w:szCs w:val="24"/>
                <w:color w:val="auto"/>
              </w:rPr>
            </w:pPr>
          </w:p>
        </w:tc>
      </w:tr>
      <w:tr>
        <w:trPr>
          <w:trHeight w:val="97"/>
        </w:trPr>
        <w:tc>
          <w:tcPr>
            <w:tcW w:w="6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(4,427)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(8,896)</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(11,070)</w:t>
            </w:r>
          </w:p>
        </w:tc>
      </w:tr>
      <w:tr>
        <w:trPr>
          <w:trHeight w:val="20"/>
        </w:trPr>
        <w:tc>
          <w:tcPr>
            <w:tcW w:w="6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6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basic &amp; diluted</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(0.22)</w:t>
            </w:r>
          </w:p>
        </w:tc>
      </w:tr>
      <w:tr>
        <w:trPr>
          <w:trHeight w:val="214"/>
        </w:trPr>
        <w:tc>
          <w:tcPr>
            <w:tcW w:w="656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60,124</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50,090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60,124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50,089</w:t>
            </w:r>
          </w:p>
        </w:tc>
        <w:tc>
          <w:tcPr>
            <w:tcW w:w="60" w:type="dxa"/>
            <w:vAlign w:val="bottom"/>
          </w:tcPr>
          <w:p>
            <w:pPr>
              <w:spacing w:after="0"/>
              <w:rPr>
                <w:sz w:val="18"/>
                <w:szCs w:val="18"/>
                <w:color w:val="auto"/>
              </w:rPr>
            </w:pPr>
          </w:p>
        </w:tc>
      </w:tr>
      <w:tr>
        <w:trPr>
          <w:trHeight w:val="97"/>
        </w:trPr>
        <w:tc>
          <w:tcPr>
            <w:tcW w:w="6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loss: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560" w:type="dxa"/>
            <w:vAlign w:val="bottom"/>
          </w:tcPr>
          <w:p>
            <w:pPr>
              <w:ind w:left="440"/>
              <w:spacing w:after="0" w:line="202" w:lineRule="exact"/>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(4,427)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(4,646)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(8,896)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(11,070)</w:t>
            </w:r>
          </w:p>
        </w:tc>
      </w:tr>
      <w:tr>
        <w:trPr>
          <w:trHeight w:val="203"/>
        </w:trPr>
        <w:tc>
          <w:tcPr>
            <w:tcW w:w="6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Translation loss on subsidiaries in foreign currencies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03"/>
        </w:trPr>
        <w:tc>
          <w:tcPr>
            <w:tcW w:w="6560" w:type="dxa"/>
            <w:vAlign w:val="bottom"/>
          </w:tcPr>
          <w:p>
            <w:pPr>
              <w:ind w:left="440"/>
              <w:spacing w:after="0" w:line="202" w:lineRule="exact"/>
              <w:rPr>
                <w:sz w:val="20"/>
                <w:szCs w:val="20"/>
                <w:color w:val="auto"/>
              </w:rPr>
            </w:pPr>
            <w:r>
              <w:rPr>
                <w:rFonts w:ascii="Arial" w:cs="Arial" w:eastAsia="Arial" w:hAnsi="Arial"/>
                <w:sz w:val="18"/>
                <w:szCs w:val="18"/>
                <w:color w:val="auto"/>
              </w:rPr>
              <w:t>Unrealized gain (loss) on investments in marketable securities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Comprehensive loss</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(4,280)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(8,576)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(11,159)</w:t>
            </w:r>
          </w:p>
        </w:tc>
      </w:tr>
      <w:tr>
        <w:trPr>
          <w:trHeight w:val="20"/>
        </w:trPr>
        <w:tc>
          <w:tcPr>
            <w:tcW w:w="6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26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June 30,</w:t>
            </w:r>
          </w:p>
        </w:tc>
        <w:tc>
          <w:tcPr>
            <w:tcW w:w="2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12,298</w:t>
            </w: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420"/>
              <w:spacing w:after="0" w:line="202" w:lineRule="exact"/>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655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42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8,678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9,198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28,158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5,191</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1,241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35,029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9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2,526</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42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4,681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2,351</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90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420"/>
              <w:spacing w:after="0" w:line="202" w:lineRule="exact"/>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259,458</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258,630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42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5"/>
              </w:rPr>
              <w:t>(234,297)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accumulated comprehensive income (loss)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25,446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35,029</w:t>
            </w: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2019-12-14T18:10:48Z</dcterms:created>
  <dcterms:modified xsi:type="dcterms:W3CDTF">2019-12-14T18:10:48Z</dcterms:modified>
</cp:coreProperties>
</file>