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226060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P10,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87-2908160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4384"/>
        <w:spacing w:after="0"/>
        <w:rPr>
          <w:sz w:val="20"/>
          <w:szCs w:val="20"/>
          <w:color w:val="auto"/>
        </w:rPr>
      </w:pPr>
      <w:r>
        <w:rPr>
          <w:rFonts w:ascii="Arial" w:cs="Arial" w:eastAsia="Arial" w:hAnsi="Arial"/>
          <w:sz w:val="18"/>
          <w:szCs w:val="18"/>
          <w:b w:val="1"/>
          <w:bCs w:val="1"/>
          <w:color w:val="auto"/>
        </w:rPr>
        <w:t>4514 Cole Avenue, Suite 1600</w:t>
      </w:r>
    </w:p>
    <w:p>
      <w:pPr>
        <w:spacing w:after="0" w:line="27" w:lineRule="exact"/>
        <w:rPr>
          <w:sz w:val="24"/>
          <w:szCs w:val="24"/>
          <w:color w:val="auto"/>
        </w:rPr>
      </w:pPr>
    </w:p>
    <w:p>
      <w:pPr>
        <w:ind w:left="4764"/>
        <w:spacing w:after="0"/>
        <w:rPr>
          <w:sz w:val="20"/>
          <w:szCs w:val="20"/>
          <w:color w:val="auto"/>
        </w:rPr>
      </w:pPr>
      <w:r>
        <w:rPr>
          <w:rFonts w:ascii="Arial" w:cs="Arial" w:eastAsia="Arial" w:hAnsi="Arial"/>
          <w:sz w:val="18"/>
          <w:szCs w:val="18"/>
          <w:b w:val="1"/>
          <w:bCs w:val="1"/>
          <w:color w:val="auto"/>
        </w:rPr>
        <w:t>Dallas, Texas 75205</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(Address of principal executive offices and Zip Code)</w:t>
      </w:r>
    </w:p>
    <w:p>
      <w:pPr>
        <w:spacing w:after="0" w:line="17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(214) 865-7998</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2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PX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New York Stock Exchange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Series A Junior Participating Preferred Stock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6"/>
          <w:szCs w:val="16"/>
          <w:b w:val="1"/>
          <w:bCs w:val="1"/>
          <w:color w:val="auto"/>
        </w:rPr>
        <w:t>Certain Officers; Election of Directors; Appointment of Certain Officers; Compensatory Arrangements of Certain Officers</w:t>
      </w:r>
    </w:p>
    <w:p>
      <w:pPr>
        <w:spacing w:after="0" w:line="121" w:lineRule="exact"/>
        <w:rPr>
          <w:sz w:val="20"/>
          <w:szCs w:val="20"/>
          <w:color w:val="auto"/>
        </w:rPr>
      </w:pPr>
    </w:p>
    <w:p>
      <w:pPr>
        <w:ind w:left="244" w:hanging="244"/>
        <w:spacing w:after="0"/>
        <w:tabs>
          <w:tab w:leader="none" w:pos="24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Compensatory Arrangements</w:t>
      </w:r>
      <w:r>
        <w:rPr>
          <w:rFonts w:ascii="Arial" w:cs="Arial" w:eastAsia="Arial" w:hAnsi="Arial"/>
          <w:sz w:val="18"/>
          <w:szCs w:val="18"/>
          <w:i w:val="1"/>
          <w:iCs w:val="1"/>
          <w:color w:val="auto"/>
        </w:rPr>
        <w:t>.</w:t>
      </w:r>
    </w:p>
    <w:p>
      <w:pPr>
        <w:spacing w:after="0" w:line="11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Compensation Committee of the Company’s Board of Director’s (the “Committee”) reviewed and approved executive officer compensation and approved 2021 bonuses, and 2022 salary and the 2022 Compensation Plan.</w:t>
      </w:r>
    </w:p>
    <w:p>
      <w:pPr>
        <w:spacing w:after="0" w:line="170"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On February 28, 2022 the Company paid discretionary cash bonuses to certain executive officers of the Company for their performance in 2021, including to the Company’s Chief Financial Officer, Amanda Coussens, who received a bonus of $167,500. All other executive officers received compensation in accordance with their employment agreements. These payments were reviewed and approved by the Committee.</w:t>
      </w:r>
    </w:p>
    <w:p>
      <w:pPr>
        <w:spacing w:after="0" w:line="165"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Additionally, Ms. Coussen’s base salary for 2022 was increased from $325,000 to $400,000 per annum. Base salaries for 2022 for the other executive officers were unchanged. The salaries were reviewed and approved by the Committee.</w:t>
      </w:r>
    </w:p>
    <w:p>
      <w:pPr>
        <w:spacing w:after="0" w:line="170"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The Committee reviewed and approved the 2022 Compensation Plan for the Company’s executive officers, which provides for a discretionary bonus to be paid to each executive officer in the range of $200,000 to $400,000, in the amount to be determined by the Committee, which may be paid in cash and/or restricted stock units (“RSUs”), upon mutual agreement of the Company and the executive. RSUs were issued to Ms. Coussens in the amount of 8,385 shares, as well as to other executive officers in accordance with their employment agreements. All such RSUs vest on the one-year anniversary of the date of grant. In addition, Ms. Coussens was granted options to acquire 39,713 shares of the Company’s Class A Common Stock. These options vest on the 5</w:t>
      </w:r>
      <w:r>
        <w:rPr>
          <w:rFonts w:ascii="Arial" w:cs="Arial" w:eastAsia="Arial" w:hAnsi="Arial"/>
          <w:sz w:val="14"/>
          <w:szCs w:val="14"/>
          <w:color w:val="auto"/>
        </w:rPr>
        <w:t>th</w:t>
      </w:r>
      <w:r>
        <w:rPr>
          <w:rFonts w:ascii="Arial" w:cs="Arial" w:eastAsia="Arial" w:hAnsi="Arial"/>
          <w:sz w:val="17"/>
          <w:szCs w:val="17"/>
          <w:color w:val="auto"/>
        </w:rPr>
        <w:t xml:space="preserve"> anniversary of the date of grant.</w:t>
      </w:r>
    </w:p>
    <w:p>
      <w:pPr>
        <w:sectPr>
          <w:pgSz w:w="11900" w:h="16838" w:orient="portrait"/>
          <w:cols w:equalWidth="0" w:num="1">
            <w:col w:w="10844"/>
          </w:cols>
          <w:pgMar w:left="436" w:top="297" w:right="6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P10,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Amanda Coussens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2022-03-04T15:37:08Z</dcterms:created>
  <dcterms:modified xsi:type="dcterms:W3CDTF">2022-03-04T15:37:08Z</dcterms:modified>
</cp:coreProperties>
</file>