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36" w:lineRule="auto"/>
        <w:rPr>
          <w:sz w:val="20"/>
          <w:szCs w:val="20"/>
          <w:color w:val="auto"/>
        </w:rPr>
      </w:pPr>
      <w:r>
        <w:rPr>
          <w:rFonts w:ascii="Times New Roman" w:cs="Times New Roman" w:eastAsia="Times New Roman" w:hAnsi="Times New Roman"/>
          <w:sz w:val="17"/>
          <w:szCs w:val="17"/>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Ridgepost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270,068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reflects the weighted average purchase price for the shares, which were purchased in multiple transactions at prices that ranged from $7.275 to $7.42. Upon request of the SEC staff, the issuer, or a security holder of the issuer, the reporting person will provide information regarding the number of shares acquired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 Exhibit 24 - Power of Attorney</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Nell Blatherwick,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21"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Nell M. Blatherwick, Andrew R. Nelson, Francisco Villamar and Christopher G. Barrett, or any of them acting or signing singly, and with full power of substitution, as the undersigned’s true and lawful attorney-in-fact to:</w:t>
      </w:r>
    </w:p>
    <w:p>
      <w:pPr>
        <w:spacing w:after="0" w:line="178" w:lineRule="exact"/>
        <w:rPr>
          <w:sz w:val="20"/>
          <w:szCs w:val="20"/>
          <w:color w:val="auto"/>
        </w:rPr>
      </w:pPr>
    </w:p>
    <w:p>
      <w:pPr>
        <w:jc w:val="both"/>
        <w:ind w:left="640" w:hanging="633"/>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execute in the undersigned’s name and on the undersigned’s behalf, and submit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 and on behalf of the undersigned, in the undersigned’s capacity as an executive officer, director or a member of a Section 13(d) group that collectively beneficially owns more than 10% of the common stock of Ridgepost Capital,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Forms 3, 4, and 5 in accordance with Section 16(a) of the Securities Exchange Act of 1934 and the rules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40" w:hanging="63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such Form 3, 4, or 5, complete and execute any amendment or amendments thereto, and timely file such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640" w:hanging="633"/>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will contain such information as such attorney-in-fact may approve in such attorney-in-fact’s discretion.</w:t>
      </w:r>
    </w:p>
    <w:p>
      <w:pPr>
        <w:spacing w:after="0" w:line="183" w:lineRule="exact"/>
        <w:rPr>
          <w:sz w:val="20"/>
          <w:szCs w:val="20"/>
          <w:color w:val="auto"/>
        </w:rPr>
      </w:pPr>
    </w:p>
    <w:p>
      <w:pPr>
        <w:jc w:val="both"/>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and neither the Company nor any of the foregoing attorney(s)-in-fact assumes any liability of the undersigned for any failure to comply with the requirements of Section 16 of the Exchange Act, or any liability of the undersigned for disgorgement of profits under Section 16(b) of the Exchange Act.</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reports, forms or documents with the SEC in respect of his or her ownership of Company securities,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March 5, 2026.</w:t>
      </w:r>
    </w:p>
    <w:p>
      <w:pPr>
        <w:spacing w:after="0" w:line="219" w:lineRule="exact"/>
        <w:rPr>
          <w:sz w:val="20"/>
          <w:szCs w:val="20"/>
          <w:color w:val="auto"/>
        </w:rPr>
      </w:pPr>
    </w:p>
    <w:p>
      <w:pPr>
        <w:ind w:left="5940"/>
        <w:spacing w:after="0"/>
        <w:tabs>
          <w:tab w:leader="none" w:pos="6360" w:val="left"/>
        </w:tabs>
        <w:rPr>
          <w:sz w:val="20"/>
          <w:szCs w:val="20"/>
          <w:color w:val="auto"/>
        </w:rPr>
      </w:pPr>
      <w:r>
        <w:rPr>
          <w:rFonts w:ascii="Times New Roman" w:cs="Times New Roman" w:eastAsia="Times New Roman" w:hAnsi="Times New Roman"/>
          <w:sz w:val="18"/>
          <w:szCs w:val="18"/>
          <w:color w:val="auto"/>
        </w:rPr>
        <w:t>By:</w:t>
        <w:tab/>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15875</wp:posOffset>
            </wp:positionV>
            <wp:extent cx="2504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9"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434975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359"/>
      </w:cols>
      <w:pgMar w:left="110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2026-03-25T17:01:20Z</dcterms:created>
  <dcterms:modified xsi:type="dcterms:W3CDTF">2026-03-25T17:01:20Z</dcterms:modified>
</cp:coreProperties>
</file>