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April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April 24, 2009, Active Power, Inc. issued a press release reporting its preliminary results of operations for its fiscal quarter ended March 31, 2009.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April 24, 2009.</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24, 2009</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Press Release of Active Power, Inc. dated April 24, 2009.</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7223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Active Power Announces First Quarter 2009 Results</w:t>
      </w:r>
    </w:p>
    <w:p>
      <w:pPr>
        <w:spacing w:after="0" w:line="1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i w:val="1"/>
          <w:iCs w:val="1"/>
          <w:color w:val="auto"/>
        </w:rPr>
        <w:t>Revenues increase 48% from same period in prior year</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AUSTIN, Texas (April 24, 2009) </w:t>
      </w:r>
      <w:r>
        <w:rPr>
          <w:rFonts w:ascii="Arial" w:cs="Arial" w:eastAsia="Arial" w:hAnsi="Arial"/>
          <w:sz w:val="18"/>
          <w:szCs w:val="18"/>
          <w:color w:val="auto"/>
        </w:rPr>
        <w:t>– Active Power, Inc. (NASDAQ: ACPW) announced results for its first quarter ended March 31, 2009. Revenue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was $11.1 million, a 48 percent increase compared to the first quarter of 2008.</w:t>
      </w:r>
    </w:p>
    <w:p>
      <w:pPr>
        <w:spacing w:after="0" w:line="12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quarter, net loss was $2.4 million, or 4 cents per share. This compares to a net loss of $4.5 million, or 7 cents per share, in the first quarter of 2008 and a loss of $431,000 or 1 cent per share in the immediately prior quarter.</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gross profit margin in the first quarter of 2009 was 29 percent. This compares to a gross profit margin of 10 percent in the first quarter of 2008 and a 32 percent margin achieved in the fourth quarter of 2008 on higher product volumes.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and investments declined $0.7 million during the quarter compared to a decrease of $5.1 million in the first quarter of 2008 and a decrease of $0.6 million in the fourth quarter of 2008. Cash and investments at March 31, 2008, were $10.5 million.</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challenging global market, we are pleased to achieve significant year-over-year growth in revenues and overall improvements in our financial results,” said Jim Clishem, president and CEO, of Active Power. “Our sales pipeline of new global opportunities continues to grow, although we are witnessing a longer sales cycle as the impact of economic uncertainty and credit availability is being felt by some customers. We believe that strong interest continues in our products. Our space and power efficient UPS systems lowering electricity costs, while also delivering a greener solution with improved reliability, which should enable us to continue increasing market share throughout 2009. We remain focused on increasing sales and margins, preserving cash, building brand, bundling compelling power solutions, and improving our own internal efficiencies towards operating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for the First Quarter 2009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product revenues by 55 percent compared to the first quarter of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and shipped orders to 13 countries and the 119 flywheels shipped was the second highest volume ever shipped</w:t>
      </w:r>
    </w:p>
    <w:p>
      <w:pPr>
        <w:sectPr>
          <w:pgSz w:w="11900" w:h="16838" w:orient="portrait"/>
          <w:cols w:equalWidth="0" w:num="1">
            <w:col w:w="11420"/>
          </w:cols>
          <w:pgMar w:left="240" w:top="125" w:right="239" w:bottom="1440" w:gutter="0" w:footer="0" w:header="0"/>
        </w:sectPr>
      </w:pPr>
    </w:p>
    <w:bookmarkStart w:id="5" w:name="page6"/>
    <w:bookmarkEnd w:id="5"/>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Reduced quarterly net loss by 47 percent to $2.4 million from the $4.5 million loss in the first quarter of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an order from a blue chip manufacturer for nearly two megawatts of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(uninterruptible power supply) systems</w:t>
      </w:r>
    </w:p>
    <w:p>
      <w:pPr>
        <w:spacing w:after="0" w:line="56" w:lineRule="exact"/>
        <w:rPr>
          <w:rFonts w:ascii="Arial" w:cs="Arial" w:eastAsia="Arial" w:hAnsi="Arial"/>
          <w:sz w:val="17"/>
          <w:szCs w:val="17"/>
          <w:color w:val="auto"/>
        </w:rPr>
      </w:pPr>
    </w:p>
    <w:p>
      <w:pPr>
        <w:ind w:left="900" w:right="420" w:hanging="325"/>
        <w:spacing w:after="0" w:line="25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service revenues up 11 percent compared to the first quarter of 2008, which continue to reflect valuable annuity revenues and benefit of having a direct sales model in place</w:t>
      </w:r>
    </w:p>
    <w:p>
      <w:pPr>
        <w:spacing w:after="0" w:line="64"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membership of Hewlett Packard’s Data Center Solutions Alliance Program whereby Active Power’s PowerHouse solution, will provide a containerized power and cooling architecture for the HP Performance Optimized Data Center (POD</w:t>
      </w:r>
    </w:p>
    <w:p>
      <w:pPr>
        <w:spacing w:after="0" w:line="50" w:lineRule="exact"/>
        <w:rPr>
          <w:rFonts w:ascii="Arial" w:cs="Arial" w:eastAsia="Arial" w:hAnsi="Arial"/>
          <w:sz w:val="18"/>
          <w:szCs w:val="18"/>
          <w:color w:val="auto"/>
        </w:rPr>
      </w:pPr>
    </w:p>
    <w:p>
      <w:pPr>
        <w:ind w:left="900" w:right="10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Incurred an EBITDA loss of $ 1.9 million or 3 cents per share for the quarter. Adjusted EBITDA was a loss of $ 1.6 million, or 3 cents per share for the quarter, a reduction of 59 percent from a loss of $3.8 million in the first quarter of 2008. A reconciliation of EBITDA and Adjusted EBITDA to net income (loss), which is their most directly comparable GAAP measures, is provided below in a table immediately following the Condensed Statement of Operations. A reconciliation of EBITDA per share and Adjusted EBITDA per share to earnings per share, which is their most directly comparable GAAP measures, is provided below in a table immediately following the Condensed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expects second quarter 2009 revenues to be between $8 and $12 million. Active Power expects its cash and investments balance as of the end of the second quarter to decrease by up to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Active Power will host a conference call today, Friday, Apr. 24, 2009, at 11:00 a.m. (ET), to further review first quarter 2009 results. Interested parties can listen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via Web cast at </w:t>
      </w:r>
      <w:r>
        <w:rPr>
          <w:rFonts w:ascii="Arial" w:cs="Arial" w:eastAsia="Arial" w:hAnsi="Arial"/>
          <w:sz w:val="18"/>
          <w:szCs w:val="18"/>
          <w:u w:val="single" w:color="auto"/>
          <w:color w:val="auto"/>
        </w:rPr>
        <w:t>http://investor.shareholder.com/media/eventdetail.cfm?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eventid=67871&amp;CompanyID=ACPW&amp;e=1&amp;mediaKey=8F2957B31FDCB618213C512CC6CE8FFF</w:t>
      </w:r>
      <w:r>
        <w:rPr>
          <w:rFonts w:ascii="Arial" w:cs="Arial" w:eastAsia="Arial" w:hAnsi="Arial"/>
          <w:sz w:val="18"/>
          <w:szCs w:val="18"/>
          <w:color w:val="auto"/>
        </w:rPr>
        <w:t>.</w:t>
      </w:r>
    </w:p>
    <w:p>
      <w:pPr>
        <w:spacing w:after="0" w:line="165" w:lineRule="exact"/>
        <w:rPr>
          <w:sz w:val="20"/>
          <w:szCs w:val="20"/>
          <w:color w:val="auto"/>
        </w:rPr>
      </w:pPr>
    </w:p>
    <w:p>
      <w:pPr>
        <w:ind w:right="1320"/>
        <w:spacing w:after="0" w:line="268" w:lineRule="auto"/>
        <w:rPr>
          <w:sz w:val="20"/>
          <w:szCs w:val="20"/>
          <w:color w:val="auto"/>
        </w:rPr>
      </w:pPr>
      <w:r>
        <w:rPr>
          <w:rFonts w:ascii="Arial" w:cs="Arial" w:eastAsia="Arial" w:hAnsi="Arial"/>
          <w:sz w:val="18"/>
          <w:szCs w:val="18"/>
          <w:color w:val="auto"/>
        </w:rPr>
        <w:t xml:space="preserve">A replay of the Web cast will be available until May 8, 2009.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disclosing financial information prepared on a GAAP basis, this release and the accompanying tables include non-GAAP measures of EBITDA, Adjusted EBITDA, EBITDA per share and Adjusted EBITDA per share. EBITDA represents our GAAP based net income (loss) adjusted to exclude the impact of interest, taxes and depreciation expense. Adjusted EBITDA represents our GAAP based net income (loss) adjusted to exclude the impact of interest, taxes and depreciation expense, as well as stock-based compensation expense and any other one-time non-cash charges. We believe these adjustments provide meaningful supplemental information regarding our performance to our investors and enhance the overall understanding of our past financial performance. These non-GAAP measures are an indication of our baseline performance that are considered by management for purposes of making operational decisions. In addition these non-GAAP measures are the primary indicators management uses as a basis for our planning and forecasting for future periods. The presentation of this additional information is not intended to be considered in isolation or as a substitute for, or superior to, the financial information prepared and presented in accordance with GAAP. A reconciliation of our non-GAAP financial measures to the GAAP basis results is provided below in a table immediately following the Condensed Consolidated Statement of Operations.</w:t>
      </w:r>
    </w:p>
    <w:p>
      <w:pPr>
        <w:sectPr>
          <w:pgSz w:w="11900" w:h="16838" w:orient="portrait"/>
          <w:cols w:equalWidth="0" w:num="1">
            <w:col w:w="11420"/>
          </w:cols>
          <w:pgMar w:left="240" w:top="274"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240" w:space="720"/>
            <w:col w:w="546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2,574</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10,296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260,659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(241,210)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(238,843)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9,709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11,143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3,330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5,570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1"/>
              </w:rPr>
              <w:t>(2,308)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(4,751)</w:t>
            </w:r>
          </w:p>
        </w:tc>
        <w:tc>
          <w:tcPr>
            <w:tcW w:w="0" w:type="dxa"/>
            <w:vAlign w:val="bottom"/>
          </w:tcPr>
          <w:p>
            <w:pPr>
              <w:spacing w:after="0"/>
              <w:rPr>
                <w:sz w:val="1"/>
                <w:szCs w:val="1"/>
                <w:color w:val="auto"/>
              </w:rPr>
            </w:pP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w w:val="91"/>
              </w:rPr>
              <w:t>(2,367)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w w:val="91"/>
              </w:rPr>
              <w:t>(2,367)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1"/>
              </w:rPr>
              <w:t>(2,383)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Mar. 31</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(2,367)</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Plus: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(income)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Depreciation expense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(loss)</w:t>
            </w:r>
          </w:p>
        </w:tc>
        <w:tc>
          <w:tcPr>
            <w:tcW w:w="2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(1,886)</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520" w:type="dxa"/>
            <w:vAlign w:val="bottom"/>
            <w:gridSpan w:val="3"/>
          </w:tcPr>
          <w:p>
            <w:pPr>
              <w:spacing w:after="0"/>
              <w:rPr>
                <w:sz w:val="20"/>
                <w:szCs w:val="20"/>
                <w:color w:val="auto"/>
              </w:rPr>
            </w:pPr>
            <w:r>
              <w:rPr>
                <w:rFonts w:ascii="Arial" w:cs="Arial" w:eastAsia="Arial" w:hAnsi="Arial"/>
                <w:sz w:val="18"/>
                <w:szCs w:val="18"/>
                <w:color w:val="auto"/>
              </w:rPr>
              <w:t>Stock-based compensation (a)</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(loss)</w:t>
            </w:r>
          </w:p>
        </w:tc>
        <w:tc>
          <w:tcPr>
            <w:tcW w:w="2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(1,569)</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520" w:type="dxa"/>
            <w:vAlign w:val="bottom"/>
            <w:gridSpan w:val="3"/>
          </w:tcPr>
          <w:p>
            <w:pPr>
              <w:spacing w:after="0"/>
              <w:rPr>
                <w:sz w:val="20"/>
                <w:szCs w:val="20"/>
                <w:color w:val="auto"/>
              </w:rPr>
            </w:pPr>
            <w:r>
              <w:rPr>
                <w:rFonts w:ascii="Arial" w:cs="Arial" w:eastAsia="Arial" w:hAnsi="Arial"/>
                <w:sz w:val="18"/>
                <w:szCs w:val="18"/>
                <w:color w:val="auto"/>
              </w:rPr>
              <w:t>EBITDA (loss) per share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(0.03)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(loss) per share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(0.03)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Number of shares used in computing non-GAAP EBITDA (loss) per share</w:t>
            </w:r>
          </w:p>
        </w:tc>
        <w:tc>
          <w:tcPr>
            <w:tcW w:w="2920" w:type="dxa"/>
            <w:vAlign w:val="bottom"/>
            <w:gridSpan w:val="5"/>
          </w:tcPr>
          <w:p>
            <w:pPr>
              <w:jc w:val="right"/>
              <w:ind w:right="80"/>
              <w:spacing w:after="0"/>
              <w:rPr>
                <w:sz w:val="20"/>
                <w:szCs w:val="20"/>
                <w:color w:val="auto"/>
              </w:rPr>
            </w:pPr>
            <w:r>
              <w:rPr>
                <w:rFonts w:ascii="Arial" w:cs="Arial" w:eastAsia="Arial" w:hAnsi="Arial"/>
                <w:sz w:val="18"/>
                <w:szCs w:val="18"/>
                <w:color w:val="auto"/>
              </w:rPr>
              <w:t>60,124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60,124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520" w:type="dxa"/>
            <w:vAlign w:val="bottom"/>
            <w:gridSpan w:val="3"/>
          </w:tcPr>
          <w:p>
            <w:pPr>
              <w:spacing w:after="0"/>
              <w:rPr>
                <w:sz w:val="20"/>
                <w:szCs w:val="20"/>
                <w:color w:val="auto"/>
              </w:rPr>
            </w:pPr>
            <w:r>
              <w:rPr>
                <w:rFonts w:ascii="Arial" w:cs="Arial" w:eastAsia="Arial" w:hAnsi="Arial"/>
                <w:sz w:val="18"/>
                <w:szCs w:val="18"/>
                <w:color w:val="auto"/>
              </w:rPr>
              <w:t>(a)   Stock-based compensation expense:</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Mar. 31</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Excluded amount represents stock-based compensation expense. Stock-based compensation is a non-cash expense accounted for in accordance with the intrinsic value method under Accounting Principles Board No. 25 through December 31, 2005, and with the fair value recognition provisions of Statement of Financial Accounting Standards No. 123(R) effective January 1, 2006. While a large component of our expense, we believe investors want to exclude the effects of stock-based compensation expense in order to compare our financial performance with that of other companies and between time periods.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2019-12-10T16:06:15Z</dcterms:created>
  <dcterms:modified xsi:type="dcterms:W3CDTF">2019-12-10T16:06:15Z</dcterms:modified>
</cp:coreProperties>
</file>