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791210</wp:posOffset>
            </wp:positionH>
            <wp:positionV relativeFrom="page">
              <wp:posOffset>782955</wp:posOffset>
            </wp:positionV>
            <wp:extent cx="59664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page">
              <wp:posOffset>791210</wp:posOffset>
            </wp:positionH>
            <wp:positionV relativeFrom="page">
              <wp:posOffset>800735</wp:posOffset>
            </wp:positionV>
            <wp:extent cx="5966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jc w:val="center"/>
        <w:ind w:right="-180"/>
        <w:spacing w:after="0"/>
        <w:rPr>
          <w:sz w:val="20"/>
          <w:szCs w:val="20"/>
          <w:color w:val="auto"/>
        </w:rPr>
      </w:pPr>
      <w:r>
        <w:rPr>
          <w:rFonts w:ascii="Arial" w:cs="Arial" w:eastAsia="Arial" w:hAnsi="Arial"/>
          <w:sz w:val="29"/>
          <w:szCs w:val="29"/>
          <w:b w:val="1"/>
          <w:bCs w:val="1"/>
          <w:color w:val="050A35"/>
        </w:rPr>
        <w:t>UNITED STATES</w:t>
      </w:r>
    </w:p>
    <w:p>
      <w:pPr>
        <w:spacing w:after="0" w:line="48" w:lineRule="exact"/>
        <w:rPr>
          <w:sz w:val="24"/>
          <w:szCs w:val="24"/>
          <w:color w:val="auto"/>
        </w:rPr>
      </w:pPr>
    </w:p>
    <w:p>
      <w:pPr>
        <w:jc w:val="center"/>
        <w:ind w:right="-180"/>
        <w:spacing w:after="0"/>
        <w:rPr>
          <w:sz w:val="20"/>
          <w:szCs w:val="20"/>
          <w:color w:val="auto"/>
        </w:rPr>
      </w:pPr>
      <w:r>
        <w:rPr>
          <w:rFonts w:ascii="Arial" w:cs="Arial" w:eastAsia="Arial" w:hAnsi="Arial"/>
          <w:sz w:val="28"/>
          <w:szCs w:val="28"/>
          <w:b w:val="1"/>
          <w:bCs w:val="1"/>
          <w:color w:val="050A35"/>
        </w:rPr>
        <w:t>SECURITIES AND EXCHANGE COMMISSION</w:t>
      </w:r>
    </w:p>
    <w:p>
      <w:pPr>
        <w:spacing w:after="0" w:line="24" w:lineRule="exact"/>
        <w:rPr>
          <w:sz w:val="24"/>
          <w:szCs w:val="24"/>
          <w:color w:val="auto"/>
        </w:rPr>
      </w:pPr>
    </w:p>
    <w:p>
      <w:pPr>
        <w:jc w:val="center"/>
        <w:ind w:right="-180"/>
        <w:spacing w:after="0"/>
        <w:rPr>
          <w:sz w:val="20"/>
          <w:szCs w:val="20"/>
          <w:color w:val="auto"/>
        </w:rPr>
      </w:pPr>
      <w:r>
        <w:rPr>
          <w:rFonts w:ascii="Arial" w:cs="Arial" w:eastAsia="Arial" w:hAnsi="Arial"/>
          <w:sz w:val="19"/>
          <w:szCs w:val="19"/>
          <w:b w:val="1"/>
          <w:bCs w:val="1"/>
          <w:color w:val="050A35"/>
        </w:rPr>
        <w:t>Washington, D.C. 20549</w:t>
      </w:r>
    </w:p>
    <w:p>
      <w:pPr>
        <w:spacing w:after="0" w:line="161" w:lineRule="exact"/>
        <w:rPr>
          <w:sz w:val="24"/>
          <w:szCs w:val="24"/>
          <w:color w:val="auto"/>
        </w:rPr>
      </w:pPr>
    </w:p>
    <w:p>
      <w:pPr>
        <w:jc w:val="center"/>
        <w:ind w:right="-180"/>
        <w:spacing w:after="0"/>
        <w:rPr>
          <w:sz w:val="20"/>
          <w:szCs w:val="20"/>
          <w:color w:val="auto"/>
        </w:rPr>
      </w:pPr>
      <w:r>
        <w:rPr>
          <w:rFonts w:ascii="Arial" w:cs="Arial" w:eastAsia="Arial" w:hAnsi="Arial"/>
          <w:sz w:val="29"/>
          <w:szCs w:val="29"/>
          <w:b w:val="1"/>
          <w:bCs w:val="1"/>
          <w:color w:val="050A35"/>
        </w:rPr>
        <w:t>SCHEDULE 14A</w:t>
      </w:r>
    </w:p>
    <w:p>
      <w:pPr>
        <w:spacing w:after="0" w:line="214" w:lineRule="exact"/>
        <w:rPr>
          <w:sz w:val="24"/>
          <w:szCs w:val="24"/>
          <w:color w:val="auto"/>
        </w:rPr>
      </w:pPr>
    </w:p>
    <w:p>
      <w:pPr>
        <w:jc w:val="center"/>
        <w:ind w:right="-140"/>
        <w:spacing w:after="0"/>
        <w:rPr>
          <w:sz w:val="20"/>
          <w:szCs w:val="20"/>
          <w:color w:val="auto"/>
        </w:rPr>
      </w:pPr>
      <w:r>
        <w:rPr>
          <w:rFonts w:ascii="Arial" w:cs="Arial" w:eastAsia="Arial" w:hAnsi="Arial"/>
          <w:sz w:val="19"/>
          <w:szCs w:val="19"/>
          <w:b w:val="1"/>
          <w:bCs w:val="1"/>
          <w:color w:val="050A35"/>
        </w:rPr>
        <w:t>Proxy Statement Pursuant to Section 14(a) of the</w:t>
      </w:r>
    </w:p>
    <w:p>
      <w:pPr>
        <w:spacing w:after="0" w:line="13" w:lineRule="exact"/>
        <w:rPr>
          <w:sz w:val="24"/>
          <w:szCs w:val="24"/>
          <w:color w:val="auto"/>
        </w:rPr>
      </w:pPr>
    </w:p>
    <w:p>
      <w:pPr>
        <w:jc w:val="center"/>
        <w:ind w:right="-180"/>
        <w:spacing w:after="0"/>
        <w:rPr>
          <w:sz w:val="20"/>
          <w:szCs w:val="20"/>
          <w:color w:val="auto"/>
        </w:rPr>
      </w:pPr>
      <w:r>
        <w:rPr>
          <w:rFonts w:ascii="Arial" w:cs="Arial" w:eastAsia="Arial" w:hAnsi="Arial"/>
          <w:sz w:val="19"/>
          <w:szCs w:val="19"/>
          <w:b w:val="1"/>
          <w:bCs w:val="1"/>
          <w:color w:val="050A35"/>
        </w:rPr>
        <w:t>Securities Exchange Act of 1934</w:t>
      </w:r>
    </w:p>
    <w:p>
      <w:pPr>
        <w:jc w:val="center"/>
        <w:ind w:right="-200"/>
        <w:spacing w:after="0"/>
        <w:tabs>
          <w:tab w:leader="none" w:pos="160" w:val="left"/>
        </w:tabs>
        <w:rPr>
          <w:sz w:val="20"/>
          <w:szCs w:val="20"/>
          <w:color w:val="auto"/>
        </w:rPr>
      </w:pPr>
      <w:r>
        <w:rPr>
          <w:rFonts w:ascii="Arial" w:cs="Arial" w:eastAsia="Arial" w:hAnsi="Arial"/>
          <w:sz w:val="19"/>
          <w:szCs w:val="19"/>
          <w:b w:val="1"/>
          <w:bCs w:val="1"/>
          <w:color w:val="050A35"/>
        </w:rPr>
        <w:t>(Amendment No.</w:t>
      </w:r>
      <w:r>
        <w:rPr>
          <w:sz w:val="20"/>
          <w:szCs w:val="20"/>
          <w:color w:val="auto"/>
        </w:rPr>
        <w:tab/>
      </w:r>
      <w:r>
        <w:rPr>
          <w:rFonts w:ascii="Arial" w:cs="Arial" w:eastAsia="Arial" w:hAnsi="Arial"/>
          <w:sz w:val="18"/>
          <w:szCs w:val="18"/>
          <w:b w:val="1"/>
          <w:bCs w:val="1"/>
          <w:color w:val="050A35"/>
        </w:rPr>
        <w:t>)</w:t>
      </w:r>
    </w:p>
    <w:p>
      <w:pPr>
        <w:spacing w:after="0" w:line="170" w:lineRule="exact"/>
        <w:rPr>
          <w:sz w:val="24"/>
          <w:szCs w:val="24"/>
          <w:color w:val="auto"/>
        </w:rPr>
      </w:pPr>
    </w:p>
    <w:p>
      <w:pPr>
        <w:spacing w:after="0" w:line="173" w:lineRule="exact"/>
        <w:tabs>
          <w:tab w:leader="none" w:pos="3280" w:val="left"/>
        </w:tabs>
        <w:rPr>
          <w:sz w:val="20"/>
          <w:szCs w:val="20"/>
          <w:color w:val="auto"/>
        </w:rPr>
      </w:pPr>
      <w:r>
        <w:rPr>
          <w:rFonts w:ascii="Arial" w:cs="Arial" w:eastAsia="Arial" w:hAnsi="Arial"/>
          <w:sz w:val="15"/>
          <w:szCs w:val="15"/>
          <w:color w:val="050A35"/>
        </w:rPr>
        <w:t xml:space="preserve">Filed by the Registrant </w:t>
      </w:r>
      <w:r>
        <w:rPr>
          <w:rFonts w:ascii="MS PGothic" w:cs="MS PGothic" w:eastAsia="MS PGothic" w:hAnsi="MS PGothic"/>
          <w:sz w:val="15"/>
          <w:szCs w:val="15"/>
          <w:color w:val="050A35"/>
        </w:rPr>
        <w:t>☒</w:t>
      </w:r>
      <w:r>
        <w:rPr>
          <w:sz w:val="20"/>
          <w:szCs w:val="20"/>
          <w:color w:val="auto"/>
        </w:rPr>
        <w:tab/>
      </w:r>
      <w:r>
        <w:rPr>
          <w:rFonts w:ascii="Arial" w:cs="Arial" w:eastAsia="Arial" w:hAnsi="Arial"/>
          <w:sz w:val="15"/>
          <w:szCs w:val="15"/>
          <w:color w:val="050A35"/>
        </w:rPr>
        <w:t xml:space="preserve">Filed by a Party other than the Registrant </w:t>
      </w:r>
      <w:r>
        <w:rPr>
          <w:rFonts w:ascii="MS PGothic" w:cs="MS PGothic" w:eastAsia="MS PGothic" w:hAnsi="MS PGothic"/>
          <w:sz w:val="15"/>
          <w:szCs w:val="15"/>
          <w:color w:val="050A35"/>
        </w:rPr>
        <w:t>☐</w:t>
      </w:r>
    </w:p>
    <w:p>
      <w:pPr>
        <w:spacing w:after="0" w:line="241" w:lineRule="exact"/>
        <w:rPr>
          <w:sz w:val="24"/>
          <w:szCs w:val="24"/>
          <w:color w:val="auto"/>
        </w:rPr>
      </w:pPr>
    </w:p>
    <w:p>
      <w:pPr>
        <w:spacing w:after="0"/>
        <w:rPr>
          <w:sz w:val="20"/>
          <w:szCs w:val="20"/>
          <w:color w:val="auto"/>
        </w:rPr>
      </w:pPr>
      <w:r>
        <w:rPr>
          <w:rFonts w:ascii="Arial" w:cs="Arial" w:eastAsia="Arial" w:hAnsi="Arial"/>
          <w:sz w:val="15"/>
          <w:szCs w:val="15"/>
          <w:color w:val="050A35"/>
        </w:rPr>
        <w:t>Check the appropriate box:</w:t>
      </w:r>
    </w:p>
    <w:p>
      <w:pPr>
        <w:spacing w:after="0" w:line="111"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15"/>
          <w:szCs w:val="15"/>
          <w:color w:val="050A35"/>
        </w:rPr>
      </w:pPr>
      <w:r>
        <w:rPr>
          <w:rFonts w:ascii="Arial" w:cs="Arial" w:eastAsia="Arial" w:hAnsi="Arial"/>
          <w:sz w:val="15"/>
          <w:szCs w:val="15"/>
          <w:color w:val="050A35"/>
        </w:rPr>
        <w:t>Preliminary Proxy Statement</w:t>
      </w:r>
    </w:p>
    <w:p>
      <w:pPr>
        <w:spacing w:after="0" w:line="136" w:lineRule="exact"/>
        <w:rPr>
          <w:rFonts w:ascii="MS PGothic" w:cs="MS PGothic" w:eastAsia="MS PGothic" w:hAnsi="MS PGothic"/>
          <w:sz w:val="15"/>
          <w:szCs w:val="15"/>
          <w:color w:val="050A35"/>
        </w:rPr>
      </w:pPr>
    </w:p>
    <w:p>
      <w:pPr>
        <w:ind w:left="380" w:hanging="374"/>
        <w:spacing w:after="0"/>
        <w:tabs>
          <w:tab w:leader="none" w:pos="380" w:val="left"/>
        </w:tabs>
        <w:numPr>
          <w:ilvl w:val="0"/>
          <w:numId w:val="1"/>
        </w:numPr>
        <w:rPr>
          <w:rFonts w:ascii="MS PGothic" w:cs="MS PGothic" w:eastAsia="MS PGothic" w:hAnsi="MS PGothic"/>
          <w:sz w:val="15"/>
          <w:szCs w:val="15"/>
          <w:color w:val="050A35"/>
        </w:rPr>
      </w:pPr>
      <w:r>
        <w:rPr>
          <w:rFonts w:ascii="Arial" w:cs="Arial" w:eastAsia="Arial" w:hAnsi="Arial"/>
          <w:sz w:val="15"/>
          <w:szCs w:val="15"/>
          <w:b w:val="1"/>
          <w:bCs w:val="1"/>
          <w:color w:val="050A35"/>
        </w:rPr>
        <w:t>Confidential, for Use of the Commission Only (as permitted by Rule 14a-6(e)(2))</w:t>
      </w:r>
    </w:p>
    <w:p>
      <w:pPr>
        <w:spacing w:after="0" w:line="140" w:lineRule="exact"/>
        <w:rPr>
          <w:sz w:val="24"/>
          <w:szCs w:val="24"/>
          <w:color w:val="auto"/>
        </w:rPr>
      </w:pPr>
    </w:p>
    <w:p>
      <w:pPr>
        <w:ind w:left="380" w:hanging="374"/>
        <w:spacing w:after="0"/>
        <w:tabs>
          <w:tab w:leader="none" w:pos="380" w:val="left"/>
        </w:tabs>
        <w:numPr>
          <w:ilvl w:val="0"/>
          <w:numId w:val="2"/>
        </w:numPr>
        <w:rPr>
          <w:rFonts w:ascii="MS PGothic" w:cs="MS PGothic" w:eastAsia="MS PGothic" w:hAnsi="MS PGothic"/>
          <w:sz w:val="15"/>
          <w:szCs w:val="15"/>
          <w:color w:val="050A35"/>
        </w:rPr>
      </w:pPr>
      <w:r>
        <w:rPr>
          <w:rFonts w:ascii="Arial" w:cs="Arial" w:eastAsia="Arial" w:hAnsi="Arial"/>
          <w:sz w:val="15"/>
          <w:szCs w:val="15"/>
          <w:color w:val="050A35"/>
        </w:rPr>
        <w:t>Definitive Proxy Statement</w:t>
      </w:r>
    </w:p>
    <w:p>
      <w:pPr>
        <w:spacing w:after="0" w:line="138" w:lineRule="exact"/>
        <w:rPr>
          <w:sz w:val="24"/>
          <w:szCs w:val="24"/>
          <w:color w:val="auto"/>
        </w:rPr>
      </w:pPr>
    </w:p>
    <w:p>
      <w:pPr>
        <w:ind w:left="380" w:hanging="374"/>
        <w:spacing w:after="0"/>
        <w:tabs>
          <w:tab w:leader="none" w:pos="380" w:val="left"/>
        </w:tabs>
        <w:numPr>
          <w:ilvl w:val="0"/>
          <w:numId w:val="3"/>
        </w:numPr>
        <w:rPr>
          <w:rFonts w:ascii="MS PGothic" w:cs="MS PGothic" w:eastAsia="MS PGothic" w:hAnsi="MS PGothic"/>
          <w:sz w:val="15"/>
          <w:szCs w:val="15"/>
          <w:color w:val="050A35"/>
        </w:rPr>
      </w:pPr>
      <w:r>
        <w:rPr>
          <w:rFonts w:ascii="Arial" w:cs="Arial" w:eastAsia="Arial" w:hAnsi="Arial"/>
          <w:sz w:val="15"/>
          <w:szCs w:val="15"/>
          <w:color w:val="050A35"/>
        </w:rPr>
        <w:t>Definitive Additional Materials</w:t>
      </w:r>
    </w:p>
    <w:p>
      <w:pPr>
        <w:spacing w:after="0" w:line="138" w:lineRule="exact"/>
        <w:rPr>
          <w:rFonts w:ascii="MS PGothic" w:cs="MS PGothic" w:eastAsia="MS PGothic" w:hAnsi="MS PGothic"/>
          <w:sz w:val="15"/>
          <w:szCs w:val="15"/>
          <w:color w:val="050A35"/>
        </w:rPr>
      </w:pPr>
    </w:p>
    <w:p>
      <w:pPr>
        <w:ind w:left="380" w:hanging="374"/>
        <w:spacing w:after="0"/>
        <w:tabs>
          <w:tab w:leader="none" w:pos="380" w:val="left"/>
        </w:tabs>
        <w:numPr>
          <w:ilvl w:val="0"/>
          <w:numId w:val="3"/>
        </w:numPr>
        <w:rPr>
          <w:rFonts w:ascii="MS PGothic" w:cs="MS PGothic" w:eastAsia="MS PGothic" w:hAnsi="MS PGothic"/>
          <w:sz w:val="15"/>
          <w:szCs w:val="15"/>
          <w:color w:val="050A35"/>
        </w:rPr>
      </w:pPr>
      <w:r>
        <w:rPr>
          <w:rFonts w:ascii="Arial" w:cs="Arial" w:eastAsia="Arial" w:hAnsi="Arial"/>
          <w:sz w:val="15"/>
          <w:szCs w:val="15"/>
          <w:color w:val="050A35"/>
        </w:rPr>
        <w:t>Soliciting Material Pursuant to §240.14a-12</w:t>
      </w:r>
    </w:p>
    <w:p>
      <w:pPr>
        <w:spacing w:after="0" w:line="383" w:lineRule="exact"/>
        <w:rPr>
          <w:sz w:val="24"/>
          <w:szCs w:val="24"/>
          <w:color w:val="auto"/>
        </w:rPr>
      </w:pPr>
    </w:p>
    <w:p>
      <w:pPr>
        <w:jc w:val="center"/>
        <w:ind w:right="-180"/>
        <w:spacing w:after="0"/>
        <w:rPr>
          <w:sz w:val="20"/>
          <w:szCs w:val="20"/>
          <w:color w:val="auto"/>
        </w:rPr>
      </w:pPr>
      <w:r>
        <w:rPr>
          <w:rFonts w:ascii="Arial" w:cs="Arial" w:eastAsia="Arial" w:hAnsi="Arial"/>
          <w:sz w:val="38"/>
          <w:szCs w:val="38"/>
          <w:b w:val="1"/>
          <w:bCs w:val="1"/>
          <w:color w:val="050A35"/>
        </w:rPr>
        <w:t>Ridgepost Capital, Inc.</w:t>
      </w:r>
    </w:p>
    <w:p>
      <w:pPr>
        <w:spacing w:after="0" w:line="53" w:lineRule="exact"/>
        <w:rPr>
          <w:sz w:val="24"/>
          <w:szCs w:val="24"/>
          <w:color w:val="auto"/>
        </w:rPr>
      </w:pPr>
    </w:p>
    <w:p>
      <w:pPr>
        <w:jc w:val="center"/>
        <w:ind w:right="-180"/>
        <w:spacing w:after="0"/>
        <w:rPr>
          <w:sz w:val="20"/>
          <w:szCs w:val="20"/>
          <w:color w:val="auto"/>
        </w:rPr>
      </w:pPr>
      <w:r>
        <w:rPr>
          <w:rFonts w:ascii="Arial" w:cs="Arial" w:eastAsia="Arial" w:hAnsi="Arial"/>
          <w:sz w:val="16"/>
          <w:szCs w:val="16"/>
          <w:b w:val="1"/>
          <w:bCs w:val="1"/>
          <w:color w:val="050A35"/>
        </w:rPr>
        <w:t>(Name of Registrant as Specified In Its Charter)</w:t>
      </w:r>
    </w:p>
    <w:p>
      <w:pPr>
        <w:spacing w:after="0" w:line="205" w:lineRule="exact"/>
        <w:rPr>
          <w:sz w:val="24"/>
          <w:szCs w:val="24"/>
          <w:color w:val="auto"/>
        </w:rPr>
      </w:pPr>
    </w:p>
    <w:p>
      <w:pPr>
        <w:ind w:left="1960"/>
        <w:spacing w:after="0"/>
        <w:rPr>
          <w:sz w:val="20"/>
          <w:szCs w:val="20"/>
          <w:color w:val="auto"/>
        </w:rPr>
      </w:pPr>
      <w:r>
        <w:rPr>
          <w:rFonts w:ascii="Arial" w:cs="Arial" w:eastAsia="Arial" w:hAnsi="Arial"/>
          <w:sz w:val="16"/>
          <w:szCs w:val="16"/>
          <w:b w:val="1"/>
          <w:bCs w:val="1"/>
          <w:color w:val="050A35"/>
        </w:rPr>
        <w:t>(Name of Person(s) Filing Proxy Statement, if other than the Registrant)</w:t>
      </w:r>
    </w:p>
    <w:p>
      <w:pPr>
        <w:spacing w:after="0" w:line="231" w:lineRule="exact"/>
        <w:rPr>
          <w:sz w:val="24"/>
          <w:szCs w:val="24"/>
          <w:color w:val="auto"/>
        </w:rPr>
      </w:pPr>
    </w:p>
    <w:p>
      <w:pPr>
        <w:spacing w:after="0"/>
        <w:rPr>
          <w:sz w:val="20"/>
          <w:szCs w:val="20"/>
          <w:color w:val="auto"/>
        </w:rPr>
      </w:pPr>
      <w:r>
        <w:rPr>
          <w:rFonts w:ascii="Arial" w:cs="Arial" w:eastAsia="Arial" w:hAnsi="Arial"/>
          <w:sz w:val="15"/>
          <w:szCs w:val="15"/>
          <w:color w:val="050A35"/>
        </w:rPr>
        <w:t>Payment of Filing Fee (Check all boxes that apply):</w:t>
      </w:r>
    </w:p>
    <w:p>
      <w:pPr>
        <w:spacing w:after="0" w:line="111" w:lineRule="exact"/>
        <w:rPr>
          <w:sz w:val="24"/>
          <w:szCs w:val="24"/>
          <w:color w:val="auto"/>
        </w:rPr>
      </w:pPr>
    </w:p>
    <w:p>
      <w:pPr>
        <w:ind w:left="380" w:hanging="374"/>
        <w:spacing w:after="0"/>
        <w:tabs>
          <w:tab w:leader="none" w:pos="380" w:val="left"/>
        </w:tabs>
        <w:numPr>
          <w:ilvl w:val="0"/>
          <w:numId w:val="4"/>
        </w:numPr>
        <w:rPr>
          <w:rFonts w:ascii="MS PGothic" w:cs="MS PGothic" w:eastAsia="MS PGothic" w:hAnsi="MS PGothic"/>
          <w:sz w:val="15"/>
          <w:szCs w:val="15"/>
          <w:color w:val="050A35"/>
        </w:rPr>
      </w:pPr>
      <w:r>
        <w:rPr>
          <w:rFonts w:ascii="Arial" w:cs="Arial" w:eastAsia="Arial" w:hAnsi="Arial"/>
          <w:sz w:val="15"/>
          <w:szCs w:val="15"/>
          <w:color w:val="050A35"/>
        </w:rPr>
        <w:t>No fee required</w:t>
      </w:r>
    </w:p>
    <w:p>
      <w:pPr>
        <w:spacing w:after="0" w:line="138" w:lineRule="exact"/>
        <w:rPr>
          <w:sz w:val="24"/>
          <w:szCs w:val="24"/>
          <w:color w:val="auto"/>
        </w:rPr>
      </w:pPr>
    </w:p>
    <w:p>
      <w:pPr>
        <w:ind w:left="380" w:hanging="374"/>
        <w:spacing w:after="0"/>
        <w:tabs>
          <w:tab w:leader="none" w:pos="380" w:val="left"/>
        </w:tabs>
        <w:numPr>
          <w:ilvl w:val="0"/>
          <w:numId w:val="5"/>
        </w:numPr>
        <w:rPr>
          <w:rFonts w:ascii="MS PGothic" w:cs="MS PGothic" w:eastAsia="MS PGothic" w:hAnsi="MS PGothic"/>
          <w:sz w:val="15"/>
          <w:szCs w:val="15"/>
          <w:color w:val="050A35"/>
        </w:rPr>
      </w:pPr>
      <w:r>
        <w:rPr>
          <w:rFonts w:ascii="Arial" w:cs="Arial" w:eastAsia="Arial" w:hAnsi="Arial"/>
          <w:sz w:val="15"/>
          <w:szCs w:val="15"/>
          <w:color w:val="050A35"/>
        </w:rPr>
        <w:t>Fee paid previously with preliminary materials</w:t>
      </w:r>
    </w:p>
    <w:p>
      <w:pPr>
        <w:spacing w:after="0" w:line="138" w:lineRule="exact"/>
        <w:rPr>
          <w:rFonts w:ascii="MS PGothic" w:cs="MS PGothic" w:eastAsia="MS PGothic" w:hAnsi="MS PGothic"/>
          <w:sz w:val="15"/>
          <w:szCs w:val="15"/>
          <w:color w:val="050A35"/>
        </w:rPr>
      </w:pPr>
    </w:p>
    <w:p>
      <w:pPr>
        <w:ind w:left="380" w:hanging="374"/>
        <w:spacing w:after="0"/>
        <w:tabs>
          <w:tab w:leader="none" w:pos="380" w:val="left"/>
        </w:tabs>
        <w:numPr>
          <w:ilvl w:val="0"/>
          <w:numId w:val="5"/>
        </w:numPr>
        <w:rPr>
          <w:rFonts w:ascii="MS PGothic" w:cs="MS PGothic" w:eastAsia="MS PGothic" w:hAnsi="MS PGothic"/>
          <w:sz w:val="15"/>
          <w:szCs w:val="15"/>
          <w:color w:val="050A35"/>
        </w:rPr>
      </w:pPr>
      <w:r>
        <w:rPr>
          <w:rFonts w:ascii="Arial" w:cs="Arial" w:eastAsia="Arial" w:hAnsi="Arial"/>
          <w:sz w:val="15"/>
          <w:szCs w:val="15"/>
          <w:color w:val="050A35"/>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-428625</wp:posOffset>
            </wp:positionH>
            <wp:positionV relativeFrom="paragraph">
              <wp:posOffset>969010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269875</wp:posOffset>
            </wp:positionV>
            <wp:extent cx="5966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287020</wp:posOffset>
            </wp:positionV>
            <wp:extent cx="5966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219"/>
          </w:cols>
          <w:pgMar w:left="124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945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945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29"/>
          <w:szCs w:val="29"/>
          <w:b w:val="1"/>
          <w:bCs w:val="1"/>
          <w:color w:val="050A35"/>
        </w:rPr>
        <w:t>Notice of Annual Meeting of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Annual Meeting Information</w:t>
      </w:r>
    </w:p>
    <w:p>
      <w:pPr>
        <w:spacing w:after="0" w:line="110" w:lineRule="exact"/>
        <w:rPr>
          <w:sz w:val="20"/>
          <w:szCs w:val="20"/>
          <w:color w:val="auto"/>
        </w:rPr>
      </w:pPr>
    </w:p>
    <w:tbl>
      <w:tblPr>
        <w:tblLayout w:type="fixed"/>
        <w:tblInd w:w="660" w:type="dxa"/>
        <w:tblCellMar>
          <w:top w:w="0" w:type="dxa"/>
          <w:left w:w="0" w:type="dxa"/>
          <w:bottom w:w="0" w:type="dxa"/>
          <w:right w:w="0" w:type="dxa"/>
        </w:tblCellMar>
      </w:tblPr>
      <w:tr>
        <w:trPr>
          <w:trHeight w:val="837"/>
        </w:trPr>
        <w:tc>
          <w:tcPr>
            <w:tcW w:w="2360" w:type="dxa"/>
            <w:vAlign w:val="bottom"/>
            <w:tcBorders>
              <w:right w:val="single" w:sz="8" w:color="112B19"/>
            </w:tcBorders>
            <w:vMerge w:val="restart"/>
          </w:tcPr>
          <w:p>
            <w:pPr>
              <w:jc w:val="center"/>
              <w:ind w:right="584"/>
              <w:spacing w:after="0"/>
              <w:rPr>
                <w:sz w:val="20"/>
                <w:szCs w:val="20"/>
                <w:color w:val="auto"/>
              </w:rPr>
            </w:pPr>
            <w:r>
              <w:rPr>
                <w:rFonts w:ascii="Arial" w:cs="Arial" w:eastAsia="Arial" w:hAnsi="Arial"/>
                <w:sz w:val="15"/>
                <w:szCs w:val="15"/>
                <w:b w:val="1"/>
                <w:bCs w:val="1"/>
                <w:color w:val="050A35"/>
              </w:rPr>
              <w:t>Date and Time:</w:t>
            </w:r>
          </w:p>
        </w:tc>
        <w:tc>
          <w:tcPr>
            <w:tcW w:w="3400" w:type="dxa"/>
            <w:vAlign w:val="bottom"/>
            <w:tcBorders>
              <w:right w:val="single" w:sz="8" w:color="112B19"/>
            </w:tcBorders>
          </w:tcPr>
          <w:p>
            <w:pPr>
              <w:jc w:val="center"/>
              <w:spacing w:after="0"/>
              <w:rPr>
                <w:sz w:val="20"/>
                <w:szCs w:val="20"/>
                <w:color w:val="auto"/>
              </w:rPr>
            </w:pPr>
            <w:r>
              <w:rPr>
                <w:rFonts w:ascii="Arial" w:cs="Arial" w:eastAsia="Arial" w:hAnsi="Arial"/>
                <w:sz w:val="15"/>
                <w:szCs w:val="15"/>
                <w:b w:val="1"/>
                <w:bCs w:val="1"/>
                <w:color w:val="050A35"/>
              </w:rPr>
              <w:t>Location:</w:t>
            </w:r>
          </w:p>
        </w:tc>
        <w:tc>
          <w:tcPr>
            <w:tcW w:w="2100" w:type="dxa"/>
            <w:vAlign w:val="bottom"/>
          </w:tcPr>
          <w:p>
            <w:pPr>
              <w:jc w:val="center"/>
              <w:ind w:left="784"/>
              <w:spacing w:after="0"/>
              <w:rPr>
                <w:sz w:val="20"/>
                <w:szCs w:val="20"/>
                <w:color w:val="auto"/>
              </w:rPr>
            </w:pPr>
            <w:r>
              <w:rPr>
                <w:rFonts w:ascii="Arial" w:cs="Arial" w:eastAsia="Arial" w:hAnsi="Arial"/>
                <w:sz w:val="15"/>
                <w:szCs w:val="15"/>
                <w:b w:val="1"/>
                <w:bCs w:val="1"/>
                <w:color w:val="050A35"/>
              </w:rPr>
              <w:t>Record Date:</w:t>
            </w:r>
          </w:p>
        </w:tc>
        <w:tc>
          <w:tcPr>
            <w:tcW w:w="0" w:type="dxa"/>
            <w:vAlign w:val="bottom"/>
          </w:tcPr>
          <w:p>
            <w:pPr>
              <w:spacing w:after="0"/>
              <w:rPr>
                <w:sz w:val="1"/>
                <w:szCs w:val="1"/>
                <w:color w:val="auto"/>
              </w:rPr>
            </w:pPr>
          </w:p>
        </w:tc>
      </w:tr>
      <w:tr>
        <w:trPr>
          <w:trHeight w:val="162"/>
        </w:trPr>
        <w:tc>
          <w:tcPr>
            <w:tcW w:w="2360" w:type="dxa"/>
            <w:vAlign w:val="bottom"/>
            <w:tcBorders>
              <w:right w:val="single" w:sz="8" w:color="112B19"/>
            </w:tcBorders>
            <w:vMerge w:val="continue"/>
          </w:tcPr>
          <w:p>
            <w:pPr>
              <w:spacing w:after="0"/>
              <w:rPr>
                <w:sz w:val="14"/>
                <w:szCs w:val="14"/>
                <w:color w:val="auto"/>
              </w:rPr>
            </w:pPr>
          </w:p>
        </w:tc>
        <w:tc>
          <w:tcPr>
            <w:tcW w:w="3400" w:type="dxa"/>
            <w:vAlign w:val="bottom"/>
            <w:tcBorders>
              <w:right w:val="single" w:sz="8" w:color="112B19"/>
            </w:tcBorders>
          </w:tcPr>
          <w:p>
            <w:pPr>
              <w:jc w:val="center"/>
              <w:ind w:right="4"/>
              <w:spacing w:after="0" w:line="162" w:lineRule="exact"/>
              <w:rPr>
                <w:sz w:val="20"/>
                <w:szCs w:val="20"/>
                <w:color w:val="auto"/>
              </w:rPr>
            </w:pPr>
            <w:r>
              <w:rPr>
                <w:rFonts w:ascii="Arial" w:cs="Arial" w:eastAsia="Arial" w:hAnsi="Arial"/>
                <w:sz w:val="15"/>
                <w:szCs w:val="15"/>
                <w:color w:val="050A35"/>
              </w:rPr>
              <w:t>The offices of Herbert Smith Freehills Kramer</w:t>
            </w:r>
          </w:p>
        </w:tc>
        <w:tc>
          <w:tcPr>
            <w:tcW w:w="2100" w:type="dxa"/>
            <w:vAlign w:val="bottom"/>
          </w:tcPr>
          <w:p>
            <w:pPr>
              <w:jc w:val="center"/>
              <w:ind w:left="804"/>
              <w:spacing w:after="0" w:line="162" w:lineRule="exact"/>
              <w:rPr>
                <w:sz w:val="20"/>
                <w:szCs w:val="20"/>
                <w:color w:val="auto"/>
              </w:rPr>
            </w:pPr>
            <w:r>
              <w:rPr>
                <w:rFonts w:ascii="Arial" w:cs="Arial" w:eastAsia="Arial" w:hAnsi="Arial"/>
                <w:sz w:val="15"/>
                <w:szCs w:val="15"/>
                <w:color w:val="050A35"/>
              </w:rPr>
              <w:t>Close of Business</w:t>
            </w:r>
          </w:p>
        </w:tc>
        <w:tc>
          <w:tcPr>
            <w:tcW w:w="0" w:type="dxa"/>
            <w:vAlign w:val="bottom"/>
          </w:tcPr>
          <w:p>
            <w:pPr>
              <w:spacing w:after="0"/>
              <w:rPr>
                <w:sz w:val="1"/>
                <w:szCs w:val="1"/>
                <w:color w:val="auto"/>
              </w:rPr>
            </w:pPr>
          </w:p>
        </w:tc>
      </w:tr>
      <w:tr>
        <w:trPr>
          <w:trHeight w:val="172"/>
        </w:trPr>
        <w:tc>
          <w:tcPr>
            <w:tcW w:w="2360" w:type="dxa"/>
            <w:vAlign w:val="bottom"/>
            <w:tcBorders>
              <w:right w:val="single" w:sz="8" w:color="112B19"/>
            </w:tcBorders>
          </w:tcPr>
          <w:p>
            <w:pPr>
              <w:jc w:val="center"/>
              <w:ind w:right="584"/>
              <w:spacing w:after="0"/>
              <w:rPr>
                <w:sz w:val="20"/>
                <w:szCs w:val="20"/>
                <w:color w:val="auto"/>
              </w:rPr>
            </w:pPr>
            <w:r>
              <w:rPr>
                <w:rFonts w:ascii="Arial" w:cs="Arial" w:eastAsia="Arial" w:hAnsi="Arial"/>
                <w:sz w:val="15"/>
                <w:szCs w:val="15"/>
                <w:color w:val="050A35"/>
              </w:rPr>
              <w:t>Thursday, June 18, 2026</w:t>
            </w:r>
          </w:p>
        </w:tc>
        <w:tc>
          <w:tcPr>
            <w:tcW w:w="3400" w:type="dxa"/>
            <w:vAlign w:val="bottom"/>
            <w:tcBorders>
              <w:right w:val="single" w:sz="8" w:color="112B19"/>
            </w:tcBorders>
          </w:tcPr>
          <w:p>
            <w:pPr>
              <w:jc w:val="center"/>
              <w:spacing w:after="0"/>
              <w:rPr>
                <w:sz w:val="20"/>
                <w:szCs w:val="20"/>
                <w:color w:val="auto"/>
              </w:rPr>
            </w:pPr>
            <w:r>
              <w:rPr>
                <w:rFonts w:ascii="Arial" w:cs="Arial" w:eastAsia="Arial" w:hAnsi="Arial"/>
                <w:sz w:val="15"/>
                <w:szCs w:val="15"/>
                <w:color w:val="050A35"/>
              </w:rPr>
              <w:t>1177 Avenue of the Americas, New York, New</w:t>
            </w:r>
          </w:p>
        </w:tc>
        <w:tc>
          <w:tcPr>
            <w:tcW w:w="2100" w:type="dxa"/>
            <w:vAlign w:val="bottom"/>
          </w:tcPr>
          <w:p>
            <w:pPr>
              <w:jc w:val="center"/>
              <w:ind w:left="804"/>
              <w:spacing w:after="0"/>
              <w:rPr>
                <w:sz w:val="20"/>
                <w:szCs w:val="20"/>
                <w:color w:val="auto"/>
              </w:rPr>
            </w:pPr>
            <w:r>
              <w:rPr>
                <w:rFonts w:ascii="Arial" w:cs="Arial" w:eastAsia="Arial" w:hAnsi="Arial"/>
                <w:sz w:val="15"/>
                <w:szCs w:val="15"/>
                <w:color w:val="050A35"/>
              </w:rPr>
              <w:t>April 20, 2026</w:t>
            </w:r>
          </w:p>
        </w:tc>
        <w:tc>
          <w:tcPr>
            <w:tcW w:w="0" w:type="dxa"/>
            <w:vAlign w:val="bottom"/>
          </w:tcPr>
          <w:p>
            <w:pPr>
              <w:spacing w:after="0"/>
              <w:rPr>
                <w:sz w:val="1"/>
                <w:szCs w:val="1"/>
                <w:color w:val="auto"/>
              </w:rPr>
            </w:pPr>
          </w:p>
        </w:tc>
      </w:tr>
      <w:tr>
        <w:trPr>
          <w:trHeight w:val="179"/>
        </w:trPr>
        <w:tc>
          <w:tcPr>
            <w:tcW w:w="2360" w:type="dxa"/>
            <w:vAlign w:val="bottom"/>
            <w:tcBorders>
              <w:right w:val="single" w:sz="8" w:color="112B19"/>
            </w:tcBorders>
          </w:tcPr>
          <w:p>
            <w:pPr>
              <w:jc w:val="center"/>
              <w:ind w:right="604"/>
              <w:spacing w:after="0"/>
              <w:rPr>
                <w:sz w:val="20"/>
                <w:szCs w:val="20"/>
                <w:color w:val="auto"/>
              </w:rPr>
            </w:pPr>
            <w:r>
              <w:rPr>
                <w:rFonts w:ascii="Arial" w:cs="Arial" w:eastAsia="Arial" w:hAnsi="Arial"/>
                <w:sz w:val="15"/>
                <w:szCs w:val="15"/>
                <w:color w:val="050A35"/>
              </w:rPr>
              <w:t>9:00 a.m., local time</w:t>
            </w:r>
          </w:p>
        </w:tc>
        <w:tc>
          <w:tcPr>
            <w:tcW w:w="3400" w:type="dxa"/>
            <w:vAlign w:val="bottom"/>
            <w:tcBorders>
              <w:right w:val="single" w:sz="8" w:color="112B19"/>
            </w:tcBorders>
          </w:tcPr>
          <w:p>
            <w:pPr>
              <w:jc w:val="center"/>
              <w:spacing w:after="0"/>
              <w:rPr>
                <w:sz w:val="20"/>
                <w:szCs w:val="20"/>
                <w:color w:val="auto"/>
              </w:rPr>
            </w:pPr>
            <w:r>
              <w:rPr>
                <w:rFonts w:ascii="Arial" w:cs="Arial" w:eastAsia="Arial" w:hAnsi="Arial"/>
                <w:sz w:val="15"/>
                <w:szCs w:val="15"/>
                <w:color w:val="050A35"/>
              </w:rPr>
              <w:t>York 10036</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-719455</wp:posOffset>
            </wp:positionV>
            <wp:extent cx="368300" cy="386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300" cy="38608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-856615</wp:posOffset>
            </wp:positionV>
            <wp:extent cx="325755" cy="419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755" cy="419735"/>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-856615</wp:posOffset>
            </wp:positionV>
            <wp:extent cx="325755"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755" cy="41148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Agenda for the Meeting</w:t>
      </w:r>
    </w:p>
    <w:p>
      <w:pPr>
        <w:spacing w:after="0" w:line="120" w:lineRule="exact"/>
        <w:rPr>
          <w:sz w:val="20"/>
          <w:szCs w:val="20"/>
          <w:color w:val="auto"/>
        </w:rPr>
      </w:pPr>
    </w:p>
    <w:p>
      <w:pPr>
        <w:ind w:left="320" w:right="100" w:hanging="314"/>
        <w:spacing w:after="0" w:line="228" w:lineRule="auto"/>
        <w:tabs>
          <w:tab w:leader="none" w:pos="320" w:val="left"/>
        </w:tabs>
        <w:numPr>
          <w:ilvl w:val="0"/>
          <w:numId w:val="6"/>
        </w:numPr>
        <w:rPr>
          <w:rFonts w:ascii="Times New Roman" w:cs="Times New Roman" w:eastAsia="Times New Roman" w:hAnsi="Times New Roman"/>
          <w:sz w:val="18"/>
          <w:szCs w:val="18"/>
          <w:b w:val="1"/>
          <w:bCs w:val="1"/>
          <w:color w:val="050A35"/>
        </w:rPr>
      </w:pPr>
      <w:r>
        <w:rPr>
          <w:rFonts w:ascii="Arial" w:cs="Arial" w:eastAsia="Arial" w:hAnsi="Arial"/>
          <w:sz w:val="15"/>
          <w:szCs w:val="15"/>
          <w:color w:val="050A35"/>
        </w:rPr>
        <w:t>To elect three members of our Board of Directors, each to hold office for a three-year term ending on the date of the annual meeting of stockholders in 2029 and until such director's successor shall have been duly elected and qualified (or, if earlier, such director's disqualification, removal or resignation);</w:t>
      </w:r>
    </w:p>
    <w:p>
      <w:pPr>
        <w:spacing w:after="0" w:line="76" w:lineRule="exact"/>
        <w:rPr>
          <w:rFonts w:ascii="Times New Roman" w:cs="Times New Roman" w:eastAsia="Times New Roman" w:hAnsi="Times New Roman"/>
          <w:sz w:val="18"/>
          <w:szCs w:val="18"/>
          <w:b w:val="1"/>
          <w:bCs w:val="1"/>
          <w:color w:val="050A35"/>
        </w:rPr>
      </w:pPr>
    </w:p>
    <w:p>
      <w:pPr>
        <w:ind w:left="320" w:hanging="314"/>
        <w:spacing w:after="0"/>
        <w:tabs>
          <w:tab w:leader="none" w:pos="320" w:val="left"/>
        </w:tabs>
        <w:numPr>
          <w:ilvl w:val="0"/>
          <w:numId w:val="6"/>
        </w:numPr>
        <w:rPr>
          <w:rFonts w:ascii="Times New Roman" w:cs="Times New Roman" w:eastAsia="Times New Roman" w:hAnsi="Times New Roman"/>
          <w:sz w:val="18"/>
          <w:szCs w:val="18"/>
          <w:b w:val="1"/>
          <w:bCs w:val="1"/>
          <w:color w:val="050A35"/>
        </w:rPr>
      </w:pPr>
      <w:r>
        <w:rPr>
          <w:rFonts w:ascii="Arial" w:cs="Arial" w:eastAsia="Arial" w:hAnsi="Arial"/>
          <w:sz w:val="15"/>
          <w:szCs w:val="15"/>
          <w:color w:val="050A35"/>
        </w:rPr>
        <w:t>To conduct an advisory vote to approve the compensation of our named executive officers;</w:t>
      </w:r>
    </w:p>
    <w:p>
      <w:pPr>
        <w:spacing w:after="0" w:line="90" w:lineRule="exact"/>
        <w:rPr>
          <w:rFonts w:ascii="Times New Roman" w:cs="Times New Roman" w:eastAsia="Times New Roman" w:hAnsi="Times New Roman"/>
          <w:sz w:val="18"/>
          <w:szCs w:val="18"/>
          <w:b w:val="1"/>
          <w:bCs w:val="1"/>
          <w:color w:val="050A35"/>
        </w:rPr>
      </w:pPr>
    </w:p>
    <w:p>
      <w:pPr>
        <w:ind w:left="320" w:hanging="314"/>
        <w:spacing w:after="0"/>
        <w:tabs>
          <w:tab w:leader="none" w:pos="320" w:val="left"/>
        </w:tabs>
        <w:numPr>
          <w:ilvl w:val="0"/>
          <w:numId w:val="6"/>
        </w:numPr>
        <w:rPr>
          <w:rFonts w:ascii="Times New Roman" w:cs="Times New Roman" w:eastAsia="Times New Roman" w:hAnsi="Times New Roman"/>
          <w:sz w:val="18"/>
          <w:szCs w:val="18"/>
          <w:b w:val="1"/>
          <w:bCs w:val="1"/>
          <w:color w:val="050A35"/>
        </w:rPr>
      </w:pPr>
      <w:r>
        <w:rPr>
          <w:rFonts w:ascii="Arial" w:cs="Arial" w:eastAsia="Arial" w:hAnsi="Arial"/>
          <w:sz w:val="15"/>
          <w:szCs w:val="15"/>
          <w:color w:val="050A35"/>
        </w:rPr>
        <w:t>To conduct an advisory vote on the frequency of future advisory votes to approve the compensation of our named executive officers;</w:t>
      </w:r>
    </w:p>
    <w:p>
      <w:pPr>
        <w:spacing w:after="0" w:line="103" w:lineRule="exact"/>
        <w:rPr>
          <w:rFonts w:ascii="Times New Roman" w:cs="Times New Roman" w:eastAsia="Times New Roman" w:hAnsi="Times New Roman"/>
          <w:sz w:val="18"/>
          <w:szCs w:val="18"/>
          <w:b w:val="1"/>
          <w:bCs w:val="1"/>
          <w:color w:val="050A35"/>
        </w:rPr>
      </w:pPr>
    </w:p>
    <w:p>
      <w:pPr>
        <w:ind w:left="320" w:hanging="314"/>
        <w:spacing w:after="0"/>
        <w:tabs>
          <w:tab w:leader="none" w:pos="320" w:val="left"/>
        </w:tabs>
        <w:numPr>
          <w:ilvl w:val="0"/>
          <w:numId w:val="6"/>
        </w:numPr>
        <w:rPr>
          <w:rFonts w:ascii="Times New Roman" w:cs="Times New Roman" w:eastAsia="Times New Roman" w:hAnsi="Times New Roman"/>
          <w:sz w:val="18"/>
          <w:szCs w:val="18"/>
          <w:b w:val="1"/>
          <w:bCs w:val="1"/>
          <w:color w:val="050A35"/>
        </w:rPr>
      </w:pPr>
      <w:r>
        <w:rPr>
          <w:rFonts w:ascii="Arial" w:cs="Arial" w:eastAsia="Arial" w:hAnsi="Arial"/>
          <w:sz w:val="15"/>
          <w:szCs w:val="15"/>
          <w:color w:val="050A35"/>
        </w:rPr>
        <w:t>To ratify the appointment of KPMG LLP as our independent registered public accounting firm for the 2026 fiscal year; and</w:t>
      </w:r>
    </w:p>
    <w:p>
      <w:pPr>
        <w:spacing w:after="0" w:line="103" w:lineRule="exact"/>
        <w:rPr>
          <w:rFonts w:ascii="Times New Roman" w:cs="Times New Roman" w:eastAsia="Times New Roman" w:hAnsi="Times New Roman"/>
          <w:sz w:val="18"/>
          <w:szCs w:val="18"/>
          <w:b w:val="1"/>
          <w:bCs w:val="1"/>
          <w:color w:val="050A35"/>
        </w:rPr>
      </w:pPr>
    </w:p>
    <w:p>
      <w:pPr>
        <w:ind w:left="320" w:hanging="314"/>
        <w:spacing w:after="0"/>
        <w:tabs>
          <w:tab w:leader="none" w:pos="320" w:val="left"/>
        </w:tabs>
        <w:numPr>
          <w:ilvl w:val="0"/>
          <w:numId w:val="6"/>
        </w:numPr>
        <w:rPr>
          <w:rFonts w:ascii="Times New Roman" w:cs="Times New Roman" w:eastAsia="Times New Roman" w:hAnsi="Times New Roman"/>
          <w:sz w:val="18"/>
          <w:szCs w:val="18"/>
          <w:b w:val="1"/>
          <w:bCs w:val="1"/>
          <w:color w:val="050A35"/>
        </w:rPr>
      </w:pPr>
      <w:r>
        <w:rPr>
          <w:rFonts w:ascii="Arial" w:cs="Arial" w:eastAsia="Arial" w:hAnsi="Arial"/>
          <w:sz w:val="15"/>
          <w:szCs w:val="15"/>
          <w:color w:val="050A35"/>
        </w:rPr>
        <w:t>To transact such other business as may properly come before the meeting and any adjournment or postponement thereof.</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050A35"/>
        </w:rPr>
        <w:t>These proposals are more fully described in the Proxy Statement following this Notice.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1979930</wp:posOffset>
            </wp:positionH>
            <wp:positionV relativeFrom="paragraph">
              <wp:posOffset>22860</wp:posOffset>
            </wp:positionV>
            <wp:extent cx="2014220" cy="685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14220" cy="685800"/>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35560</wp:posOffset>
            </wp:positionV>
            <wp:extent cx="257175"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175" cy="42862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520"/>
        </w:trPr>
        <w:tc>
          <w:tcPr>
            <w:tcW w:w="3140" w:type="dxa"/>
            <w:vAlign w:val="bottom"/>
            <w:tcBorders>
              <w:top w:val="single" w:sz="8" w:color="112B19"/>
            </w:tcBorders>
            <w:shd w:val="clear" w:color="auto" w:fill="EDEDED"/>
          </w:tcPr>
          <w:p>
            <w:pPr>
              <w:jc w:val="center"/>
              <w:spacing w:after="0"/>
              <w:rPr>
                <w:sz w:val="20"/>
                <w:szCs w:val="20"/>
                <w:color w:val="auto"/>
              </w:rPr>
            </w:pPr>
            <w:r>
              <w:rPr>
                <w:rFonts w:ascii="Arial" w:cs="Arial" w:eastAsia="Arial" w:hAnsi="Arial"/>
                <w:sz w:val="18"/>
                <w:szCs w:val="18"/>
                <w:b w:val="1"/>
                <w:bCs w:val="1"/>
                <w:color w:val="050A35"/>
                <w:w w:val="99"/>
              </w:rPr>
              <w:t>Your vote is important.</w:t>
            </w:r>
          </w:p>
        </w:tc>
        <w:tc>
          <w:tcPr>
            <w:tcW w:w="3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EDEDED"/>
          </w:tcPr>
          <w:p>
            <w:pPr>
              <w:jc w:val="center"/>
              <w:spacing w:after="0"/>
              <w:rPr>
                <w:sz w:val="20"/>
                <w:szCs w:val="20"/>
                <w:color w:val="auto"/>
              </w:rPr>
            </w:pPr>
            <w:r>
              <w:rPr>
                <w:rFonts w:ascii="Arial" w:cs="Arial" w:eastAsia="Arial" w:hAnsi="Arial"/>
                <w:sz w:val="15"/>
                <w:szCs w:val="15"/>
                <w:color w:val="050A35"/>
              </w:rPr>
              <w:t>Please vote via the Internet or telephone.</w:t>
            </w:r>
          </w:p>
        </w:tc>
        <w:tc>
          <w:tcPr>
            <w:tcW w:w="3280" w:type="dxa"/>
            <w:vAlign w:val="bottom"/>
          </w:tcPr>
          <w:p>
            <w:pPr>
              <w:jc w:val="center"/>
              <w:ind w:right="84"/>
              <w:spacing w:after="0"/>
              <w:rPr>
                <w:sz w:val="20"/>
                <w:szCs w:val="20"/>
                <w:color w:val="auto"/>
              </w:rPr>
            </w:pPr>
            <w:r>
              <w:rPr>
                <w:rFonts w:ascii="Arial" w:cs="Arial" w:eastAsia="Arial" w:hAnsi="Arial"/>
                <w:sz w:val="15"/>
                <w:szCs w:val="15"/>
                <w:b w:val="1"/>
                <w:bCs w:val="1"/>
                <w:color w:val="050A35"/>
              </w:rPr>
              <w:t>By Internet</w:t>
            </w:r>
          </w:p>
        </w:tc>
        <w:tc>
          <w:tcPr>
            <w:tcW w:w="2120" w:type="dxa"/>
            <w:vAlign w:val="bottom"/>
            <w:vMerge w:val="restart"/>
          </w:tcPr>
          <w:p>
            <w:pPr>
              <w:jc w:val="center"/>
              <w:ind w:left="624"/>
              <w:spacing w:after="0"/>
              <w:rPr>
                <w:sz w:val="20"/>
                <w:szCs w:val="20"/>
                <w:color w:val="auto"/>
              </w:rPr>
            </w:pPr>
            <w:r>
              <w:rPr>
                <w:rFonts w:ascii="Arial" w:cs="Arial" w:eastAsia="Arial" w:hAnsi="Arial"/>
                <w:sz w:val="15"/>
                <w:szCs w:val="15"/>
                <w:b w:val="1"/>
                <w:bCs w:val="1"/>
                <w:color w:val="050A35"/>
              </w:rPr>
              <w:t>By Phone</w:t>
            </w:r>
          </w:p>
        </w:tc>
        <w:tc>
          <w:tcPr>
            <w:tcW w:w="0" w:type="dxa"/>
            <w:vAlign w:val="bottom"/>
          </w:tcPr>
          <w:p>
            <w:pPr>
              <w:spacing w:after="0"/>
              <w:rPr>
                <w:sz w:val="1"/>
                <w:szCs w:val="1"/>
                <w:color w:val="auto"/>
              </w:rPr>
            </w:pPr>
          </w:p>
        </w:tc>
      </w:tr>
      <w:tr>
        <w:trPr>
          <w:trHeight w:val="152"/>
        </w:trPr>
        <w:tc>
          <w:tcPr>
            <w:tcW w:w="3140" w:type="dxa"/>
            <w:vAlign w:val="bottom"/>
            <w:shd w:val="clear" w:color="auto" w:fill="EDEDED"/>
          </w:tcPr>
          <w:p>
            <w:pPr>
              <w:spacing w:after="0"/>
              <w:rPr>
                <w:sz w:val="13"/>
                <w:szCs w:val="13"/>
                <w:color w:val="auto"/>
              </w:rPr>
            </w:pPr>
          </w:p>
        </w:tc>
        <w:tc>
          <w:tcPr>
            <w:tcW w:w="3280" w:type="dxa"/>
            <w:vAlign w:val="bottom"/>
          </w:tcPr>
          <w:p>
            <w:pPr>
              <w:jc w:val="center"/>
              <w:ind w:right="84"/>
              <w:spacing w:after="0" w:line="153" w:lineRule="exact"/>
              <w:rPr>
                <w:sz w:val="20"/>
                <w:szCs w:val="20"/>
                <w:color w:val="auto"/>
              </w:rPr>
            </w:pPr>
            <w:r>
              <w:rPr>
                <w:rFonts w:ascii="Arial" w:cs="Arial" w:eastAsia="Arial" w:hAnsi="Arial"/>
                <w:sz w:val="15"/>
                <w:szCs w:val="15"/>
                <w:color w:val="050A35"/>
              </w:rPr>
              <w:t>Visit: www.FCRvote.com/RPC</w:t>
            </w:r>
          </w:p>
        </w:tc>
        <w:tc>
          <w:tcPr>
            <w:tcW w:w="2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40" w:type="dxa"/>
            <w:vAlign w:val="bottom"/>
            <w:tcBorders>
              <w:bottom w:val="single" w:sz="8" w:color="112B19"/>
            </w:tcBorders>
            <w:shd w:val="clear" w:color="auto" w:fill="EDEDED"/>
          </w:tcPr>
          <w:p>
            <w:pPr>
              <w:spacing w:after="0"/>
              <w:rPr>
                <w:sz w:val="11"/>
                <w:szCs w:val="11"/>
                <w:color w:val="auto"/>
              </w:rPr>
            </w:pPr>
          </w:p>
        </w:tc>
        <w:tc>
          <w:tcPr>
            <w:tcW w:w="3280" w:type="dxa"/>
            <w:vAlign w:val="bottom"/>
          </w:tcPr>
          <w:p>
            <w:pPr>
              <w:spacing w:after="0"/>
              <w:rPr>
                <w:sz w:val="11"/>
                <w:szCs w:val="11"/>
                <w:color w:val="auto"/>
              </w:rPr>
            </w:pPr>
          </w:p>
        </w:tc>
        <w:tc>
          <w:tcPr>
            <w:tcW w:w="2120" w:type="dxa"/>
            <w:vAlign w:val="bottom"/>
          </w:tcPr>
          <w:p>
            <w:pPr>
              <w:jc w:val="center"/>
              <w:ind w:left="624"/>
              <w:spacing w:after="0" w:line="135" w:lineRule="exact"/>
              <w:rPr>
                <w:sz w:val="20"/>
                <w:szCs w:val="20"/>
                <w:color w:val="auto"/>
              </w:rPr>
            </w:pPr>
            <w:r>
              <w:rPr>
                <w:rFonts w:ascii="Arial" w:cs="Arial" w:eastAsia="Arial" w:hAnsi="Arial"/>
                <w:sz w:val="15"/>
                <w:szCs w:val="15"/>
                <w:color w:val="050A35"/>
              </w:rPr>
              <w:t>Call: 1-866-402-3905</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line="238" w:lineRule="auto"/>
        <w:rPr>
          <w:sz w:val="20"/>
          <w:szCs w:val="20"/>
          <w:color w:val="auto"/>
        </w:rPr>
      </w:pPr>
      <w:r>
        <w:rPr>
          <w:rFonts w:ascii="Arial" w:cs="Arial" w:eastAsia="Arial" w:hAnsi="Arial"/>
          <w:sz w:val="15"/>
          <w:szCs w:val="15"/>
          <w:color w:val="050A35"/>
        </w:rPr>
        <w:t>The Board of Directors recommends that you vote (i) FOR the election of each of the director nominees, (ii) FOR the approval, on an advisory basis, of the compensation of our named executive officers, as disclosed in the Proxy Statement, (iii) 1 YEAR, on an advisory basis, as the frequency of future advisory votes to approve the compensation of our named executive officers; and (iv) FOR the ratification of the appointment of KPMG LLP as our independent registered public accounting firm for the 2026 fiscal year.</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050A35"/>
        </w:rPr>
        <w:t>Along with the attached Proxy Statement, we are sending you a copy of our 2025 Annual Report on Form 10-K.</w:t>
      </w:r>
    </w:p>
    <w:p>
      <w:pPr>
        <w:spacing w:after="0" w:line="84" w:lineRule="exact"/>
        <w:rPr>
          <w:sz w:val="20"/>
          <w:szCs w:val="20"/>
          <w:color w:val="auto"/>
        </w:rPr>
      </w:pPr>
    </w:p>
    <w:p>
      <w:pPr>
        <w:ind w:right="100"/>
        <w:spacing w:after="0" w:line="236" w:lineRule="auto"/>
        <w:rPr>
          <w:sz w:val="20"/>
          <w:szCs w:val="20"/>
          <w:color w:val="auto"/>
        </w:rPr>
      </w:pPr>
      <w:r>
        <w:rPr>
          <w:rFonts w:ascii="Arial" w:cs="Arial" w:eastAsia="Arial" w:hAnsi="Arial"/>
          <w:sz w:val="15"/>
          <w:szCs w:val="15"/>
          <w:color w:val="050A35"/>
        </w:rPr>
        <w:t>The Board of Directors has fixed the close of business on April 20, 2026 as the record date for the Annual Meeting. Accordingly, only stockholders of record at the close of business on that date will be entitled to notice of, and to vote at the Annual Meeting. A list of the stockholders of record as of the close of business on April 20, 2026 will be available for inspection by any of our stockholders for any purpose germane to the Annual Meeting during normal business hours at our principal executive offices, 2699 Howell Street, Suite 1000, Dallas, Texas 75204, beginning on June 8, 2026 and at the Annual Meeting.</w:t>
      </w:r>
    </w:p>
    <w:p>
      <w:pPr>
        <w:spacing w:after="0" w:line="56" w:lineRule="exact"/>
        <w:rPr>
          <w:sz w:val="20"/>
          <w:szCs w:val="20"/>
          <w:color w:val="auto"/>
        </w:rPr>
      </w:pPr>
    </w:p>
    <w:p>
      <w:pPr>
        <w:jc w:val="both"/>
        <w:ind w:right="80"/>
        <w:spacing w:after="0" w:line="244" w:lineRule="auto"/>
        <w:rPr>
          <w:sz w:val="20"/>
          <w:szCs w:val="20"/>
          <w:color w:val="auto"/>
        </w:rPr>
      </w:pPr>
      <w:r>
        <w:rPr>
          <w:rFonts w:ascii="Arial" w:cs="Arial" w:eastAsia="Arial" w:hAnsi="Arial"/>
          <w:sz w:val="15"/>
          <w:szCs w:val="15"/>
          <w:color w:val="050A35"/>
        </w:rPr>
        <w:t>Stockholders are cordially invited to attend the Annual Meeting in person. Regardless of whether you plan to attend the Annual Meeting, please mark, date, sign and return the enclosed proxy, or vote by internet or telephone, to ensure that your shares are represented at the Annual Meeting.</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050A35"/>
        </w:rPr>
        <w:t>By Order of the Board of Directors,</w:t>
      </w:r>
    </w:p>
    <w:p>
      <w:pPr>
        <w:spacing w:after="0" w:line="94" w:lineRule="exact"/>
        <w:rPr>
          <w:sz w:val="20"/>
          <w:szCs w:val="20"/>
          <w:color w:val="auto"/>
        </w:rPr>
      </w:pPr>
    </w:p>
    <w:p>
      <w:pPr>
        <w:spacing w:after="0"/>
        <w:rPr>
          <w:sz w:val="20"/>
          <w:szCs w:val="20"/>
          <w:color w:val="auto"/>
        </w:rPr>
      </w:pPr>
      <w:r>
        <w:rPr>
          <w:rFonts w:ascii="Arial" w:cs="Arial" w:eastAsia="Arial" w:hAnsi="Arial"/>
          <w:sz w:val="25"/>
          <w:szCs w:val="25"/>
          <w:i w:val="1"/>
          <w:iCs w:val="1"/>
          <w:color w:val="050A35"/>
        </w:rPr>
        <w:t>Luke A. Sarsfield III</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050A35"/>
        </w:rPr>
        <w:t>Luke A. Sarsfield III</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050A35"/>
        </w:rPr>
        <w:t>Chairman of the Board and CEO</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050A35"/>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59664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050A35"/>
        </w:rPr>
        <w:t>Important notice regarding the availability of proxy materials for the Annual Meeting to be held on June 18, 2026:</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color w:val="050A35"/>
        </w:rPr>
        <w:t>The Notice of Annual Meeting of Stockholders, the accompanying Proxy Statement and our 2025 Annual Report to Stockholders are available at https://web.viewproxy.com/Ridgepost/2026. These proxy materials are being made available to stockholders on April 30, 2026 and first mailed on or about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806450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59664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340"/>
          </w:cols>
          <w:pgMar w:left="1240" w:top="1077" w:right="1319" w:bottom="1440" w:gutter="0" w:footer="0" w:header="0"/>
        </w:sectPr>
      </w:pPr>
    </w:p>
    <w:bookmarkStart w:id="3" w:name="page4"/>
    <w:bookmarkEnd w:id="3"/>
    <w:p>
      <w:pPr>
        <w:ind w:left="9000"/>
        <w:spacing w:after="0"/>
        <w:rPr>
          <w:sz w:val="20"/>
          <w:szCs w:val="20"/>
          <w:color w:val="auto"/>
        </w:rPr>
      </w:pPr>
      <w:r>
        <w:rPr>
          <w:rFonts w:ascii="Arial" w:cs="Arial" w:eastAsia="Arial" w:hAnsi="Arial"/>
          <w:sz w:val="13"/>
          <w:szCs w:val="13"/>
          <w:color w:val="050A35"/>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050A35"/>
        </w:rPr>
        <w:t>Ridgepost Capital,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color w:val="050A35"/>
        </w:rPr>
        <w:t>Proxy Statement</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050A35"/>
        </w:rPr>
        <w:t>Table of Contents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60" w:type="dxa"/>
            <w:vAlign w:val="bottom"/>
            <w:gridSpan w:val="2"/>
          </w:tcPr>
          <w:p>
            <w:pPr>
              <w:jc w:val="right"/>
              <w:ind w:right="604"/>
              <w:spacing w:after="0"/>
              <w:rPr>
                <w:sz w:val="20"/>
                <w:szCs w:val="20"/>
                <w:color w:val="auto"/>
              </w:rPr>
            </w:pPr>
            <w:r>
              <w:rPr>
                <w:rFonts w:ascii="Arial" w:cs="Arial" w:eastAsia="Arial" w:hAnsi="Arial"/>
                <w:sz w:val="15"/>
                <w:szCs w:val="15"/>
                <w:color w:val="050A35"/>
              </w:rPr>
              <w:t>Page</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1260" w:type="dxa"/>
            <w:vAlign w:val="bottom"/>
            <w:tcBorders>
              <w:bottom w:val="single" w:sz="8" w:color="0000EE"/>
            </w:tcBorders>
            <w:gridSpan w:val="6"/>
          </w:tcPr>
          <w:p>
            <w:pPr>
              <w:spacing w:after="0"/>
              <w:rPr>
                <w:sz w:val="20"/>
                <w:szCs w:val="20"/>
                <w:color w:val="auto"/>
              </w:rPr>
            </w:pPr>
            <w:r>
              <w:rPr>
                <w:rFonts w:ascii="Arial" w:cs="Arial" w:eastAsia="Arial" w:hAnsi="Arial"/>
                <w:sz w:val="15"/>
                <w:szCs w:val="15"/>
                <w:color w:val="050A35"/>
              </w:rPr>
              <w:t>About the Meeting</w:t>
            </w:r>
          </w:p>
        </w:tc>
        <w:tc>
          <w:tcPr>
            <w:tcW w:w="7840" w:type="dxa"/>
            <w:vAlign w:val="bottom"/>
            <w:gridSpan w:val="35"/>
          </w:tcPr>
          <w:p>
            <w:pPr>
              <w:spacing w:after="0"/>
              <w:rPr>
                <w:sz w:val="15"/>
                <w:szCs w:val="15"/>
                <w:color w:val="auto"/>
              </w:rPr>
            </w:pPr>
          </w:p>
        </w:tc>
        <w:tc>
          <w:tcPr>
            <w:tcW w:w="960" w:type="dxa"/>
            <w:vAlign w:val="bottom"/>
          </w:tcPr>
          <w:p>
            <w:pPr>
              <w:jc w:val="right"/>
              <w:ind w:right="604"/>
              <w:spacing w:after="0"/>
              <w:rPr>
                <w:sz w:val="20"/>
                <w:szCs w:val="20"/>
                <w:color w:val="auto"/>
              </w:rPr>
            </w:pPr>
            <w:r>
              <w:rPr>
                <w:rFonts w:ascii="Arial" w:cs="Arial" w:eastAsia="Arial" w:hAnsi="Arial"/>
                <w:sz w:val="15"/>
                <w:szCs w:val="15"/>
                <w:color w:val="050A35"/>
              </w:rPr>
              <w:t>1</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200" w:type="dxa"/>
            <w:vAlign w:val="bottom"/>
            <w:tcBorders>
              <w:bottom w:val="single" w:sz="8" w:color="0000EE"/>
            </w:tcBorders>
            <w:gridSpan w:val="20"/>
          </w:tcPr>
          <w:p>
            <w:pPr>
              <w:spacing w:after="0"/>
              <w:rPr>
                <w:sz w:val="20"/>
                <w:szCs w:val="20"/>
                <w:color w:val="auto"/>
              </w:rPr>
            </w:pPr>
            <w:r>
              <w:rPr>
                <w:rFonts w:ascii="Arial" w:cs="Arial" w:eastAsia="Arial" w:hAnsi="Arial"/>
                <w:sz w:val="15"/>
                <w:szCs w:val="15"/>
                <w:color w:val="050A35"/>
              </w:rPr>
              <w:t>Proposal 1: Election of Directors</w:t>
            </w:r>
          </w:p>
        </w:tc>
        <w:tc>
          <w:tcPr>
            <w:tcW w:w="6900" w:type="dxa"/>
            <w:vAlign w:val="bottom"/>
            <w:gridSpan w:val="21"/>
          </w:tcPr>
          <w:p>
            <w:pPr>
              <w:spacing w:after="0"/>
              <w:rPr>
                <w:sz w:val="17"/>
                <w:szCs w:val="17"/>
                <w:color w:val="auto"/>
              </w:rPr>
            </w:pPr>
          </w:p>
        </w:tc>
        <w:tc>
          <w:tcPr>
            <w:tcW w:w="960" w:type="dxa"/>
            <w:vAlign w:val="bottom"/>
          </w:tcPr>
          <w:p>
            <w:pPr>
              <w:jc w:val="right"/>
              <w:ind w:right="604"/>
              <w:spacing w:after="0"/>
              <w:rPr>
                <w:sz w:val="20"/>
                <w:szCs w:val="20"/>
                <w:color w:val="auto"/>
              </w:rPr>
            </w:pPr>
            <w:r>
              <w:rPr>
                <w:rFonts w:ascii="Arial" w:cs="Arial" w:eastAsia="Arial" w:hAnsi="Arial"/>
                <w:sz w:val="15"/>
                <w:szCs w:val="15"/>
                <w:color w:val="050A35"/>
              </w:rPr>
              <w:t>5</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100" w:type="dxa"/>
            <w:vAlign w:val="bottom"/>
            <w:gridSpan w:val="41"/>
          </w:tcPr>
          <w:p>
            <w:pPr>
              <w:spacing w:after="0"/>
              <w:rPr>
                <w:sz w:val="20"/>
                <w:szCs w:val="20"/>
                <w:color w:val="auto"/>
              </w:rPr>
            </w:pPr>
            <w:r>
              <w:rPr>
                <w:rFonts w:ascii="Arial" w:cs="Arial" w:eastAsia="Arial" w:hAnsi="Arial"/>
                <w:sz w:val="15"/>
                <w:szCs w:val="15"/>
                <w:color w:val="050A35"/>
              </w:rPr>
              <w:t>Corporate Governance</w:t>
            </w:r>
          </w:p>
        </w:tc>
        <w:tc>
          <w:tcPr>
            <w:tcW w:w="960" w:type="dxa"/>
            <w:vAlign w:val="bottom"/>
          </w:tcPr>
          <w:p>
            <w:pPr>
              <w:jc w:val="right"/>
              <w:ind w:right="604"/>
              <w:spacing w:after="0"/>
              <w:rPr>
                <w:sz w:val="20"/>
                <w:szCs w:val="20"/>
                <w:color w:val="auto"/>
              </w:rPr>
            </w:pPr>
            <w:r>
              <w:rPr>
                <w:rFonts w:ascii="Arial" w:cs="Arial" w:eastAsia="Arial" w:hAnsi="Arial"/>
                <w:sz w:val="15"/>
                <w:szCs w:val="15"/>
                <w:color w:val="050A35"/>
              </w:rPr>
              <w:t>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vMerge w:val="restart"/>
          </w:tcPr>
          <w:p>
            <w:pPr>
              <w:jc w:val="right"/>
              <w:ind w:right="604"/>
              <w:spacing w:after="0"/>
              <w:rPr>
                <w:sz w:val="20"/>
                <w:szCs w:val="20"/>
                <w:color w:val="auto"/>
              </w:rPr>
            </w:pPr>
            <w:r>
              <w:rPr>
                <w:rFonts w:ascii="Arial" w:cs="Arial" w:eastAsia="Arial" w:hAnsi="Arial"/>
                <w:sz w:val="15"/>
                <w:szCs w:val="15"/>
                <w:color w:val="050A35"/>
              </w:rPr>
              <w:t>8</w:t>
            </w: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Borders>
              <w:bottom w:val="single" w:sz="8" w:color="0000EE"/>
            </w:tcBorders>
            <w:gridSpan w:val="15"/>
          </w:tcPr>
          <w:p>
            <w:pPr>
              <w:ind w:left="20"/>
              <w:spacing w:after="0" w:line="156" w:lineRule="exact"/>
              <w:rPr>
                <w:sz w:val="20"/>
                <w:szCs w:val="20"/>
                <w:color w:val="auto"/>
              </w:rPr>
            </w:pPr>
            <w:r>
              <w:rPr>
                <w:rFonts w:ascii="Arial" w:cs="Arial" w:eastAsia="Arial" w:hAnsi="Arial"/>
                <w:sz w:val="15"/>
                <w:szCs w:val="15"/>
                <w:color w:val="050A35"/>
              </w:rPr>
              <w:t>Independent Directors</w:t>
            </w:r>
          </w:p>
        </w:tc>
        <w:tc>
          <w:tcPr>
            <w:tcW w:w="7260" w:type="dxa"/>
            <w:vAlign w:val="bottom"/>
            <w:gridSpan w:val="25"/>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780" w:type="dxa"/>
            <w:vAlign w:val="bottom"/>
            <w:gridSpan w:val="40"/>
          </w:tcPr>
          <w:p>
            <w:pPr>
              <w:ind w:left="20"/>
              <w:spacing w:after="0" w:line="156" w:lineRule="exact"/>
              <w:rPr>
                <w:sz w:val="20"/>
                <w:szCs w:val="20"/>
                <w:color w:val="auto"/>
              </w:rPr>
            </w:pPr>
            <w:r>
              <w:rPr>
                <w:rFonts w:ascii="Arial" w:cs="Arial" w:eastAsia="Arial" w:hAnsi="Arial"/>
                <w:sz w:val="15"/>
                <w:szCs w:val="15"/>
                <w:color w:val="050A35"/>
              </w:rPr>
              <w:t>Board Leadership Structure</w:t>
            </w: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8</w:t>
            </w: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tcBorders>
              <w:top w:val="single" w:sz="8" w:color="0000EE"/>
            </w:tcBorders>
            <w:gridSpan w:val="19"/>
          </w:tcPr>
          <w:p>
            <w:pPr>
              <w:ind w:left="20"/>
              <w:spacing w:after="0" w:line="156" w:lineRule="exact"/>
              <w:rPr>
                <w:sz w:val="20"/>
                <w:szCs w:val="20"/>
                <w:color w:val="auto"/>
              </w:rPr>
            </w:pPr>
            <w:r>
              <w:rPr>
                <w:rFonts w:ascii="Arial" w:cs="Arial" w:eastAsia="Arial" w:hAnsi="Arial"/>
                <w:sz w:val="15"/>
                <w:szCs w:val="15"/>
                <w:color w:val="050A35"/>
              </w:rPr>
              <w:t>Lead Independent Director</w:t>
            </w:r>
          </w:p>
        </w:tc>
        <w:tc>
          <w:tcPr>
            <w:tcW w:w="6900" w:type="dxa"/>
            <w:vAlign w:val="bottom"/>
            <w:gridSpan w:val="21"/>
          </w:tcPr>
          <w:p>
            <w:pPr>
              <w:spacing w:after="0" w:line="156" w:lineRule="exact"/>
              <w:rPr>
                <w:sz w:val="20"/>
                <w:szCs w:val="20"/>
                <w:color w:val="auto"/>
              </w:rPr>
            </w:pPr>
            <w:r>
              <w:rPr>
                <w:rFonts w:ascii="Arial" w:cs="Arial" w:eastAsia="Arial" w:hAnsi="Arial"/>
                <w:sz w:val="15"/>
                <w:szCs w:val="15"/>
                <w:color w:val="050A35"/>
              </w:rPr>
              <w:t>and Meetings of Non-Management and Independent Directors</w:t>
            </w: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8</w:t>
            </w: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60" w:type="dxa"/>
            <w:vAlign w:val="bottom"/>
            <w:tcBorders>
              <w:top w:val="single" w:sz="8" w:color="0000EE"/>
            </w:tcBorders>
            <w:gridSpan w:val="36"/>
          </w:tcPr>
          <w:p>
            <w:pPr>
              <w:ind w:left="20"/>
              <w:spacing w:after="0" w:line="156" w:lineRule="exact"/>
              <w:rPr>
                <w:sz w:val="20"/>
                <w:szCs w:val="20"/>
                <w:color w:val="auto"/>
              </w:rPr>
            </w:pPr>
            <w:r>
              <w:rPr>
                <w:rFonts w:ascii="Arial" w:cs="Arial" w:eastAsia="Arial" w:hAnsi="Arial"/>
                <w:sz w:val="15"/>
                <w:szCs w:val="15"/>
                <w:color w:val="050A35"/>
              </w:rPr>
              <w:t>Board Qualifications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8</w:t>
            </w: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Borders>
              <w:top w:val="single" w:sz="8" w:color="0000EE"/>
              <w:bottom w:val="single" w:sz="8" w:color="0000EE"/>
            </w:tcBorders>
            <w:gridSpan w:val="13"/>
          </w:tcPr>
          <w:p>
            <w:pPr>
              <w:ind w:left="20"/>
              <w:spacing w:after="0" w:line="156" w:lineRule="exact"/>
              <w:rPr>
                <w:sz w:val="20"/>
                <w:szCs w:val="20"/>
                <w:color w:val="auto"/>
              </w:rPr>
            </w:pPr>
            <w:r>
              <w:rPr>
                <w:rFonts w:ascii="Arial" w:cs="Arial" w:eastAsia="Arial" w:hAnsi="Arial"/>
                <w:sz w:val="15"/>
                <w:szCs w:val="15"/>
                <w:color w:val="050A35"/>
                <w:w w:val="95"/>
              </w:rPr>
              <w:t>Board Risk Oversight</w:t>
            </w:r>
          </w:p>
        </w:tc>
        <w:tc>
          <w:tcPr>
            <w:tcW w:w="60" w:type="dxa"/>
            <w:vAlign w:val="bottom"/>
            <w:tcBorders>
              <w:bottom w:val="single" w:sz="8" w:color="0000EE"/>
            </w:tcBorders>
          </w:tcPr>
          <w:p>
            <w:pPr>
              <w:spacing w:after="0"/>
              <w:rPr>
                <w:sz w:val="13"/>
                <w:szCs w:val="13"/>
                <w:color w:val="auto"/>
              </w:rPr>
            </w:pPr>
          </w:p>
        </w:tc>
        <w:tc>
          <w:tcPr>
            <w:tcW w:w="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9</w:t>
            </w: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780" w:type="dxa"/>
            <w:vAlign w:val="bottom"/>
            <w:gridSpan w:val="40"/>
          </w:tcPr>
          <w:p>
            <w:pPr>
              <w:ind w:left="20"/>
              <w:spacing w:after="0" w:line="156" w:lineRule="exact"/>
              <w:rPr>
                <w:sz w:val="20"/>
                <w:szCs w:val="20"/>
                <w:color w:val="auto"/>
              </w:rPr>
            </w:pPr>
            <w:r>
              <w:rPr>
                <w:rFonts w:ascii="Arial" w:cs="Arial" w:eastAsia="Arial" w:hAnsi="Arial"/>
                <w:sz w:val="15"/>
                <w:szCs w:val="15"/>
                <w:color w:val="050A35"/>
              </w:rPr>
              <w:t>Procedures for Recommending Individuals to Serve as Directors</w:t>
            </w: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9</w:t>
            </w: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Borders>
              <w:top w:val="single" w:sz="8" w:color="0000EE"/>
              <w:bottom w:val="single" w:sz="8" w:color="0000EE"/>
            </w:tcBorders>
            <w:gridSpan w:val="10"/>
          </w:tcPr>
          <w:p>
            <w:pPr>
              <w:ind w:left="20"/>
              <w:spacing w:after="0" w:line="156" w:lineRule="exact"/>
              <w:rPr>
                <w:sz w:val="20"/>
                <w:szCs w:val="20"/>
                <w:color w:val="auto"/>
              </w:rPr>
            </w:pPr>
            <w:r>
              <w:rPr>
                <w:rFonts w:ascii="Arial" w:cs="Arial" w:eastAsia="Arial" w:hAnsi="Arial"/>
                <w:sz w:val="15"/>
                <w:szCs w:val="15"/>
                <w:color w:val="050A35"/>
                <w:w w:val="99"/>
              </w:rPr>
              <w:t>Board Committees</w:t>
            </w:r>
          </w:p>
        </w:tc>
        <w:tc>
          <w:tcPr>
            <w:tcW w:w="3080" w:type="dxa"/>
            <w:vAlign w:val="bottom"/>
            <w:tcBorders>
              <w:top w:val="single" w:sz="8" w:color="0000EE"/>
            </w:tcBorders>
            <w:gridSpan w:val="24"/>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10</w:t>
            </w: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780" w:type="dxa"/>
            <w:vAlign w:val="bottom"/>
            <w:gridSpan w:val="40"/>
          </w:tcPr>
          <w:p>
            <w:pPr>
              <w:ind w:left="20"/>
              <w:spacing w:after="0" w:line="156" w:lineRule="exact"/>
              <w:rPr>
                <w:sz w:val="20"/>
                <w:szCs w:val="20"/>
                <w:color w:val="auto"/>
              </w:rPr>
            </w:pPr>
            <w:r>
              <w:rPr>
                <w:rFonts w:ascii="Arial" w:cs="Arial" w:eastAsia="Arial" w:hAnsi="Arial"/>
                <w:sz w:val="15"/>
                <w:szCs w:val="15"/>
                <w:color w:val="050A35"/>
              </w:rPr>
              <w:t>Compensation Committee Interlocks and Insider Participation</w:t>
            </w: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11</w:t>
            </w: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160" w:type="dxa"/>
            <w:vAlign w:val="bottom"/>
            <w:tcBorders>
              <w:top w:val="single" w:sz="8" w:color="0000EE"/>
            </w:tcBorders>
            <w:gridSpan w:val="33"/>
          </w:tcPr>
          <w:p>
            <w:pPr>
              <w:ind w:left="20"/>
              <w:spacing w:after="0" w:line="156" w:lineRule="exact"/>
              <w:rPr>
                <w:sz w:val="20"/>
                <w:szCs w:val="20"/>
                <w:color w:val="auto"/>
              </w:rPr>
            </w:pPr>
            <w:r>
              <w:rPr>
                <w:rFonts w:ascii="Arial" w:cs="Arial" w:eastAsia="Arial" w:hAnsi="Arial"/>
                <w:sz w:val="15"/>
                <w:szCs w:val="15"/>
                <w:color w:val="050A35"/>
              </w:rPr>
              <w:t>Meetings and Attendance</w:t>
            </w:r>
          </w:p>
        </w:tc>
        <w:tc>
          <w:tcPr>
            <w:tcW w:w="540" w:type="dxa"/>
            <w:vAlign w:val="bottom"/>
            <w:gridSpan w:val="2"/>
          </w:tcPr>
          <w:p>
            <w:pPr>
              <w:spacing w:after="0"/>
              <w:rPr>
                <w:sz w:val="13"/>
                <w:szCs w:val="13"/>
                <w:color w:val="auto"/>
              </w:rPr>
            </w:pPr>
          </w:p>
        </w:tc>
        <w:tc>
          <w:tcPr>
            <w:tcW w:w="17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11</w:t>
            </w: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tcBorders>
              <w:top w:val="single" w:sz="8" w:color="0000EE"/>
            </w:tcBorders>
            <w:gridSpan w:val="18"/>
          </w:tcPr>
          <w:p>
            <w:pPr>
              <w:ind w:left="20"/>
              <w:spacing w:after="0" w:line="156" w:lineRule="exact"/>
              <w:rPr>
                <w:sz w:val="20"/>
                <w:szCs w:val="20"/>
                <w:color w:val="auto"/>
              </w:rPr>
            </w:pPr>
            <w:r>
              <w:rPr>
                <w:rFonts w:ascii="Arial" w:cs="Arial" w:eastAsia="Arial" w:hAnsi="Arial"/>
                <w:sz w:val="15"/>
                <w:szCs w:val="15"/>
                <w:color w:val="050A35"/>
              </w:rPr>
              <w:t>Corporate Governance</w:t>
            </w:r>
          </w:p>
        </w:tc>
        <w:tc>
          <w:tcPr>
            <w:tcW w:w="7040" w:type="dxa"/>
            <w:vAlign w:val="bottom"/>
            <w:gridSpan w:val="22"/>
          </w:tcPr>
          <w:p>
            <w:pPr>
              <w:spacing w:after="0" w:line="156" w:lineRule="exact"/>
              <w:rPr>
                <w:sz w:val="20"/>
                <w:szCs w:val="20"/>
                <w:color w:val="auto"/>
              </w:rPr>
            </w:pPr>
            <w:r>
              <w:rPr>
                <w:rFonts w:ascii="Arial" w:cs="Arial" w:eastAsia="Arial" w:hAnsi="Arial"/>
                <w:sz w:val="15"/>
                <w:szCs w:val="15"/>
                <w:color w:val="050A35"/>
              </w:rPr>
              <w:t>Guidelines</w:t>
            </w: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11</w:t>
            </w: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40" w:type="dxa"/>
            <w:vAlign w:val="bottom"/>
            <w:tcBorders>
              <w:top w:val="single" w:sz="8" w:color="0000EE"/>
            </w:tcBorders>
            <w:gridSpan w:val="25"/>
          </w:tcPr>
          <w:p>
            <w:pPr>
              <w:ind w:left="20"/>
              <w:spacing w:after="0" w:line="156" w:lineRule="exact"/>
              <w:rPr>
                <w:sz w:val="20"/>
                <w:szCs w:val="20"/>
                <w:color w:val="auto"/>
              </w:rPr>
            </w:pPr>
            <w:r>
              <w:rPr>
                <w:rFonts w:ascii="Arial" w:cs="Arial" w:eastAsia="Arial" w:hAnsi="Arial"/>
                <w:sz w:val="15"/>
                <w:szCs w:val="15"/>
                <w:color w:val="050A35"/>
              </w:rPr>
              <w:t>Code of Ethics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3"/>
          </w:tcPr>
          <w:p>
            <w:pPr>
              <w:spacing w:after="0"/>
              <w:rPr>
                <w:sz w:val="13"/>
                <w:szCs w:val="13"/>
                <w:color w:val="auto"/>
              </w:rPr>
            </w:pPr>
          </w:p>
        </w:tc>
        <w:tc>
          <w:tcPr>
            <w:tcW w:w="17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11</w:t>
            </w: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Borders>
              <w:top w:val="single" w:sz="8" w:color="0000EE"/>
            </w:tcBorders>
            <w:gridSpan w:val="6"/>
          </w:tcPr>
          <w:p>
            <w:pPr>
              <w:ind w:left="20"/>
              <w:spacing w:after="0" w:line="156" w:lineRule="exact"/>
              <w:rPr>
                <w:sz w:val="20"/>
                <w:szCs w:val="20"/>
                <w:color w:val="auto"/>
              </w:rPr>
            </w:pPr>
            <w:r>
              <w:rPr>
                <w:rFonts w:ascii="Arial" w:cs="Arial" w:eastAsia="Arial" w:hAnsi="Arial"/>
                <w:sz w:val="15"/>
                <w:szCs w:val="15"/>
                <w:color w:val="050A35"/>
                <w:w w:val="95"/>
              </w:rPr>
              <w:t>Insider Trading</w:t>
            </w:r>
          </w:p>
        </w:tc>
        <w:tc>
          <w:tcPr>
            <w:tcW w:w="7780" w:type="dxa"/>
            <w:vAlign w:val="bottom"/>
            <w:gridSpan w:val="34"/>
          </w:tcPr>
          <w:p>
            <w:pPr>
              <w:ind w:left="80"/>
              <w:spacing w:after="0" w:line="156" w:lineRule="exact"/>
              <w:rPr>
                <w:sz w:val="20"/>
                <w:szCs w:val="20"/>
                <w:color w:val="auto"/>
              </w:rPr>
            </w:pPr>
            <w:r>
              <w:rPr>
                <w:rFonts w:ascii="Arial" w:cs="Arial" w:eastAsia="Arial" w:hAnsi="Arial"/>
                <w:sz w:val="15"/>
                <w:szCs w:val="15"/>
                <w:color w:val="050A35"/>
              </w:rPr>
              <w:t>Policy and Prohibitions and Restrictions on Hedging and Pledging Transactions</w:t>
            </w: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12</w:t>
            </w: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40" w:type="dxa"/>
            <w:vAlign w:val="bottom"/>
            <w:tcBorders>
              <w:top w:val="single" w:sz="8" w:color="0000EE"/>
            </w:tcBorders>
            <w:gridSpan w:val="37"/>
          </w:tcPr>
          <w:p>
            <w:pPr>
              <w:ind w:left="20"/>
              <w:spacing w:after="0" w:line="156" w:lineRule="exact"/>
              <w:rPr>
                <w:sz w:val="20"/>
                <w:szCs w:val="20"/>
                <w:color w:val="auto"/>
              </w:rPr>
            </w:pPr>
            <w:r>
              <w:rPr>
                <w:rFonts w:ascii="Arial" w:cs="Arial" w:eastAsia="Arial" w:hAnsi="Arial"/>
                <w:sz w:val="15"/>
                <w:szCs w:val="15"/>
                <w:color w:val="050A35"/>
              </w:rPr>
              <w:t>Clawback Policy</w:t>
            </w: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12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vMerge w:val="restart"/>
          </w:tcPr>
          <w:p>
            <w:pPr>
              <w:jc w:val="right"/>
              <w:ind w:right="604"/>
              <w:spacing w:after="0"/>
              <w:rPr>
                <w:sz w:val="20"/>
                <w:szCs w:val="20"/>
                <w:color w:val="auto"/>
              </w:rPr>
            </w:pPr>
            <w:r>
              <w:rPr>
                <w:rFonts w:ascii="Arial" w:cs="Arial" w:eastAsia="Arial" w:hAnsi="Arial"/>
                <w:sz w:val="15"/>
                <w:szCs w:val="15"/>
                <w:color w:val="050A35"/>
              </w:rPr>
              <w:t>12</w:t>
            </w:r>
          </w:p>
        </w:tc>
        <w:tc>
          <w:tcPr>
            <w:tcW w:w="0" w:type="dxa"/>
            <w:vAlign w:val="bottom"/>
          </w:tcPr>
          <w:p>
            <w:pPr>
              <w:spacing w:after="0" w:line="20" w:lineRule="exact"/>
              <w:rPr>
                <w:sz w:val="1"/>
                <w:szCs w:val="1"/>
                <w:color w:val="auto"/>
              </w:rPr>
            </w:pPr>
          </w:p>
        </w:tc>
      </w:tr>
      <w:tr>
        <w:trPr>
          <w:trHeight w:val="155"/>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780" w:type="dxa"/>
            <w:vAlign w:val="bottom"/>
            <w:gridSpan w:val="40"/>
          </w:tcPr>
          <w:p>
            <w:pPr>
              <w:ind w:left="20"/>
              <w:spacing w:after="0" w:line="156" w:lineRule="exact"/>
              <w:rPr>
                <w:sz w:val="20"/>
                <w:szCs w:val="20"/>
                <w:color w:val="auto"/>
              </w:rPr>
            </w:pPr>
            <w:r>
              <w:rPr>
                <w:rFonts w:ascii="Arial" w:cs="Arial" w:eastAsia="Arial" w:hAnsi="Arial"/>
                <w:sz w:val="15"/>
                <w:szCs w:val="15"/>
                <w:color w:val="050A35"/>
              </w:rPr>
              <w:t>Delinquent Section 16(a) Reports</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80" w:type="dxa"/>
            <w:vAlign w:val="bottom"/>
            <w:tcBorders>
              <w:top w:val="single" w:sz="8" w:color="0000EE"/>
              <w:bottom w:val="single" w:sz="8" w:color="0000EE"/>
            </w:tcBorders>
            <w:gridSpan w:val="22"/>
          </w:tcPr>
          <w:p>
            <w:pPr>
              <w:ind w:left="20"/>
              <w:spacing w:after="0" w:line="156" w:lineRule="exact"/>
              <w:rPr>
                <w:sz w:val="20"/>
                <w:szCs w:val="20"/>
                <w:color w:val="auto"/>
              </w:rPr>
            </w:pPr>
            <w:r>
              <w:rPr>
                <w:rFonts w:ascii="Arial" w:cs="Arial" w:eastAsia="Arial" w:hAnsi="Arial"/>
                <w:sz w:val="15"/>
                <w:szCs w:val="15"/>
                <w:color w:val="050A35"/>
                <w:w w:val="94"/>
              </w:rPr>
              <w:t>Equity Grant Policy and Procedures</w:t>
            </w: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80" w:type="dxa"/>
            <w:vAlign w:val="bottom"/>
            <w:tcBorders>
              <w:bottom w:val="single" w:sz="8" w:color="0000EE"/>
            </w:tcBorders>
            <w:gridSpan w:val="2"/>
          </w:tcPr>
          <w:p>
            <w:pPr>
              <w:spacing w:after="0"/>
              <w:rPr>
                <w:sz w:val="13"/>
                <w:szCs w:val="13"/>
                <w:color w:val="auto"/>
              </w:rPr>
            </w:pPr>
          </w:p>
        </w:tc>
        <w:tc>
          <w:tcPr>
            <w:tcW w:w="40" w:type="dxa"/>
            <w:vAlign w:val="bottom"/>
            <w:tcBorders>
              <w:bottom w:val="single" w:sz="8" w:color="0000EE"/>
            </w:tcBorders>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3"/>
          </w:tcPr>
          <w:p>
            <w:pPr>
              <w:spacing w:after="0"/>
              <w:rPr>
                <w:sz w:val="13"/>
                <w:szCs w:val="13"/>
                <w:color w:val="auto"/>
              </w:rPr>
            </w:pPr>
          </w:p>
        </w:tc>
        <w:tc>
          <w:tcPr>
            <w:tcW w:w="1860" w:type="dxa"/>
            <w:vAlign w:val="bottom"/>
            <w:gridSpan w:val="3"/>
          </w:tcPr>
          <w:p>
            <w:pPr>
              <w:spacing w:after="0"/>
              <w:rPr>
                <w:sz w:val="13"/>
                <w:szCs w:val="13"/>
                <w:color w:val="auto"/>
              </w:rPr>
            </w:pPr>
          </w:p>
        </w:tc>
        <w:tc>
          <w:tcPr>
            <w:tcW w:w="1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12</w:t>
            </w: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40" w:type="dxa"/>
            <w:vAlign w:val="bottom"/>
            <w:tcBorders>
              <w:bottom w:val="single" w:sz="8" w:color="0000EE"/>
            </w:tcBorders>
            <w:gridSpan w:val="27"/>
          </w:tcPr>
          <w:p>
            <w:pPr>
              <w:ind w:left="20"/>
              <w:spacing w:after="0" w:line="156" w:lineRule="exact"/>
              <w:rPr>
                <w:sz w:val="20"/>
                <w:szCs w:val="20"/>
                <w:color w:val="auto"/>
              </w:rPr>
            </w:pPr>
            <w:r>
              <w:rPr>
                <w:rFonts w:ascii="Arial" w:cs="Arial" w:eastAsia="Arial" w:hAnsi="Arial"/>
                <w:sz w:val="15"/>
                <w:szCs w:val="15"/>
                <w:color w:val="050A35"/>
              </w:rPr>
              <w:t>Communications with the Board of</w:t>
            </w:r>
          </w:p>
        </w:tc>
        <w:tc>
          <w:tcPr>
            <w:tcW w:w="560" w:type="dxa"/>
            <w:vAlign w:val="bottom"/>
            <w:tcBorders>
              <w:bottom w:val="single" w:sz="8" w:color="0000EE"/>
            </w:tcBorders>
          </w:tcPr>
          <w:p>
            <w:pPr>
              <w:spacing w:after="0" w:line="156" w:lineRule="exact"/>
              <w:rPr>
                <w:sz w:val="20"/>
                <w:szCs w:val="20"/>
                <w:color w:val="auto"/>
              </w:rPr>
            </w:pPr>
            <w:r>
              <w:rPr>
                <w:rFonts w:ascii="Arial" w:cs="Arial" w:eastAsia="Arial" w:hAnsi="Arial"/>
                <w:sz w:val="15"/>
                <w:szCs w:val="15"/>
                <w:color w:val="050A35"/>
                <w:w w:val="89"/>
              </w:rPr>
              <w:t>Directors</w:t>
            </w:r>
          </w:p>
        </w:tc>
        <w:tc>
          <w:tcPr>
            <w:tcW w:w="5780" w:type="dxa"/>
            <w:vAlign w:val="bottom"/>
            <w:gridSpan w:val="12"/>
          </w:tcPr>
          <w:p>
            <w:pPr>
              <w:spacing w:after="0"/>
              <w:rPr>
                <w:sz w:val="13"/>
                <w:szCs w:val="13"/>
                <w:color w:val="auto"/>
              </w:rPr>
            </w:pP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12</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240" w:type="dxa"/>
            <w:vAlign w:val="bottom"/>
            <w:tcBorders>
              <w:bottom w:val="single" w:sz="8" w:color="0000EE"/>
            </w:tcBorders>
            <w:gridSpan w:val="5"/>
          </w:tcPr>
          <w:p>
            <w:pPr>
              <w:spacing w:after="0"/>
              <w:rPr>
                <w:sz w:val="20"/>
                <w:szCs w:val="20"/>
                <w:color w:val="auto"/>
              </w:rPr>
            </w:pPr>
            <w:r>
              <w:rPr>
                <w:rFonts w:ascii="Arial" w:cs="Arial" w:eastAsia="Arial" w:hAnsi="Arial"/>
                <w:sz w:val="15"/>
                <w:szCs w:val="15"/>
                <w:color w:val="050A35"/>
              </w:rPr>
              <w:t>Executive Officers</w:t>
            </w:r>
          </w:p>
        </w:tc>
        <w:tc>
          <w:tcPr>
            <w:tcW w:w="7860" w:type="dxa"/>
            <w:vAlign w:val="bottom"/>
            <w:gridSpan w:val="36"/>
          </w:tcPr>
          <w:p>
            <w:pPr>
              <w:spacing w:after="0"/>
              <w:rPr>
                <w:sz w:val="17"/>
                <w:szCs w:val="17"/>
                <w:color w:val="auto"/>
              </w:rPr>
            </w:pPr>
          </w:p>
        </w:tc>
        <w:tc>
          <w:tcPr>
            <w:tcW w:w="960" w:type="dxa"/>
            <w:vAlign w:val="bottom"/>
          </w:tcPr>
          <w:p>
            <w:pPr>
              <w:jc w:val="right"/>
              <w:ind w:right="604"/>
              <w:spacing w:after="0"/>
              <w:rPr>
                <w:sz w:val="20"/>
                <w:szCs w:val="20"/>
                <w:color w:val="auto"/>
              </w:rPr>
            </w:pPr>
            <w:r>
              <w:rPr>
                <w:rFonts w:ascii="Arial" w:cs="Arial" w:eastAsia="Arial" w:hAnsi="Arial"/>
                <w:sz w:val="15"/>
                <w:szCs w:val="15"/>
                <w:color w:val="050A35"/>
              </w:rPr>
              <w:t>13</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580" w:type="dxa"/>
            <w:vAlign w:val="bottom"/>
            <w:tcBorders>
              <w:bottom w:val="single" w:sz="8" w:color="0000EE"/>
            </w:tcBorders>
            <w:gridSpan w:val="10"/>
          </w:tcPr>
          <w:p>
            <w:pPr>
              <w:spacing w:after="0"/>
              <w:rPr>
                <w:sz w:val="20"/>
                <w:szCs w:val="20"/>
                <w:color w:val="auto"/>
              </w:rPr>
            </w:pPr>
            <w:r>
              <w:rPr>
                <w:rFonts w:ascii="Arial" w:cs="Arial" w:eastAsia="Arial" w:hAnsi="Arial"/>
                <w:sz w:val="15"/>
                <w:szCs w:val="15"/>
                <w:color w:val="050A35"/>
              </w:rPr>
              <w:t>Director Compensation</w:t>
            </w:r>
          </w:p>
        </w:tc>
        <w:tc>
          <w:tcPr>
            <w:tcW w:w="7520" w:type="dxa"/>
            <w:vAlign w:val="bottom"/>
            <w:gridSpan w:val="31"/>
          </w:tcPr>
          <w:p>
            <w:pPr>
              <w:spacing w:after="0"/>
              <w:rPr>
                <w:sz w:val="17"/>
                <w:szCs w:val="17"/>
                <w:color w:val="auto"/>
              </w:rPr>
            </w:pPr>
          </w:p>
        </w:tc>
        <w:tc>
          <w:tcPr>
            <w:tcW w:w="960" w:type="dxa"/>
            <w:vAlign w:val="bottom"/>
          </w:tcPr>
          <w:p>
            <w:pPr>
              <w:jc w:val="right"/>
              <w:ind w:right="604"/>
              <w:spacing w:after="0"/>
              <w:rPr>
                <w:sz w:val="20"/>
                <w:szCs w:val="20"/>
                <w:color w:val="auto"/>
              </w:rPr>
            </w:pPr>
            <w:r>
              <w:rPr>
                <w:rFonts w:ascii="Arial" w:cs="Arial" w:eastAsia="Arial" w:hAnsi="Arial"/>
                <w:sz w:val="15"/>
                <w:szCs w:val="15"/>
                <w:color w:val="050A35"/>
              </w:rPr>
              <w:t>14</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700" w:type="dxa"/>
            <w:vAlign w:val="bottom"/>
            <w:tcBorders>
              <w:bottom w:val="single" w:sz="8" w:color="0000EE"/>
            </w:tcBorders>
            <w:gridSpan w:val="13"/>
          </w:tcPr>
          <w:p>
            <w:pPr>
              <w:spacing w:after="0"/>
              <w:rPr>
                <w:sz w:val="20"/>
                <w:szCs w:val="20"/>
                <w:color w:val="auto"/>
              </w:rPr>
            </w:pPr>
            <w:r>
              <w:rPr>
                <w:rFonts w:ascii="Arial" w:cs="Arial" w:eastAsia="Arial" w:hAnsi="Arial"/>
                <w:sz w:val="15"/>
                <w:szCs w:val="15"/>
                <w:color w:val="050A35"/>
              </w:rPr>
              <w:t>Executive Compensation</w:t>
            </w:r>
          </w:p>
        </w:tc>
        <w:tc>
          <w:tcPr>
            <w:tcW w:w="7400" w:type="dxa"/>
            <w:vAlign w:val="bottom"/>
            <w:gridSpan w:val="28"/>
          </w:tcPr>
          <w:p>
            <w:pPr>
              <w:spacing w:after="0"/>
              <w:rPr>
                <w:sz w:val="17"/>
                <w:szCs w:val="17"/>
                <w:color w:val="auto"/>
              </w:rPr>
            </w:pPr>
          </w:p>
        </w:tc>
        <w:tc>
          <w:tcPr>
            <w:tcW w:w="960" w:type="dxa"/>
            <w:vAlign w:val="bottom"/>
          </w:tcPr>
          <w:p>
            <w:pPr>
              <w:jc w:val="right"/>
              <w:ind w:right="604"/>
              <w:spacing w:after="0"/>
              <w:rPr>
                <w:sz w:val="20"/>
                <w:szCs w:val="20"/>
                <w:color w:val="auto"/>
              </w:rPr>
            </w:pPr>
            <w:r>
              <w:rPr>
                <w:rFonts w:ascii="Arial" w:cs="Arial" w:eastAsia="Arial" w:hAnsi="Arial"/>
                <w:sz w:val="15"/>
                <w:szCs w:val="15"/>
                <w:color w:val="050A35"/>
              </w:rPr>
              <w:t>15</w:t>
            </w:r>
          </w:p>
        </w:tc>
        <w:tc>
          <w:tcPr>
            <w:tcW w:w="0" w:type="dxa"/>
            <w:vAlign w:val="bottom"/>
          </w:tcPr>
          <w:p>
            <w:pPr>
              <w:spacing w:after="0"/>
              <w:rPr>
                <w:sz w:val="1"/>
                <w:szCs w:val="1"/>
                <w:color w:val="auto"/>
              </w:rPr>
            </w:pPr>
          </w:p>
        </w:tc>
      </w:tr>
      <w:tr>
        <w:trPr>
          <w:trHeight w:val="165"/>
        </w:trPr>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780" w:type="dxa"/>
            <w:vAlign w:val="bottom"/>
            <w:gridSpan w:val="40"/>
          </w:tcPr>
          <w:p>
            <w:pPr>
              <w:ind w:left="20"/>
              <w:spacing w:after="0" w:line="165" w:lineRule="exact"/>
              <w:rPr>
                <w:sz w:val="20"/>
                <w:szCs w:val="20"/>
                <w:color w:val="auto"/>
              </w:rPr>
            </w:pPr>
            <w:r>
              <w:rPr>
                <w:rFonts w:ascii="Arial" w:cs="Arial" w:eastAsia="Arial" w:hAnsi="Arial"/>
                <w:sz w:val="15"/>
                <w:szCs w:val="15"/>
                <w:color w:val="050A35"/>
              </w:rPr>
              <w:t>Compensation Discussion and Analysis</w:t>
            </w:r>
          </w:p>
        </w:tc>
        <w:tc>
          <w:tcPr>
            <w:tcW w:w="960" w:type="dxa"/>
            <w:vAlign w:val="bottom"/>
          </w:tcPr>
          <w:p>
            <w:pPr>
              <w:jc w:val="right"/>
              <w:ind w:right="604"/>
              <w:spacing w:after="0" w:line="165" w:lineRule="exact"/>
              <w:rPr>
                <w:sz w:val="20"/>
                <w:szCs w:val="20"/>
                <w:color w:val="auto"/>
              </w:rPr>
            </w:pPr>
            <w:r>
              <w:rPr>
                <w:rFonts w:ascii="Arial" w:cs="Arial" w:eastAsia="Arial" w:hAnsi="Arial"/>
                <w:sz w:val="15"/>
                <w:szCs w:val="15"/>
                <w:color w:val="050A35"/>
              </w:rPr>
              <w:t>15</w:t>
            </w:r>
          </w:p>
        </w:tc>
        <w:tc>
          <w:tcPr>
            <w:tcW w:w="0" w:type="dxa"/>
            <w:vAlign w:val="bottom"/>
          </w:tcPr>
          <w:p>
            <w:pPr>
              <w:spacing w:after="0"/>
              <w:rPr>
                <w:sz w:val="1"/>
                <w:szCs w:val="1"/>
                <w:color w:val="auto"/>
              </w:rPr>
            </w:pPr>
          </w:p>
        </w:tc>
      </w:tr>
      <w:tr>
        <w:trPr>
          <w:trHeight w:val="166"/>
        </w:trPr>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780" w:type="dxa"/>
            <w:vAlign w:val="bottom"/>
            <w:gridSpan w:val="40"/>
          </w:tcPr>
          <w:p>
            <w:pPr>
              <w:ind w:left="20"/>
              <w:spacing w:after="0" w:line="166" w:lineRule="exact"/>
              <w:rPr>
                <w:sz w:val="20"/>
                <w:szCs w:val="20"/>
                <w:color w:val="auto"/>
              </w:rPr>
            </w:pPr>
            <w:r>
              <w:rPr>
                <w:rFonts w:ascii="Arial" w:cs="Arial" w:eastAsia="Arial" w:hAnsi="Arial"/>
                <w:sz w:val="15"/>
                <w:szCs w:val="15"/>
                <w:color w:val="050A35"/>
              </w:rPr>
              <w:t>Compensation Committee Report</w:t>
            </w:r>
          </w:p>
        </w:tc>
        <w:tc>
          <w:tcPr>
            <w:tcW w:w="960" w:type="dxa"/>
            <w:vAlign w:val="bottom"/>
          </w:tcPr>
          <w:p>
            <w:pPr>
              <w:jc w:val="right"/>
              <w:ind w:right="604"/>
              <w:spacing w:after="0" w:line="166" w:lineRule="exact"/>
              <w:rPr>
                <w:sz w:val="20"/>
                <w:szCs w:val="20"/>
                <w:color w:val="auto"/>
              </w:rPr>
            </w:pPr>
            <w:r>
              <w:rPr>
                <w:rFonts w:ascii="Arial" w:cs="Arial" w:eastAsia="Arial" w:hAnsi="Arial"/>
                <w:sz w:val="15"/>
                <w:szCs w:val="15"/>
                <w:color w:val="050A35"/>
              </w:rPr>
              <w:t>19</w:t>
            </w: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00" w:type="dxa"/>
            <w:vAlign w:val="bottom"/>
            <w:tcBorders>
              <w:top w:val="single" w:sz="8" w:color="0000EE"/>
            </w:tcBorders>
            <w:gridSpan w:val="23"/>
          </w:tcPr>
          <w:p>
            <w:pPr>
              <w:ind w:left="20"/>
              <w:spacing w:after="0" w:line="156" w:lineRule="exact"/>
              <w:rPr>
                <w:sz w:val="20"/>
                <w:szCs w:val="20"/>
                <w:color w:val="auto"/>
              </w:rPr>
            </w:pPr>
            <w:r>
              <w:rPr>
                <w:rFonts w:ascii="Arial" w:cs="Arial" w:eastAsia="Arial" w:hAnsi="Arial"/>
                <w:sz w:val="15"/>
                <w:szCs w:val="15"/>
                <w:color w:val="050A35"/>
              </w:rPr>
              <w:t>Summary Compensation Table</w:t>
            </w: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3"/>
          </w:tcPr>
          <w:p>
            <w:pPr>
              <w:spacing w:after="0"/>
              <w:rPr>
                <w:sz w:val="13"/>
                <w:szCs w:val="13"/>
                <w:color w:val="auto"/>
              </w:rPr>
            </w:pPr>
          </w:p>
        </w:tc>
        <w:tc>
          <w:tcPr>
            <w:tcW w:w="1860" w:type="dxa"/>
            <w:vAlign w:val="bottom"/>
            <w:gridSpan w:val="3"/>
          </w:tcPr>
          <w:p>
            <w:pPr>
              <w:spacing w:after="0"/>
              <w:rPr>
                <w:sz w:val="13"/>
                <w:szCs w:val="13"/>
                <w:color w:val="auto"/>
              </w:rPr>
            </w:pPr>
          </w:p>
        </w:tc>
        <w:tc>
          <w:tcPr>
            <w:tcW w:w="1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20</w:t>
            </w: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20" w:type="dxa"/>
            <w:vAlign w:val="bottom"/>
            <w:tcBorders>
              <w:top w:val="single" w:sz="8" w:color="0000EE"/>
            </w:tcBorders>
            <w:gridSpan w:val="21"/>
          </w:tcPr>
          <w:p>
            <w:pPr>
              <w:ind w:left="20"/>
              <w:spacing w:after="0" w:line="156" w:lineRule="exact"/>
              <w:rPr>
                <w:sz w:val="20"/>
                <w:szCs w:val="20"/>
                <w:color w:val="auto"/>
              </w:rPr>
            </w:pPr>
            <w:r>
              <w:rPr>
                <w:rFonts w:ascii="Arial" w:cs="Arial" w:eastAsia="Arial" w:hAnsi="Arial"/>
                <w:sz w:val="15"/>
                <w:szCs w:val="15"/>
                <w:color w:val="050A35"/>
              </w:rPr>
              <w:t>Grants of Plan-Based Awards</w:t>
            </w:r>
          </w:p>
        </w:tc>
        <w:tc>
          <w:tcPr>
            <w:tcW w:w="20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10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3"/>
          </w:tcPr>
          <w:p>
            <w:pPr>
              <w:spacing w:after="0"/>
              <w:rPr>
                <w:sz w:val="13"/>
                <w:szCs w:val="13"/>
                <w:color w:val="auto"/>
              </w:rPr>
            </w:pPr>
          </w:p>
        </w:tc>
        <w:tc>
          <w:tcPr>
            <w:tcW w:w="1860" w:type="dxa"/>
            <w:vAlign w:val="bottom"/>
            <w:gridSpan w:val="3"/>
          </w:tcPr>
          <w:p>
            <w:pPr>
              <w:spacing w:after="0"/>
              <w:rPr>
                <w:sz w:val="13"/>
                <w:szCs w:val="13"/>
                <w:color w:val="auto"/>
              </w:rPr>
            </w:pPr>
          </w:p>
        </w:tc>
        <w:tc>
          <w:tcPr>
            <w:tcW w:w="1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21</w:t>
            </w: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20" w:type="dxa"/>
            <w:vAlign w:val="bottom"/>
            <w:tcBorders>
              <w:top w:val="single" w:sz="8" w:color="0000EE"/>
            </w:tcBorders>
            <w:gridSpan w:val="20"/>
          </w:tcPr>
          <w:p>
            <w:pPr>
              <w:ind w:left="20"/>
              <w:spacing w:after="0" w:line="156" w:lineRule="exact"/>
              <w:rPr>
                <w:sz w:val="20"/>
                <w:szCs w:val="20"/>
                <w:color w:val="auto"/>
              </w:rPr>
            </w:pPr>
            <w:r>
              <w:rPr>
                <w:rFonts w:ascii="Arial" w:cs="Arial" w:eastAsia="Arial" w:hAnsi="Arial"/>
                <w:sz w:val="15"/>
                <w:szCs w:val="15"/>
                <w:color w:val="050A35"/>
              </w:rPr>
              <w:t>Outstanding Equity Awards at</w:t>
            </w:r>
          </w:p>
        </w:tc>
        <w:tc>
          <w:tcPr>
            <w:tcW w:w="6760" w:type="dxa"/>
            <w:vAlign w:val="bottom"/>
            <w:gridSpan w:val="20"/>
          </w:tcPr>
          <w:p>
            <w:pPr>
              <w:ind w:left="40"/>
              <w:spacing w:after="0" w:line="156" w:lineRule="exact"/>
              <w:rPr>
                <w:sz w:val="20"/>
                <w:szCs w:val="20"/>
                <w:color w:val="auto"/>
              </w:rPr>
            </w:pPr>
            <w:r>
              <w:rPr>
                <w:rFonts w:ascii="Arial" w:cs="Arial" w:eastAsia="Arial" w:hAnsi="Arial"/>
                <w:sz w:val="15"/>
                <w:szCs w:val="15"/>
                <w:color w:val="050A35"/>
              </w:rPr>
              <w:t>December 31, 2025</w:t>
            </w: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22</w:t>
            </w: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20" w:type="dxa"/>
            <w:vAlign w:val="bottom"/>
            <w:tcBorders>
              <w:top w:val="single" w:sz="8" w:color="0000EE"/>
            </w:tcBorders>
            <w:gridSpan w:val="29"/>
          </w:tcPr>
          <w:p>
            <w:pPr>
              <w:ind w:left="20"/>
              <w:spacing w:after="0" w:line="156" w:lineRule="exact"/>
              <w:rPr>
                <w:sz w:val="20"/>
                <w:szCs w:val="20"/>
                <w:color w:val="auto"/>
              </w:rPr>
            </w:pPr>
            <w:r>
              <w:rPr>
                <w:rFonts w:ascii="Arial" w:cs="Arial" w:eastAsia="Arial" w:hAnsi="Arial"/>
                <w:sz w:val="15"/>
                <w:szCs w:val="15"/>
                <w:color w:val="050A35"/>
              </w:rPr>
              <w:t>Option Exercises and Stock Vested</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3"/>
          </w:tcPr>
          <w:p>
            <w:pPr>
              <w:spacing w:after="0"/>
              <w:rPr>
                <w:sz w:val="13"/>
                <w:szCs w:val="13"/>
                <w:color w:val="auto"/>
              </w:rPr>
            </w:pPr>
          </w:p>
        </w:tc>
        <w:tc>
          <w:tcPr>
            <w:tcW w:w="1860" w:type="dxa"/>
            <w:vAlign w:val="bottom"/>
            <w:gridSpan w:val="3"/>
          </w:tcPr>
          <w:p>
            <w:pPr>
              <w:spacing w:after="0"/>
              <w:rPr>
                <w:sz w:val="13"/>
                <w:szCs w:val="13"/>
                <w:color w:val="auto"/>
              </w:rPr>
            </w:pPr>
          </w:p>
        </w:tc>
        <w:tc>
          <w:tcPr>
            <w:tcW w:w="1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22</w:t>
            </w: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0" w:type="dxa"/>
            <w:vAlign w:val="bottom"/>
            <w:tcBorders>
              <w:top w:val="single" w:sz="8" w:color="0000EE"/>
            </w:tcBorders>
            <w:gridSpan w:val="26"/>
          </w:tcPr>
          <w:p>
            <w:pPr>
              <w:ind w:left="20"/>
              <w:spacing w:after="0" w:line="156" w:lineRule="exact"/>
              <w:rPr>
                <w:sz w:val="20"/>
                <w:szCs w:val="20"/>
                <w:color w:val="auto"/>
              </w:rPr>
            </w:pPr>
            <w:r>
              <w:rPr>
                <w:rFonts w:ascii="Arial" w:cs="Arial" w:eastAsia="Arial" w:hAnsi="Arial"/>
                <w:sz w:val="15"/>
                <w:szCs w:val="15"/>
                <w:color w:val="050A35"/>
                <w:w w:val="93"/>
              </w:rPr>
              <w:t>Potential Payments Upon Termination</w:t>
            </w:r>
          </w:p>
        </w:tc>
        <w:tc>
          <w:tcPr>
            <w:tcW w:w="6380" w:type="dxa"/>
            <w:vAlign w:val="bottom"/>
            <w:gridSpan w:val="14"/>
          </w:tcPr>
          <w:p>
            <w:pPr>
              <w:ind w:left="220"/>
              <w:spacing w:after="0" w:line="156" w:lineRule="exact"/>
              <w:rPr>
                <w:sz w:val="20"/>
                <w:szCs w:val="20"/>
                <w:color w:val="auto"/>
              </w:rPr>
            </w:pPr>
            <w:r>
              <w:rPr>
                <w:rFonts w:ascii="Arial" w:cs="Arial" w:eastAsia="Arial" w:hAnsi="Arial"/>
                <w:sz w:val="15"/>
                <w:szCs w:val="15"/>
                <w:color w:val="050A35"/>
              </w:rPr>
              <w:t>or Change in Control</w:t>
            </w: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23</w:t>
            </w: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Borders>
              <w:top w:val="single" w:sz="8" w:color="0000EE"/>
              <w:bottom w:val="single" w:sz="8" w:color="0000EE"/>
            </w:tcBorders>
            <w:gridSpan w:val="17"/>
          </w:tcPr>
          <w:p>
            <w:pPr>
              <w:ind w:left="20"/>
              <w:spacing w:after="0" w:line="156" w:lineRule="exact"/>
              <w:rPr>
                <w:sz w:val="20"/>
                <w:szCs w:val="20"/>
                <w:color w:val="auto"/>
              </w:rPr>
            </w:pPr>
            <w:r>
              <w:rPr>
                <w:rFonts w:ascii="Arial" w:cs="Arial" w:eastAsia="Arial" w:hAnsi="Arial"/>
                <w:sz w:val="15"/>
                <w:szCs w:val="15"/>
                <w:color w:val="050A35"/>
              </w:rPr>
              <w:t>Pay Versus Performance</w:t>
            </w:r>
          </w:p>
        </w:tc>
        <w:tc>
          <w:tcPr>
            <w:tcW w:w="2340" w:type="dxa"/>
            <w:vAlign w:val="bottom"/>
            <w:tcBorders>
              <w:top w:val="single" w:sz="8" w:color="0000EE"/>
            </w:tcBorders>
            <w:gridSpan w:val="15"/>
          </w:tcPr>
          <w:p>
            <w:pPr>
              <w:spacing w:after="0"/>
              <w:rPr>
                <w:sz w:val="13"/>
                <w:szCs w:val="13"/>
                <w:color w:val="auto"/>
              </w:rPr>
            </w:pPr>
          </w:p>
        </w:tc>
        <w:tc>
          <w:tcPr>
            <w:tcW w:w="640" w:type="dxa"/>
            <w:vAlign w:val="bottom"/>
            <w:gridSpan w:val="3"/>
          </w:tcPr>
          <w:p>
            <w:pPr>
              <w:spacing w:after="0"/>
              <w:rPr>
                <w:sz w:val="13"/>
                <w:szCs w:val="13"/>
                <w:color w:val="auto"/>
              </w:rPr>
            </w:pPr>
          </w:p>
        </w:tc>
        <w:tc>
          <w:tcPr>
            <w:tcW w:w="1860" w:type="dxa"/>
            <w:vAlign w:val="bottom"/>
            <w:gridSpan w:val="3"/>
          </w:tcPr>
          <w:p>
            <w:pPr>
              <w:spacing w:after="0"/>
              <w:rPr>
                <w:sz w:val="13"/>
                <w:szCs w:val="13"/>
                <w:color w:val="auto"/>
              </w:rPr>
            </w:pPr>
          </w:p>
        </w:tc>
        <w:tc>
          <w:tcPr>
            <w:tcW w:w="1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25</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640" w:type="dxa"/>
            <w:vAlign w:val="bottom"/>
            <w:tcBorders>
              <w:bottom w:val="single" w:sz="8" w:color="0000EE"/>
            </w:tcBorders>
            <w:gridSpan w:val="25"/>
          </w:tcPr>
          <w:p>
            <w:pPr>
              <w:spacing w:after="0"/>
              <w:rPr>
                <w:sz w:val="20"/>
                <w:szCs w:val="20"/>
                <w:color w:val="auto"/>
              </w:rPr>
            </w:pPr>
            <w:r>
              <w:rPr>
                <w:rFonts w:ascii="Arial" w:cs="Arial" w:eastAsia="Arial" w:hAnsi="Arial"/>
                <w:sz w:val="15"/>
                <w:szCs w:val="15"/>
                <w:color w:val="050A35"/>
              </w:rPr>
              <w:t>Equity Compensation Plan Information</w:t>
            </w:r>
          </w:p>
        </w:tc>
        <w:tc>
          <w:tcPr>
            <w:tcW w:w="6460" w:type="dxa"/>
            <w:vAlign w:val="bottom"/>
            <w:gridSpan w:val="16"/>
          </w:tcPr>
          <w:p>
            <w:pPr>
              <w:spacing w:after="0"/>
              <w:rPr>
                <w:sz w:val="17"/>
                <w:szCs w:val="17"/>
                <w:color w:val="auto"/>
              </w:rPr>
            </w:pPr>
          </w:p>
        </w:tc>
        <w:tc>
          <w:tcPr>
            <w:tcW w:w="960" w:type="dxa"/>
            <w:vAlign w:val="bottom"/>
          </w:tcPr>
          <w:p>
            <w:pPr>
              <w:jc w:val="right"/>
              <w:ind w:right="604"/>
              <w:spacing w:after="0"/>
              <w:rPr>
                <w:sz w:val="20"/>
                <w:szCs w:val="20"/>
                <w:color w:val="auto"/>
              </w:rPr>
            </w:pPr>
            <w:r>
              <w:rPr>
                <w:rFonts w:ascii="Arial" w:cs="Arial" w:eastAsia="Arial" w:hAnsi="Arial"/>
                <w:sz w:val="15"/>
                <w:szCs w:val="15"/>
                <w:color w:val="050A35"/>
              </w:rPr>
              <w:t>28</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880" w:type="dxa"/>
            <w:vAlign w:val="bottom"/>
            <w:tcBorders>
              <w:bottom w:val="single" w:sz="8" w:color="0000EE"/>
            </w:tcBorders>
            <w:gridSpan w:val="39"/>
          </w:tcPr>
          <w:p>
            <w:pPr>
              <w:spacing w:after="0"/>
              <w:rPr>
                <w:sz w:val="20"/>
                <w:szCs w:val="20"/>
                <w:color w:val="auto"/>
              </w:rPr>
            </w:pPr>
            <w:r>
              <w:rPr>
                <w:rFonts w:ascii="Arial" w:cs="Arial" w:eastAsia="Arial" w:hAnsi="Arial"/>
                <w:sz w:val="15"/>
                <w:szCs w:val="15"/>
                <w:color w:val="050A35"/>
              </w:rPr>
              <w:t>Proposal 2: Advisory Vote to Approve the Compensation of the Company’s Named Executive Officers</w:t>
            </w:r>
          </w:p>
        </w:tc>
        <w:tc>
          <w:tcPr>
            <w:tcW w:w="2220" w:type="dxa"/>
            <w:vAlign w:val="bottom"/>
            <w:gridSpan w:val="2"/>
          </w:tcPr>
          <w:p>
            <w:pPr>
              <w:spacing w:after="0"/>
              <w:rPr>
                <w:sz w:val="17"/>
                <w:szCs w:val="17"/>
                <w:color w:val="auto"/>
              </w:rPr>
            </w:pPr>
          </w:p>
        </w:tc>
        <w:tc>
          <w:tcPr>
            <w:tcW w:w="960" w:type="dxa"/>
            <w:vAlign w:val="bottom"/>
          </w:tcPr>
          <w:p>
            <w:pPr>
              <w:jc w:val="right"/>
              <w:ind w:right="604"/>
              <w:spacing w:after="0"/>
              <w:rPr>
                <w:sz w:val="20"/>
                <w:szCs w:val="20"/>
                <w:color w:val="auto"/>
              </w:rPr>
            </w:pPr>
            <w:r>
              <w:rPr>
                <w:rFonts w:ascii="Arial" w:cs="Arial" w:eastAsia="Arial" w:hAnsi="Arial"/>
                <w:sz w:val="15"/>
                <w:szCs w:val="15"/>
                <w:color w:val="050A35"/>
              </w:rPr>
              <w:t>29</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100" w:type="dxa"/>
            <w:vAlign w:val="bottom"/>
            <w:gridSpan w:val="41"/>
          </w:tcPr>
          <w:p>
            <w:pPr>
              <w:spacing w:after="0"/>
              <w:rPr>
                <w:sz w:val="20"/>
                <w:szCs w:val="20"/>
                <w:color w:val="auto"/>
              </w:rPr>
            </w:pPr>
            <w:r>
              <w:rPr>
                <w:rFonts w:ascii="Arial" w:cs="Arial" w:eastAsia="Arial" w:hAnsi="Arial"/>
                <w:sz w:val="15"/>
                <w:szCs w:val="15"/>
                <w:color w:val="050A35"/>
              </w:rPr>
              <w:t>Proposal 3: Advisory Vote on the Frequency of Future Advisory Votes to Approve the Compensation of the Company’s Named</w:t>
            </w:r>
          </w:p>
        </w:tc>
        <w:tc>
          <w:tcPr>
            <w:tcW w:w="960" w:type="dxa"/>
            <w:vAlign w:val="bottom"/>
            <w:vMerge w:val="restart"/>
          </w:tcPr>
          <w:p>
            <w:pPr>
              <w:jc w:val="right"/>
              <w:ind w:right="604"/>
              <w:spacing w:after="0"/>
              <w:rPr>
                <w:sz w:val="20"/>
                <w:szCs w:val="20"/>
                <w:color w:val="auto"/>
              </w:rPr>
            </w:pPr>
            <w:r>
              <w:rPr>
                <w:rFonts w:ascii="Arial" w:cs="Arial" w:eastAsia="Arial" w:hAnsi="Arial"/>
                <w:sz w:val="15"/>
                <w:szCs w:val="15"/>
                <w:color w:val="050A35"/>
              </w:rPr>
              <w:t>30</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240" w:type="dxa"/>
            <w:vAlign w:val="bottom"/>
            <w:tcBorders>
              <w:top w:val="single" w:sz="8" w:color="0000EE"/>
              <w:bottom w:val="single" w:sz="8" w:color="0000EE"/>
            </w:tcBorders>
            <w:gridSpan w:val="5"/>
          </w:tcPr>
          <w:p>
            <w:pPr>
              <w:spacing w:after="0" w:line="142" w:lineRule="exact"/>
              <w:rPr>
                <w:sz w:val="20"/>
                <w:szCs w:val="20"/>
                <w:color w:val="auto"/>
              </w:rPr>
            </w:pPr>
            <w:r>
              <w:rPr>
                <w:rFonts w:ascii="Arial" w:cs="Arial" w:eastAsia="Arial" w:hAnsi="Arial"/>
                <w:sz w:val="15"/>
                <w:szCs w:val="15"/>
                <w:color w:val="050A35"/>
              </w:rPr>
              <w:t>Executive Officers</w:t>
            </w:r>
          </w:p>
        </w:tc>
        <w:tc>
          <w:tcPr>
            <w:tcW w:w="7360" w:type="dxa"/>
            <w:vAlign w:val="bottom"/>
            <w:tcBorders>
              <w:top w:val="single" w:sz="8" w:color="0000EE"/>
            </w:tcBorders>
            <w:gridSpan w:val="35"/>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640" w:type="dxa"/>
            <w:vAlign w:val="bottom"/>
            <w:tcBorders>
              <w:bottom w:val="single" w:sz="8" w:color="0000EE"/>
            </w:tcBorders>
            <w:gridSpan w:val="12"/>
          </w:tcPr>
          <w:p>
            <w:pPr>
              <w:spacing w:after="0"/>
              <w:rPr>
                <w:sz w:val="20"/>
                <w:szCs w:val="20"/>
                <w:color w:val="auto"/>
              </w:rPr>
            </w:pPr>
            <w:r>
              <w:rPr>
                <w:rFonts w:ascii="Arial" w:cs="Arial" w:eastAsia="Arial" w:hAnsi="Arial"/>
                <w:sz w:val="15"/>
                <w:szCs w:val="15"/>
                <w:color w:val="050A35"/>
              </w:rPr>
              <w:t>Audit Committee Report</w:t>
            </w:r>
          </w:p>
        </w:tc>
        <w:tc>
          <w:tcPr>
            <w:tcW w:w="7460" w:type="dxa"/>
            <w:vAlign w:val="bottom"/>
            <w:gridSpan w:val="29"/>
          </w:tcPr>
          <w:p>
            <w:pPr>
              <w:spacing w:after="0"/>
              <w:rPr>
                <w:sz w:val="17"/>
                <w:szCs w:val="17"/>
                <w:color w:val="auto"/>
              </w:rPr>
            </w:pPr>
          </w:p>
        </w:tc>
        <w:tc>
          <w:tcPr>
            <w:tcW w:w="960" w:type="dxa"/>
            <w:vAlign w:val="bottom"/>
          </w:tcPr>
          <w:p>
            <w:pPr>
              <w:jc w:val="right"/>
              <w:ind w:right="604"/>
              <w:spacing w:after="0"/>
              <w:rPr>
                <w:sz w:val="20"/>
                <w:szCs w:val="20"/>
                <w:color w:val="auto"/>
              </w:rPr>
            </w:pPr>
            <w:r>
              <w:rPr>
                <w:rFonts w:ascii="Arial" w:cs="Arial" w:eastAsia="Arial" w:hAnsi="Arial"/>
                <w:sz w:val="15"/>
                <w:szCs w:val="15"/>
                <w:color w:val="050A35"/>
              </w:rPr>
              <w:t>31</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100" w:type="dxa"/>
            <w:vAlign w:val="bottom"/>
            <w:gridSpan w:val="41"/>
          </w:tcPr>
          <w:p>
            <w:pPr>
              <w:spacing w:after="0"/>
              <w:rPr>
                <w:sz w:val="20"/>
                <w:szCs w:val="20"/>
                <w:color w:val="auto"/>
              </w:rPr>
            </w:pPr>
            <w:r>
              <w:rPr>
                <w:rFonts w:ascii="Arial" w:cs="Arial" w:eastAsia="Arial" w:hAnsi="Arial"/>
                <w:sz w:val="15"/>
                <w:szCs w:val="15"/>
                <w:color w:val="050A35"/>
              </w:rPr>
              <w:t>Proposal 4: Ratification of Independent Registered Public Accounting Firm</w:t>
            </w:r>
          </w:p>
        </w:tc>
        <w:tc>
          <w:tcPr>
            <w:tcW w:w="960" w:type="dxa"/>
            <w:vAlign w:val="bottom"/>
          </w:tcPr>
          <w:p>
            <w:pPr>
              <w:jc w:val="right"/>
              <w:ind w:right="604"/>
              <w:spacing w:after="0"/>
              <w:rPr>
                <w:sz w:val="20"/>
                <w:szCs w:val="20"/>
                <w:color w:val="auto"/>
              </w:rPr>
            </w:pPr>
            <w:r>
              <w:rPr>
                <w:rFonts w:ascii="Arial" w:cs="Arial" w:eastAsia="Arial" w:hAnsi="Arial"/>
                <w:sz w:val="15"/>
                <w:szCs w:val="15"/>
                <w:color w:val="050A35"/>
              </w:rPr>
              <w:t>32</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020" w:type="dxa"/>
            <w:vAlign w:val="bottom"/>
            <w:tcBorders>
              <w:top w:val="single" w:sz="8" w:color="0000EE"/>
            </w:tcBorders>
            <w:gridSpan w:val="36"/>
          </w:tcPr>
          <w:p>
            <w:pPr>
              <w:spacing w:after="0"/>
              <w:rPr>
                <w:sz w:val="20"/>
                <w:szCs w:val="20"/>
                <w:color w:val="auto"/>
              </w:rPr>
            </w:pPr>
            <w:r>
              <w:rPr>
                <w:rFonts w:ascii="Arial" w:cs="Arial" w:eastAsia="Arial" w:hAnsi="Arial"/>
                <w:sz w:val="15"/>
                <w:szCs w:val="15"/>
                <w:color w:val="050A35"/>
              </w:rPr>
              <w:t>Stock Ownership</w:t>
            </w:r>
          </w:p>
        </w:tc>
        <w:tc>
          <w:tcPr>
            <w:tcW w:w="4080" w:type="dxa"/>
            <w:vAlign w:val="bottom"/>
            <w:gridSpan w:val="5"/>
          </w:tcPr>
          <w:p>
            <w:pPr>
              <w:spacing w:after="0"/>
              <w:rPr>
                <w:sz w:val="17"/>
                <w:szCs w:val="17"/>
                <w:color w:val="auto"/>
              </w:rPr>
            </w:pPr>
          </w:p>
        </w:tc>
        <w:tc>
          <w:tcPr>
            <w:tcW w:w="960" w:type="dxa"/>
            <w:vAlign w:val="bottom"/>
          </w:tcPr>
          <w:p>
            <w:pPr>
              <w:jc w:val="right"/>
              <w:ind w:right="604"/>
              <w:spacing w:after="0"/>
              <w:rPr>
                <w:sz w:val="20"/>
                <w:szCs w:val="20"/>
                <w:color w:val="auto"/>
              </w:rPr>
            </w:pPr>
            <w:r>
              <w:rPr>
                <w:rFonts w:ascii="Arial" w:cs="Arial" w:eastAsia="Arial" w:hAnsi="Arial"/>
                <w:sz w:val="15"/>
                <w:szCs w:val="15"/>
                <w:color w:val="050A35"/>
              </w:rPr>
              <w:t>33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gridSpan w:val="13"/>
          </w:tcPr>
          <w:p>
            <w:pPr>
              <w:spacing w:after="0" w:line="20" w:lineRule="exact"/>
              <w:rPr>
                <w:sz w:val="1"/>
                <w:szCs w:val="1"/>
                <w:color w:val="auto"/>
              </w:rPr>
            </w:pPr>
          </w:p>
        </w:tc>
        <w:tc>
          <w:tcPr>
            <w:tcW w:w="1920" w:type="dxa"/>
            <w:vAlign w:val="bottom"/>
            <w:gridSpan w:val="1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74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3780" w:type="dxa"/>
            <w:vAlign w:val="bottom"/>
            <w:tcBorders>
              <w:bottom w:val="single" w:sz="8" w:color="0000EE"/>
            </w:tcBorders>
            <w:gridSpan w:val="31"/>
          </w:tcPr>
          <w:p>
            <w:pPr>
              <w:spacing w:after="0"/>
              <w:rPr>
                <w:sz w:val="20"/>
                <w:szCs w:val="20"/>
                <w:color w:val="auto"/>
              </w:rPr>
            </w:pPr>
            <w:r>
              <w:rPr>
                <w:rFonts w:ascii="Arial" w:cs="Arial" w:eastAsia="Arial" w:hAnsi="Arial"/>
                <w:sz w:val="15"/>
                <w:szCs w:val="15"/>
                <w:color w:val="050A35"/>
              </w:rPr>
              <w:t>Certain Relationships and Related Person Transactions</w:t>
            </w:r>
          </w:p>
        </w:tc>
        <w:tc>
          <w:tcPr>
            <w:tcW w:w="5320" w:type="dxa"/>
            <w:vAlign w:val="bottom"/>
            <w:gridSpan w:val="10"/>
          </w:tcPr>
          <w:p>
            <w:pPr>
              <w:spacing w:after="0"/>
              <w:rPr>
                <w:sz w:val="17"/>
                <w:szCs w:val="17"/>
                <w:color w:val="auto"/>
              </w:rPr>
            </w:pPr>
          </w:p>
        </w:tc>
        <w:tc>
          <w:tcPr>
            <w:tcW w:w="960" w:type="dxa"/>
            <w:vAlign w:val="bottom"/>
          </w:tcPr>
          <w:p>
            <w:pPr>
              <w:jc w:val="right"/>
              <w:ind w:right="604"/>
              <w:spacing w:after="0"/>
              <w:rPr>
                <w:sz w:val="20"/>
                <w:szCs w:val="20"/>
                <w:color w:val="auto"/>
              </w:rPr>
            </w:pPr>
            <w:r>
              <w:rPr>
                <w:rFonts w:ascii="Arial" w:cs="Arial" w:eastAsia="Arial" w:hAnsi="Arial"/>
                <w:sz w:val="15"/>
                <w:szCs w:val="15"/>
                <w:color w:val="050A35"/>
              </w:rPr>
              <w:t>35</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100" w:type="dxa"/>
            <w:vAlign w:val="bottom"/>
            <w:gridSpan w:val="41"/>
          </w:tcPr>
          <w:p>
            <w:pPr>
              <w:spacing w:after="0"/>
              <w:rPr>
                <w:sz w:val="20"/>
                <w:szCs w:val="20"/>
                <w:color w:val="auto"/>
              </w:rPr>
            </w:pPr>
            <w:r>
              <w:rPr>
                <w:rFonts w:ascii="Arial" w:cs="Arial" w:eastAsia="Arial" w:hAnsi="Arial"/>
                <w:sz w:val="15"/>
                <w:szCs w:val="15"/>
                <w:color w:val="050A35"/>
              </w:rPr>
              <w:t>Other Matters</w:t>
            </w:r>
          </w:p>
        </w:tc>
        <w:tc>
          <w:tcPr>
            <w:tcW w:w="960" w:type="dxa"/>
            <w:vAlign w:val="bottom"/>
          </w:tcPr>
          <w:p>
            <w:pPr>
              <w:jc w:val="right"/>
              <w:ind w:right="604"/>
              <w:spacing w:after="0"/>
              <w:rPr>
                <w:sz w:val="20"/>
                <w:szCs w:val="20"/>
                <w:color w:val="auto"/>
              </w:rPr>
            </w:pPr>
            <w:r>
              <w:rPr>
                <w:rFonts w:ascii="Arial" w:cs="Arial" w:eastAsia="Arial" w:hAnsi="Arial"/>
                <w:sz w:val="15"/>
                <w:szCs w:val="15"/>
                <w:color w:val="050A35"/>
              </w:rPr>
              <w:t>37</w:t>
            </w: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620" w:type="dxa"/>
            <w:vAlign w:val="bottom"/>
            <w:tcBorders>
              <w:top w:val="single" w:sz="8" w:color="0000EE"/>
            </w:tcBorders>
            <w:gridSpan w:val="2"/>
          </w:tcPr>
          <w:p>
            <w:pPr>
              <w:ind w:left="20"/>
              <w:spacing w:after="0" w:line="156" w:lineRule="exact"/>
              <w:rPr>
                <w:sz w:val="20"/>
                <w:szCs w:val="20"/>
                <w:color w:val="auto"/>
              </w:rPr>
            </w:pPr>
            <w:r>
              <w:rPr>
                <w:rFonts w:ascii="Arial" w:cs="Arial" w:eastAsia="Arial" w:hAnsi="Arial"/>
                <w:sz w:val="15"/>
                <w:szCs w:val="15"/>
                <w:color w:val="050A35"/>
                <w:w w:val="73"/>
              </w:rPr>
              <w:t>Stockholder</w:t>
            </w:r>
          </w:p>
        </w:tc>
        <w:tc>
          <w:tcPr>
            <w:tcW w:w="8160" w:type="dxa"/>
            <w:vAlign w:val="bottom"/>
            <w:gridSpan w:val="38"/>
          </w:tcPr>
          <w:p>
            <w:pPr>
              <w:ind w:left="240"/>
              <w:spacing w:after="0" w:line="156" w:lineRule="exact"/>
              <w:rPr>
                <w:sz w:val="20"/>
                <w:szCs w:val="20"/>
                <w:color w:val="auto"/>
              </w:rPr>
            </w:pPr>
            <w:r>
              <w:rPr>
                <w:rFonts w:ascii="Arial" w:cs="Arial" w:eastAsia="Arial" w:hAnsi="Arial"/>
                <w:sz w:val="15"/>
                <w:szCs w:val="15"/>
                <w:color w:val="050A35"/>
              </w:rPr>
              <w:t>Proposals</w:t>
            </w: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37</w:t>
            </w: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Borders>
              <w:top w:val="single" w:sz="8" w:color="0000EE"/>
              <w:bottom w:val="single" w:sz="8" w:color="0000EE"/>
            </w:tcBorders>
            <w:gridSpan w:val="16"/>
          </w:tcPr>
          <w:p>
            <w:pPr>
              <w:ind w:left="20"/>
              <w:spacing w:after="0" w:line="156" w:lineRule="exact"/>
              <w:rPr>
                <w:sz w:val="20"/>
                <w:szCs w:val="20"/>
                <w:color w:val="auto"/>
              </w:rPr>
            </w:pPr>
            <w:r>
              <w:rPr>
                <w:rFonts w:ascii="Arial" w:cs="Arial" w:eastAsia="Arial" w:hAnsi="Arial"/>
                <w:sz w:val="15"/>
                <w:szCs w:val="15"/>
                <w:color w:val="050A35"/>
                <w:w w:val="99"/>
              </w:rPr>
              <w:t>Delivery of Documents</w:t>
            </w:r>
          </w:p>
        </w:tc>
        <w:tc>
          <w:tcPr>
            <w:tcW w:w="2500" w:type="dxa"/>
            <w:vAlign w:val="bottom"/>
            <w:tcBorders>
              <w:bottom w:val="single" w:sz="8" w:color="0000EE"/>
            </w:tcBorders>
            <w:gridSpan w:val="15"/>
          </w:tcPr>
          <w:p>
            <w:pPr>
              <w:ind w:left="60"/>
              <w:spacing w:after="0" w:line="156" w:lineRule="exact"/>
              <w:rPr>
                <w:sz w:val="20"/>
                <w:szCs w:val="20"/>
                <w:color w:val="auto"/>
              </w:rPr>
            </w:pPr>
            <w:r>
              <w:rPr>
                <w:rFonts w:ascii="Arial" w:cs="Arial" w:eastAsia="Arial" w:hAnsi="Arial"/>
                <w:sz w:val="15"/>
                <w:szCs w:val="15"/>
                <w:color w:val="050A35"/>
              </w:rPr>
              <w:t>to Stockholders Sharing an Address</w:t>
            </w:r>
          </w:p>
        </w:tc>
        <w:tc>
          <w:tcPr>
            <w:tcW w:w="4740" w:type="dxa"/>
            <w:vAlign w:val="bottom"/>
            <w:gridSpan w:val="9"/>
          </w:tcPr>
          <w:p>
            <w:pPr>
              <w:spacing w:after="0"/>
              <w:rPr>
                <w:sz w:val="13"/>
                <w:szCs w:val="13"/>
                <w:color w:val="auto"/>
              </w:rPr>
            </w:pPr>
          </w:p>
        </w:tc>
        <w:tc>
          <w:tcPr>
            <w:tcW w:w="960" w:type="dxa"/>
            <w:vAlign w:val="bottom"/>
          </w:tcPr>
          <w:p>
            <w:pPr>
              <w:jc w:val="right"/>
              <w:ind w:right="604"/>
              <w:spacing w:after="0" w:line="156" w:lineRule="exact"/>
              <w:rPr>
                <w:sz w:val="20"/>
                <w:szCs w:val="20"/>
                <w:color w:val="auto"/>
              </w:rPr>
            </w:pPr>
            <w:r>
              <w:rPr>
                <w:rFonts w:ascii="Arial" w:cs="Arial" w:eastAsia="Arial" w:hAnsi="Arial"/>
                <w:sz w:val="15"/>
                <w:szCs w:val="15"/>
                <w:color w:val="050A35"/>
              </w:rPr>
              <w:t>37</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100" w:type="dxa"/>
            <w:vAlign w:val="bottom"/>
            <w:gridSpan w:val="41"/>
          </w:tcPr>
          <w:p>
            <w:pPr>
              <w:spacing w:after="0"/>
              <w:rPr>
                <w:sz w:val="20"/>
                <w:szCs w:val="20"/>
                <w:color w:val="auto"/>
              </w:rPr>
            </w:pPr>
            <w:r>
              <w:rPr>
                <w:rFonts w:ascii="Arial" w:cs="Arial" w:eastAsia="Arial" w:hAnsi="Arial"/>
                <w:sz w:val="15"/>
                <w:szCs w:val="15"/>
                <w:color w:val="050A35"/>
              </w:rPr>
              <w:t>Appendix A</w:t>
            </w:r>
          </w:p>
        </w:tc>
        <w:tc>
          <w:tcPr>
            <w:tcW w:w="960" w:type="dxa"/>
            <w:vAlign w:val="bottom"/>
          </w:tcPr>
          <w:p>
            <w:pPr>
              <w:jc w:val="right"/>
              <w:ind w:right="604"/>
              <w:spacing w:after="0"/>
              <w:rPr>
                <w:sz w:val="20"/>
                <w:szCs w:val="20"/>
                <w:color w:val="auto"/>
              </w:rPr>
            </w:pPr>
            <w:r>
              <w:rPr>
                <w:rFonts w:ascii="Arial" w:cs="Arial" w:eastAsia="Arial" w:hAnsi="Arial"/>
                <w:sz w:val="15"/>
                <w:szCs w:val="15"/>
                <w:color w:val="050A35"/>
              </w:rPr>
              <w:t>A-1</w:t>
            </w:r>
          </w:p>
        </w:tc>
        <w:tc>
          <w:tcPr>
            <w:tcW w:w="0" w:type="dxa"/>
            <w:vAlign w:val="bottom"/>
          </w:tcPr>
          <w:p>
            <w:pPr>
              <w:spacing w:after="0"/>
              <w:rPr>
                <w:sz w:val="1"/>
                <w:szCs w:val="1"/>
                <w:color w:val="auto"/>
              </w:rPr>
            </w:pPr>
          </w:p>
        </w:tc>
      </w:tr>
      <w:tr>
        <w:trPr>
          <w:trHeight w:val="599"/>
        </w:trPr>
        <w:tc>
          <w:tcPr>
            <w:tcW w:w="6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80" w:type="dxa"/>
            <w:vAlign w:val="bottom"/>
            <w:gridSpan w:val="5"/>
          </w:tcPr>
          <w:p>
            <w:pPr>
              <w:ind w:left="1000"/>
              <w:spacing w:after="0"/>
              <w:rPr>
                <w:sz w:val="20"/>
                <w:szCs w:val="20"/>
                <w:color w:val="auto"/>
              </w:rPr>
            </w:pPr>
            <w:r>
              <w:rPr>
                <w:rFonts w:ascii="Arial" w:cs="Arial" w:eastAsia="Arial" w:hAnsi="Arial"/>
                <w:sz w:val="14"/>
                <w:szCs w:val="14"/>
                <w:color w:val="050A35"/>
              </w:rPr>
              <w:t>RIDGEPOST CAPITAL | 2026 Proxy Statement</w:t>
            </w:r>
          </w:p>
        </w:tc>
        <w:tc>
          <w:tcPr>
            <w:tcW w:w="960" w:type="dxa"/>
            <w:vAlign w:val="bottom"/>
          </w:tcPr>
          <w:p>
            <w:pPr>
              <w:jc w:val="right"/>
              <w:ind w:right="584"/>
              <w:spacing w:after="0"/>
              <w:rPr>
                <w:sz w:val="20"/>
                <w:szCs w:val="20"/>
                <w:color w:val="auto"/>
              </w:rPr>
            </w:pPr>
            <w:r>
              <w:rPr>
                <w:rFonts w:ascii="Arial" w:cs="Arial" w:eastAsia="Arial" w:hAnsi="Arial"/>
                <w:sz w:val="14"/>
                <w:szCs w:val="14"/>
                <w:b w:val="1"/>
                <w:bCs w:val="1"/>
                <w:color w:val="050A35"/>
              </w:rPr>
              <w:t>i</w:t>
            </w:r>
          </w:p>
        </w:tc>
        <w:tc>
          <w:tcPr>
            <w:tcW w:w="0" w:type="dxa"/>
            <w:vAlign w:val="bottom"/>
          </w:tcPr>
          <w:p>
            <w:pPr>
              <w:spacing w:after="0"/>
              <w:rPr>
                <w:sz w:val="1"/>
                <w:szCs w:val="1"/>
                <w:color w:val="auto"/>
              </w:rPr>
            </w:pPr>
          </w:p>
        </w:tc>
      </w:tr>
      <w:tr>
        <w:trPr>
          <w:trHeight w:val="738"/>
        </w:trPr>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sectPr>
      </w:pPr>
    </w:p>
    <w:bookmarkStart w:id="4" w:name="page5"/>
    <w:bookmarkEnd w:id="4"/>
    <w:p>
      <w:pPr>
        <w:jc w:val="right"/>
        <w:ind w:right="660"/>
        <w:spacing w:after="0"/>
        <w:rPr>
          <w:sz w:val="20"/>
          <w:szCs w:val="20"/>
          <w:color w:val="auto"/>
        </w:rPr>
      </w:pPr>
      <w:r>
        <w:rPr>
          <w:rFonts w:ascii="Arial" w:cs="Arial" w:eastAsia="Arial" w:hAnsi="Arial"/>
          <w:sz w:val="13"/>
          <w:szCs w:val="13"/>
          <w:color w:val="050A35"/>
        </w:rPr>
        <w:t>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50A35"/>
        </w:rPr>
        <w:t>PROXY STATEMENT</w:t>
      </w:r>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050A35"/>
        </w:rPr>
        <w:t>ANNUAL MEETING OF STOCKHOLDERS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color w:val="050A35"/>
        </w:rPr>
        <w:t>June 18, 2026</w:t>
      </w: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050A35"/>
        </w:rPr>
        <w:t>About the Meeting</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What is the date, time and place of the Annual Meeting?</w:t>
      </w:r>
    </w:p>
    <w:p>
      <w:pPr>
        <w:spacing w:after="0" w:line="106" w:lineRule="exact"/>
        <w:rPr>
          <w:sz w:val="20"/>
          <w:szCs w:val="20"/>
          <w:color w:val="auto"/>
        </w:rPr>
      </w:pPr>
    </w:p>
    <w:p>
      <w:pPr>
        <w:ind w:left="660" w:right="780"/>
        <w:spacing w:after="0" w:line="264" w:lineRule="auto"/>
        <w:rPr>
          <w:sz w:val="20"/>
          <w:szCs w:val="20"/>
          <w:color w:val="auto"/>
        </w:rPr>
      </w:pPr>
      <w:r>
        <w:rPr>
          <w:rFonts w:ascii="Arial" w:cs="Arial" w:eastAsia="Arial" w:hAnsi="Arial"/>
          <w:sz w:val="15"/>
          <w:szCs w:val="15"/>
          <w:color w:val="050A35"/>
        </w:rPr>
        <w:t>Ridgepost Capital, Inc.’s 2026 Annual Stockholders’ Meeting (the “Annual Meeting”) will be held on Thursday, June 18, 2026 beginning at 9:00 a.m., local time, at the offices of Herbert Smith Freehills Kramer, 1177 Avenue of the Americas, New York, New York 10036.</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What is the purpose of the Annual Meeting?</w:t>
      </w:r>
    </w:p>
    <w:p>
      <w:pPr>
        <w:spacing w:after="0" w:line="106" w:lineRule="exact"/>
        <w:rPr>
          <w:sz w:val="20"/>
          <w:szCs w:val="20"/>
          <w:color w:val="auto"/>
        </w:rPr>
      </w:pPr>
    </w:p>
    <w:p>
      <w:pPr>
        <w:jc w:val="both"/>
        <w:ind w:left="660" w:right="700"/>
        <w:spacing w:after="0" w:line="236" w:lineRule="auto"/>
        <w:rPr>
          <w:sz w:val="20"/>
          <w:szCs w:val="20"/>
          <w:color w:val="auto"/>
        </w:rPr>
      </w:pPr>
      <w:r>
        <w:rPr>
          <w:rFonts w:ascii="Arial" w:cs="Arial" w:eastAsia="Arial" w:hAnsi="Arial"/>
          <w:sz w:val="15"/>
          <w:szCs w:val="15"/>
          <w:color w:val="050A35"/>
        </w:rPr>
        <w:t>At the Annual Meeting, stockholders will act upon the matters outlined in the notice of meeting on the cover page of this Proxy Statement, consisting of (1) the election of three directors; (2) the advisory vote to approve the compensation of our named executive officers; (3) the advisory vote on the frequency of future advisory votes to approve the compensation of our named executive officers; (4) the ratification of the appointment of KPMG LLP as our independent registered public accounting firm for the 2026 fiscal year; and (5) any other matters that properly come before the meeting.</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What are the voting rights of the holders of our common stock?</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5"/>
          <w:szCs w:val="15"/>
          <w:color w:val="050A35"/>
        </w:rPr>
        <w:t>Each share of our Class A common stock entitles its holder to one vote on all matters to be voted on by stockholders generally.</w:t>
      </w:r>
    </w:p>
    <w:p>
      <w:pPr>
        <w:spacing w:after="0" w:line="98" w:lineRule="exact"/>
        <w:rPr>
          <w:sz w:val="20"/>
          <w:szCs w:val="20"/>
          <w:color w:val="auto"/>
        </w:rPr>
      </w:pPr>
    </w:p>
    <w:p>
      <w:pPr>
        <w:ind w:left="660" w:right="920"/>
        <w:spacing w:after="0" w:line="264" w:lineRule="auto"/>
        <w:rPr>
          <w:sz w:val="20"/>
          <w:szCs w:val="20"/>
          <w:color w:val="auto"/>
        </w:rPr>
      </w:pPr>
      <w:r>
        <w:rPr>
          <w:rFonts w:ascii="Arial" w:cs="Arial" w:eastAsia="Arial" w:hAnsi="Arial"/>
          <w:sz w:val="15"/>
          <w:szCs w:val="15"/>
          <w:color w:val="050A35"/>
        </w:rPr>
        <w:t>Each share of our Class B common stock entitles its holder to ten votes on all matters to be voted on by stockholders generally. As a result, the holders of our Class B common stock currently have approximately 80% of the combined voting power of our common stock.</w:t>
      </w:r>
    </w:p>
    <w:p>
      <w:pPr>
        <w:spacing w:after="0" w:line="53" w:lineRule="exact"/>
        <w:rPr>
          <w:sz w:val="20"/>
          <w:szCs w:val="20"/>
          <w:color w:val="auto"/>
        </w:rPr>
      </w:pPr>
    </w:p>
    <w:p>
      <w:pPr>
        <w:ind w:left="660" w:right="1020"/>
        <w:spacing w:after="0" w:line="264" w:lineRule="auto"/>
        <w:rPr>
          <w:sz w:val="20"/>
          <w:szCs w:val="20"/>
          <w:color w:val="auto"/>
        </w:rPr>
      </w:pPr>
      <w:r>
        <w:rPr>
          <w:rFonts w:ascii="Arial" w:cs="Arial" w:eastAsia="Arial" w:hAnsi="Arial"/>
          <w:sz w:val="15"/>
          <w:szCs w:val="15"/>
          <w:color w:val="050A35"/>
        </w:rPr>
        <w:t>Holders of Class B common stock may elect to convert shares of Class B common stock on a one-for-one basis into Class A common stock at any time.</w:t>
      </w:r>
    </w:p>
    <w:p>
      <w:pPr>
        <w:spacing w:after="0" w:line="53" w:lineRule="exact"/>
        <w:rPr>
          <w:sz w:val="20"/>
          <w:szCs w:val="20"/>
          <w:color w:val="auto"/>
        </w:rPr>
      </w:pPr>
    </w:p>
    <w:p>
      <w:pPr>
        <w:ind w:left="660" w:right="680"/>
        <w:spacing w:after="0" w:line="244" w:lineRule="auto"/>
        <w:rPr>
          <w:sz w:val="20"/>
          <w:szCs w:val="20"/>
          <w:color w:val="auto"/>
        </w:rPr>
      </w:pPr>
      <w:r>
        <w:rPr>
          <w:rFonts w:ascii="Arial" w:cs="Arial" w:eastAsia="Arial" w:hAnsi="Arial"/>
          <w:sz w:val="15"/>
          <w:szCs w:val="15"/>
          <w:color w:val="050A35"/>
        </w:rPr>
        <w:t>Holders of our Class A common stock and Class B common stock will vote together as a single class on all matters presented to our stockholders for their vote or approval, except as set forth in our amended and restated certificate of incorporation or as otherwise required by applicable law.</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Who is entitled to vote at the meeting?</w:t>
      </w:r>
    </w:p>
    <w:p>
      <w:pPr>
        <w:spacing w:after="0" w:line="106" w:lineRule="exact"/>
        <w:rPr>
          <w:sz w:val="20"/>
          <w:szCs w:val="20"/>
          <w:color w:val="auto"/>
        </w:rPr>
      </w:pPr>
    </w:p>
    <w:p>
      <w:pPr>
        <w:ind w:left="660" w:right="680"/>
        <w:spacing w:after="0" w:line="234" w:lineRule="auto"/>
        <w:rPr>
          <w:sz w:val="20"/>
          <w:szCs w:val="20"/>
          <w:color w:val="auto"/>
        </w:rPr>
      </w:pPr>
      <w:r>
        <w:rPr>
          <w:rFonts w:ascii="Arial" w:cs="Arial" w:eastAsia="Arial" w:hAnsi="Arial"/>
          <w:sz w:val="15"/>
          <w:szCs w:val="15"/>
          <w:color w:val="050A35"/>
        </w:rPr>
        <w:t>Only stockholders of record at the close of business on April 20, 2026, the record date for the meeting, are entitled to receive notice of and to participate in the Annual Meeting. If you were a stockholder of record on that date, you will be entitled to vote all of the shares you held on that date at the Annual Meeting, or any postponement or adjournment of the Annual Meeting. As of the record date, there were 78,216,084 shares of Class A common stock outstanding and 31,260,504 shares of Class B common stock outstanding, all of which are entitled to be voted at the Annual Meeting. Whether or not you plan to attend the meeting, we encourage you to fill out and return the proxy card or vote by proxy over the telephone or on the Internet as instructed below to ensure your vote is counted.</w:t>
      </w:r>
    </w:p>
    <w:p>
      <w:pPr>
        <w:spacing w:after="0" w:line="71" w:lineRule="exact"/>
        <w:rPr>
          <w:sz w:val="20"/>
          <w:szCs w:val="20"/>
          <w:color w:val="auto"/>
        </w:rPr>
      </w:pPr>
    </w:p>
    <w:p>
      <w:pPr>
        <w:ind w:left="660" w:right="760"/>
        <w:spacing w:after="0" w:line="244" w:lineRule="auto"/>
        <w:rPr>
          <w:sz w:val="20"/>
          <w:szCs w:val="20"/>
          <w:color w:val="auto"/>
        </w:rPr>
      </w:pPr>
      <w:r>
        <w:rPr>
          <w:rFonts w:ascii="Arial" w:cs="Arial" w:eastAsia="Arial" w:hAnsi="Arial"/>
          <w:sz w:val="15"/>
          <w:szCs w:val="15"/>
          <w:color w:val="050A35"/>
        </w:rPr>
        <w:t>A list of stockholders will be available at our headquarters at 2699 Howell Street, Suite 1000, Dallas, Texas 75204 for a period of ten days prior to the Annual Meeting and at the Annual Meeting itself for examination by any stockholder for any purpose germane to the Annual Meeting.</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What is the difference between a stockholder of record and a beneficial owner of shares held in street name?</w:t>
      </w:r>
    </w:p>
    <w:p>
      <w:pPr>
        <w:spacing w:after="0" w:line="104" w:lineRule="exact"/>
        <w:rPr>
          <w:sz w:val="20"/>
          <w:szCs w:val="20"/>
          <w:color w:val="auto"/>
        </w:rPr>
      </w:pPr>
    </w:p>
    <w:p>
      <w:pPr>
        <w:jc w:val="both"/>
        <w:ind w:left="660" w:right="840"/>
        <w:spacing w:after="0" w:line="246" w:lineRule="auto"/>
        <w:rPr>
          <w:sz w:val="20"/>
          <w:szCs w:val="20"/>
          <w:color w:val="auto"/>
        </w:rPr>
      </w:pPr>
      <w:r>
        <w:rPr>
          <w:rFonts w:ascii="Arial" w:cs="Arial" w:eastAsia="Arial" w:hAnsi="Arial"/>
          <w:sz w:val="15"/>
          <w:szCs w:val="15"/>
          <w:b w:val="1"/>
          <w:bCs w:val="1"/>
          <w:color w:val="112B19"/>
        </w:rPr>
        <w:t>Stockholder of Record</w:t>
      </w:r>
      <w:r>
        <w:rPr>
          <w:rFonts w:ascii="Arial" w:cs="Arial" w:eastAsia="Arial" w:hAnsi="Arial"/>
          <w:sz w:val="15"/>
          <w:szCs w:val="15"/>
          <w:b w:val="1"/>
          <w:bCs w:val="1"/>
          <w:color w:val="050A35"/>
        </w:rPr>
        <w:t>.</w:t>
      </w:r>
      <w:r>
        <w:rPr>
          <w:rFonts w:ascii="Arial" w:cs="Arial" w:eastAsia="Arial" w:hAnsi="Arial"/>
          <w:sz w:val="15"/>
          <w:szCs w:val="15"/>
          <w:b w:val="1"/>
          <w:bCs w:val="1"/>
          <w:color w:val="112B19"/>
        </w:rPr>
        <w:t xml:space="preserve"> </w:t>
      </w:r>
      <w:r>
        <w:rPr>
          <w:rFonts w:ascii="Arial" w:cs="Arial" w:eastAsia="Arial" w:hAnsi="Arial"/>
          <w:sz w:val="15"/>
          <w:szCs w:val="15"/>
          <w:color w:val="050A35"/>
        </w:rPr>
        <w:t>If your shares of Class A common stock or Class B common stock are registered directly in your name with the</w:t>
      </w:r>
      <w:r>
        <w:rPr>
          <w:rFonts w:ascii="Arial" w:cs="Arial" w:eastAsia="Arial" w:hAnsi="Arial"/>
          <w:sz w:val="15"/>
          <w:szCs w:val="15"/>
          <w:b w:val="1"/>
          <w:bCs w:val="1"/>
          <w:color w:val="112B19"/>
        </w:rPr>
        <w:t xml:space="preserve"> </w:t>
      </w:r>
      <w:r>
        <w:rPr>
          <w:rFonts w:ascii="Arial" w:cs="Arial" w:eastAsia="Arial" w:hAnsi="Arial"/>
          <w:sz w:val="15"/>
          <w:szCs w:val="15"/>
          <w:color w:val="050A35"/>
        </w:rPr>
        <w:t>Company’s transfer agent, you are considered the stockholder of record with respect to those shares, and the proxy materials were sent directly to you by the Company.</w:t>
      </w:r>
    </w:p>
    <w:p>
      <w:pPr>
        <w:spacing w:after="0" w:line="64" w:lineRule="exact"/>
        <w:rPr>
          <w:sz w:val="20"/>
          <w:szCs w:val="20"/>
          <w:color w:val="auto"/>
        </w:rPr>
      </w:pPr>
    </w:p>
    <w:p>
      <w:pPr>
        <w:ind w:left="660" w:right="900"/>
        <w:spacing w:after="0" w:line="246" w:lineRule="auto"/>
        <w:rPr>
          <w:sz w:val="20"/>
          <w:szCs w:val="20"/>
          <w:color w:val="auto"/>
        </w:rPr>
      </w:pPr>
      <w:r>
        <w:rPr>
          <w:rFonts w:ascii="Arial" w:cs="Arial" w:eastAsia="Arial" w:hAnsi="Arial"/>
          <w:sz w:val="15"/>
          <w:szCs w:val="15"/>
          <w:b w:val="1"/>
          <w:bCs w:val="1"/>
          <w:color w:val="112B19"/>
        </w:rPr>
        <w:t>Beneficial Owner of Shares Held in Street Name</w:t>
      </w:r>
      <w:r>
        <w:rPr>
          <w:rFonts w:ascii="Arial" w:cs="Arial" w:eastAsia="Arial" w:hAnsi="Arial"/>
          <w:sz w:val="15"/>
          <w:szCs w:val="15"/>
          <w:color w:val="112B19"/>
        </w:rPr>
        <w:t>.</w:t>
      </w:r>
      <w:r>
        <w:rPr>
          <w:rFonts w:ascii="Arial" w:cs="Arial" w:eastAsia="Arial" w:hAnsi="Arial"/>
          <w:sz w:val="15"/>
          <w:szCs w:val="15"/>
          <w:b w:val="1"/>
          <w:bCs w:val="1"/>
          <w:color w:val="112B19"/>
        </w:rPr>
        <w:t xml:space="preserve"> </w:t>
      </w:r>
      <w:r>
        <w:rPr>
          <w:rFonts w:ascii="Arial" w:cs="Arial" w:eastAsia="Arial" w:hAnsi="Arial"/>
          <w:sz w:val="15"/>
          <w:szCs w:val="15"/>
          <w:color w:val="050A35"/>
        </w:rPr>
        <w:t>If your shares of Class A common stock or Class B common stock are held in an</w:t>
      </w:r>
      <w:r>
        <w:rPr>
          <w:rFonts w:ascii="Arial" w:cs="Arial" w:eastAsia="Arial" w:hAnsi="Arial"/>
          <w:sz w:val="15"/>
          <w:szCs w:val="15"/>
          <w:b w:val="1"/>
          <w:bCs w:val="1"/>
          <w:color w:val="112B19"/>
        </w:rPr>
        <w:t xml:space="preserve"> </w:t>
      </w:r>
      <w:r>
        <w:rPr>
          <w:rFonts w:ascii="Arial" w:cs="Arial" w:eastAsia="Arial" w:hAnsi="Arial"/>
          <w:sz w:val="15"/>
          <w:szCs w:val="15"/>
          <w:color w:val="050A35"/>
        </w:rPr>
        <w:t>account at a brokerage firm, bank, dealer, custodian or other similar organization acting as nominee (each, a “broker”), then you are the beneficial owner of shares held in “street name,” and the proxy materials were forwarded to you by that broker. The broker holding your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820" w:type="dxa"/>
            <w:vAlign w:val="bottom"/>
          </w:tcPr>
          <w:p>
            <w:pPr>
              <w:ind w:left="6640"/>
              <w:spacing w:after="0"/>
              <w:rPr>
                <w:sz w:val="20"/>
                <w:szCs w:val="20"/>
                <w:color w:val="auto"/>
              </w:rPr>
            </w:pPr>
            <w:r>
              <w:rPr>
                <w:rFonts w:ascii="Arial" w:cs="Arial" w:eastAsia="Arial" w:hAnsi="Arial"/>
                <w:sz w:val="14"/>
                <w:szCs w:val="14"/>
                <w:color w:val="050A35"/>
              </w:rPr>
              <w:t>RIDGEPOST CAPITAL | 2026 Proxy Statement</w:t>
            </w:r>
          </w:p>
        </w:tc>
        <w:tc>
          <w:tcPr>
            <w:tcW w:w="900" w:type="dxa"/>
            <w:vAlign w:val="bottom"/>
          </w:tcPr>
          <w:p>
            <w:pPr>
              <w:jc w:val="right"/>
              <w:ind w:right="588"/>
              <w:spacing w:after="0"/>
              <w:rPr>
                <w:sz w:val="20"/>
                <w:szCs w:val="20"/>
                <w:color w:val="auto"/>
              </w:rPr>
            </w:pPr>
            <w:r>
              <w:rPr>
                <w:rFonts w:ascii="Arial" w:cs="Arial" w:eastAsia="Arial" w:hAnsi="Arial"/>
                <w:sz w:val="14"/>
                <w:szCs w:val="14"/>
                <w:b w:val="1"/>
                <w:bCs w:val="1"/>
                <w:color w:val="050A35"/>
              </w:rPr>
              <w:t>1</w:t>
            </w:r>
          </w:p>
        </w:tc>
      </w:tr>
      <w:tr>
        <w:trPr>
          <w:trHeight w:val="738"/>
        </w:trPr>
        <w:tc>
          <w:tcPr>
            <w:tcW w:w="98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sectPr>
      </w:pPr>
    </w:p>
    <w:bookmarkStart w:id="5" w:name="page6"/>
    <w:bookmarkEnd w:id="5"/>
    <w:p>
      <w:pPr>
        <w:spacing w:after="0"/>
        <w:rPr>
          <w:sz w:val="20"/>
          <w:szCs w:val="20"/>
          <w:color w:val="auto"/>
        </w:rPr>
      </w:pPr>
      <w:r>
        <w:rPr>
          <w:rFonts w:ascii="Arial" w:cs="Arial" w:eastAsia="Arial" w:hAnsi="Arial"/>
          <w:sz w:val="13"/>
          <w:szCs w:val="13"/>
          <w:color w:val="050A35"/>
        </w:rPr>
        <w:t>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9664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340"/>
          </w:cols>
          <w:pgMar w:left="1240" w:top="775" w:right="1319" w:bottom="1440" w:gutter="0" w:footer="0" w:header="0"/>
        </w:sectPr>
      </w:pPr>
    </w:p>
    <w:p>
      <w:pPr>
        <w:spacing w:after="0" w:line="359"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050A35"/>
        </w:rPr>
        <w:t>account is considered the stockholder of record for purposes of voting at the Annual Meeting. As a beneficial owner, you have the right to instruct that broker on how to vote the shares held in your account. Those instructions are contained in a “voting instruction form.”</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Who can attend the Annual Meeting?</w:t>
      </w:r>
    </w:p>
    <w:p>
      <w:pPr>
        <w:spacing w:after="0" w:line="106" w:lineRule="exact"/>
        <w:rPr>
          <w:sz w:val="20"/>
          <w:szCs w:val="20"/>
          <w:color w:val="auto"/>
        </w:rPr>
      </w:pPr>
    </w:p>
    <w:p>
      <w:pPr>
        <w:ind w:right="120"/>
        <w:spacing w:after="0" w:line="238" w:lineRule="auto"/>
        <w:rPr>
          <w:sz w:val="20"/>
          <w:szCs w:val="20"/>
          <w:color w:val="auto"/>
        </w:rPr>
      </w:pPr>
      <w:r>
        <w:rPr>
          <w:rFonts w:ascii="Arial" w:cs="Arial" w:eastAsia="Arial" w:hAnsi="Arial"/>
          <w:sz w:val="15"/>
          <w:szCs w:val="15"/>
          <w:color w:val="050A35"/>
        </w:rPr>
        <w:t>All stockholders as of the record date, or their duly appointed proxies, may attend the Annual Meeting. Please also note that if you hold your shares in “street name” (that is, through a broker), you will need to bring a copy of a brokerage statement reflecting your stock ownership as of the record date to attend the Annual Meeting, and you will need to bring a signed proxy from your broker in order to vote your shares at the Annual Meeting.</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What constitutes a quorum?</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050A35"/>
        </w:rPr>
        <w:t>A majority of the combined voting power of the common stock outstanding and entitled to vote at the Annual Meeting, present or represented by proxy at the meeting, will constitute a quorum for the transaction of business. As of the record date, there were 78,216,084 shares of Class A common stock outstanding and 31,260,504 shares of Class B common stock outstanding, all of which are entitled to be voted at the Annual Meeting, and therefore holders of common stock representing 195,410,563 combined voting power will constitute a quorum.</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What vote is required to approve each item?</w:t>
      </w:r>
    </w:p>
    <w:p>
      <w:pPr>
        <w:spacing w:after="0" w:line="106" w:lineRule="exact"/>
        <w:rPr>
          <w:sz w:val="20"/>
          <w:szCs w:val="20"/>
          <w:color w:val="auto"/>
        </w:rPr>
      </w:pPr>
    </w:p>
    <w:p>
      <w:pPr>
        <w:ind w:right="60"/>
        <w:spacing w:after="0" w:line="233" w:lineRule="auto"/>
        <w:rPr>
          <w:sz w:val="20"/>
          <w:szCs w:val="20"/>
          <w:color w:val="auto"/>
        </w:rPr>
      </w:pPr>
      <w:r>
        <w:rPr>
          <w:rFonts w:ascii="Arial" w:cs="Arial" w:eastAsia="Arial" w:hAnsi="Arial"/>
          <w:sz w:val="15"/>
          <w:szCs w:val="15"/>
          <w:color w:val="050A35"/>
        </w:rPr>
        <w:t>The inspector of election for the Annual Meeting will determine the number of shares of common stock represented at the meeting, the existence of a quorum and the validity and effect of proxies, and will count and tabulate votes and determine the results. Abstentions and broker non-votes will be included in the calculation of the number of shares considered to be present at the meeting for purposes of determining a quorum. The Annual Meeting may be adjourned for any or no reason (and may be recessed if a quorum is not present or represented) from time to time by a majority of the combined voting power of the common stock present or represented by proxy and entitled to vote at the Annual Meeting. In addition, whether or not a quorum is present, the Annual Meeting may be adjourned or recessed for any or no reason from time to time by the chair person of the meeting.</w:t>
      </w:r>
    </w:p>
    <w:p>
      <w:pPr>
        <w:spacing w:after="0" w:line="173" w:lineRule="exact"/>
        <w:rPr>
          <w:sz w:val="20"/>
          <w:szCs w:val="20"/>
          <w:color w:val="auto"/>
        </w:rPr>
      </w:pPr>
    </w:p>
    <w:p>
      <w:pPr>
        <w:ind w:left="400" w:hanging="394"/>
        <w:spacing w:after="0"/>
        <w:tabs>
          <w:tab w:leader="none" w:pos="400" w:val="left"/>
        </w:tabs>
        <w:numPr>
          <w:ilvl w:val="0"/>
          <w:numId w:val="7"/>
        </w:numPr>
        <w:rPr>
          <w:rFonts w:ascii="Arial" w:cs="Arial" w:eastAsia="Arial" w:hAnsi="Arial"/>
          <w:sz w:val="14"/>
          <w:szCs w:val="14"/>
          <w:b w:val="1"/>
          <w:bCs w:val="1"/>
          <w:color w:val="050A35"/>
        </w:rPr>
      </w:pPr>
      <w:r>
        <w:rPr>
          <w:rFonts w:ascii="Arial" w:cs="Arial" w:eastAsia="Arial" w:hAnsi="Arial"/>
          <w:sz w:val="14"/>
          <w:szCs w:val="14"/>
          <w:color w:val="050A35"/>
        </w:rPr>
        <w:t>RIDGEPOST CAPITAL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473710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40"/>
          </w:cols>
          <w:pgMar w:left="1240" w:top="775" w:right="1319" w:bottom="1440" w:gutter="0" w:footer="0" w:header="0"/>
          <w:type w:val="continuous"/>
        </w:sectPr>
      </w:pPr>
    </w:p>
    <w:bookmarkStart w:id="6" w:name="page7"/>
    <w:bookmarkEnd w:id="6"/>
    <w:p>
      <w:pPr>
        <w:jc w:val="right"/>
        <w:ind w:right="660"/>
        <w:spacing w:after="0"/>
        <w:rPr>
          <w:sz w:val="20"/>
          <w:szCs w:val="20"/>
          <w:color w:val="auto"/>
        </w:rPr>
      </w:pPr>
      <w:r>
        <w:rPr>
          <w:rFonts w:ascii="Arial" w:cs="Arial" w:eastAsia="Arial" w:hAnsi="Arial"/>
          <w:sz w:val="13"/>
          <w:szCs w:val="13"/>
          <w:color w:val="050A35"/>
        </w:rPr>
        <w:t>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39" w:lineRule="exact"/>
        <w:rPr>
          <w:sz w:val="20"/>
          <w:szCs w:val="20"/>
          <w:color w:val="auto"/>
        </w:rPr>
      </w:pPr>
    </w:p>
    <w:p>
      <w:pPr>
        <w:jc w:val="both"/>
        <w:ind w:left="660" w:right="800"/>
        <w:spacing w:after="0" w:line="244" w:lineRule="auto"/>
        <w:rPr>
          <w:sz w:val="20"/>
          <w:szCs w:val="20"/>
          <w:color w:val="auto"/>
        </w:rPr>
      </w:pPr>
      <w:r>
        <w:rPr>
          <w:rFonts w:ascii="Arial" w:cs="Arial" w:eastAsia="Arial" w:hAnsi="Arial"/>
          <w:sz w:val="15"/>
          <w:szCs w:val="15"/>
          <w:color w:val="050A35"/>
        </w:rPr>
        <w:t>The table below describes the vote requirements and the effect of abstentions and broker non-votes, as prescribed under our bylaws, the rules of the New York Stock Exchange and Delaware law, for the election of directors and the approval of the other items on the agenda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62865</wp:posOffset>
            </wp:positionV>
            <wp:extent cx="5966460"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6460" cy="29146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sectPr>
      </w:pPr>
    </w:p>
    <w:p>
      <w:pPr>
        <w:spacing w:after="0" w:line="220" w:lineRule="exact"/>
        <w:rPr>
          <w:sz w:val="20"/>
          <w:szCs w:val="20"/>
          <w:color w:val="auto"/>
        </w:rPr>
      </w:pPr>
    </w:p>
    <w:p>
      <w:pPr>
        <w:ind w:left="2160"/>
        <w:spacing w:after="0"/>
        <w:rPr>
          <w:sz w:val="20"/>
          <w:szCs w:val="20"/>
          <w:color w:val="auto"/>
        </w:rPr>
      </w:pPr>
      <w:r>
        <w:rPr>
          <w:rFonts w:ascii="Arial" w:cs="Arial" w:eastAsia="Arial" w:hAnsi="Arial"/>
          <w:sz w:val="16"/>
          <w:szCs w:val="16"/>
          <w:color w:val="FFFFFF"/>
        </w:rPr>
        <w:t>Proposal</w:t>
      </w:r>
    </w:p>
    <w:p>
      <w:pPr>
        <w:spacing w:after="0" w:line="191" w:lineRule="exact"/>
        <w:rPr>
          <w:sz w:val="20"/>
          <w:szCs w:val="20"/>
          <w:color w:val="auto"/>
        </w:rPr>
      </w:pPr>
    </w:p>
    <w:p>
      <w:pPr>
        <w:ind w:left="660"/>
        <w:spacing w:after="0" w:line="234" w:lineRule="auto"/>
        <w:rPr>
          <w:sz w:val="20"/>
          <w:szCs w:val="20"/>
          <w:color w:val="auto"/>
        </w:rPr>
      </w:pPr>
      <w:r>
        <w:rPr>
          <w:rFonts w:ascii="Arial" w:cs="Arial" w:eastAsia="Arial" w:hAnsi="Arial"/>
          <w:sz w:val="15"/>
          <w:szCs w:val="15"/>
          <w:u w:val="single" w:color="auto"/>
          <w:color w:val="050A35"/>
        </w:rPr>
        <w:t>Proposal 1</w:t>
      </w:r>
      <w:r>
        <w:rPr>
          <w:rFonts w:ascii="Arial" w:cs="Arial" w:eastAsia="Arial" w:hAnsi="Arial"/>
          <w:sz w:val="15"/>
          <w:szCs w:val="15"/>
          <w:color w:val="050A35"/>
        </w:rPr>
        <w:t>: Election of three directors, each to hold office for a three-year term ending on the date of the annual meeting of stockholders in 2029 and until such director's successor shall have been duly elected and qualified (or, if earlier, such director's disqualification, removal or resignation)</w:t>
      </w:r>
    </w:p>
    <w:p>
      <w:pPr>
        <w:spacing w:after="0" w:line="17" w:lineRule="exact"/>
        <w:rPr>
          <w:sz w:val="20"/>
          <w:szCs w:val="20"/>
          <w:color w:val="auto"/>
        </w:rPr>
      </w:pPr>
    </w:p>
    <w:p>
      <w:pPr>
        <w:ind w:left="660" w:right="160"/>
        <w:spacing w:after="0" w:line="264" w:lineRule="auto"/>
        <w:rPr>
          <w:sz w:val="20"/>
          <w:szCs w:val="20"/>
          <w:color w:val="auto"/>
        </w:rPr>
      </w:pPr>
      <w:r>
        <w:rPr>
          <w:rFonts w:ascii="Arial" w:cs="Arial" w:eastAsia="Arial" w:hAnsi="Arial"/>
          <w:sz w:val="15"/>
          <w:szCs w:val="15"/>
          <w:u w:val="single" w:color="auto"/>
          <w:color w:val="050A35"/>
        </w:rPr>
        <w:t>Proposal 2</w:t>
      </w:r>
      <w:r>
        <w:rPr>
          <w:rFonts w:ascii="Arial" w:cs="Arial" w:eastAsia="Arial" w:hAnsi="Arial"/>
          <w:sz w:val="15"/>
          <w:szCs w:val="15"/>
          <w:color w:val="050A35"/>
        </w:rPr>
        <w:t>: Advisory, non-binding vote to approve named executive officer compensation</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940" w:type="dxa"/>
            <w:vAlign w:val="bottom"/>
            <w:vMerge w:val="restart"/>
          </w:tcPr>
          <w:p>
            <w:pPr>
              <w:ind w:left="980"/>
              <w:spacing w:after="0"/>
              <w:rPr>
                <w:sz w:val="20"/>
                <w:szCs w:val="20"/>
                <w:color w:val="auto"/>
              </w:rPr>
            </w:pPr>
            <w:r>
              <w:rPr>
                <w:rFonts w:ascii="Arial" w:cs="Arial" w:eastAsia="Arial" w:hAnsi="Arial"/>
                <w:sz w:val="16"/>
                <w:szCs w:val="16"/>
                <w:color w:val="FFFFFF"/>
              </w:rPr>
              <w:t>Vote Required</w:t>
            </w:r>
          </w:p>
        </w:tc>
        <w:tc>
          <w:tcPr>
            <w:tcW w:w="2760" w:type="dxa"/>
            <w:vAlign w:val="bottom"/>
          </w:tcPr>
          <w:p>
            <w:pPr>
              <w:ind w:left="280"/>
              <w:spacing w:after="0"/>
              <w:rPr>
                <w:sz w:val="20"/>
                <w:szCs w:val="20"/>
                <w:color w:val="auto"/>
              </w:rPr>
            </w:pPr>
            <w:r>
              <w:rPr>
                <w:rFonts w:ascii="Arial" w:cs="Arial" w:eastAsia="Arial" w:hAnsi="Arial"/>
                <w:sz w:val="16"/>
                <w:szCs w:val="16"/>
                <w:color w:val="FFFFFF"/>
              </w:rPr>
              <w:t>Effect of Abstentions, "Withhold</w:t>
            </w:r>
          </w:p>
        </w:tc>
        <w:tc>
          <w:tcPr>
            <w:tcW w:w="0" w:type="dxa"/>
            <w:vAlign w:val="bottom"/>
          </w:tcPr>
          <w:p>
            <w:pPr>
              <w:spacing w:after="0"/>
              <w:rPr>
                <w:sz w:val="1"/>
                <w:szCs w:val="1"/>
                <w:color w:val="auto"/>
              </w:rPr>
            </w:pPr>
          </w:p>
        </w:tc>
      </w:tr>
      <w:tr>
        <w:trPr>
          <w:trHeight w:val="120"/>
        </w:trPr>
        <w:tc>
          <w:tcPr>
            <w:tcW w:w="2940" w:type="dxa"/>
            <w:vAlign w:val="bottom"/>
            <w:vMerge w:val="continue"/>
          </w:tcPr>
          <w:p>
            <w:pPr>
              <w:spacing w:after="0"/>
              <w:rPr>
                <w:sz w:val="10"/>
                <w:szCs w:val="10"/>
                <w:color w:val="auto"/>
              </w:rPr>
            </w:pPr>
          </w:p>
        </w:tc>
        <w:tc>
          <w:tcPr>
            <w:tcW w:w="2760" w:type="dxa"/>
            <w:vAlign w:val="bottom"/>
            <w:vMerge w:val="restart"/>
          </w:tcPr>
          <w:p>
            <w:pPr>
              <w:ind w:left="340"/>
              <w:spacing w:after="0"/>
              <w:rPr>
                <w:sz w:val="20"/>
                <w:szCs w:val="20"/>
                <w:color w:val="auto"/>
              </w:rPr>
            </w:pPr>
            <w:r>
              <w:rPr>
                <w:rFonts w:ascii="Arial" w:cs="Arial" w:eastAsia="Arial" w:hAnsi="Arial"/>
                <w:sz w:val="16"/>
                <w:szCs w:val="16"/>
                <w:color w:val="FFFFFF"/>
              </w:rPr>
              <w:t>Votes" and Broker Non-Votes*</w:t>
            </w:r>
          </w:p>
        </w:tc>
        <w:tc>
          <w:tcPr>
            <w:tcW w:w="0" w:type="dxa"/>
            <w:vAlign w:val="bottom"/>
          </w:tcPr>
          <w:p>
            <w:pPr>
              <w:spacing w:after="0"/>
              <w:rPr>
                <w:sz w:val="1"/>
                <w:szCs w:val="1"/>
                <w:color w:val="auto"/>
              </w:rPr>
            </w:pPr>
          </w:p>
        </w:tc>
      </w:tr>
      <w:tr>
        <w:trPr>
          <w:trHeight w:val="94"/>
        </w:trPr>
        <w:tc>
          <w:tcPr>
            <w:tcW w:w="294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940" w:type="dxa"/>
            <w:vAlign w:val="bottom"/>
          </w:tcPr>
          <w:p>
            <w:pPr>
              <w:spacing w:after="0"/>
              <w:rPr>
                <w:sz w:val="20"/>
                <w:szCs w:val="20"/>
                <w:color w:val="auto"/>
              </w:rPr>
            </w:pPr>
            <w:r>
              <w:rPr>
                <w:rFonts w:ascii="Arial" w:cs="Arial" w:eastAsia="Arial" w:hAnsi="Arial"/>
                <w:sz w:val="15"/>
                <w:szCs w:val="15"/>
                <w:color w:val="050A35"/>
              </w:rPr>
              <w:t>Plurality of the votes cast.</w:t>
            </w:r>
          </w:p>
        </w:tc>
        <w:tc>
          <w:tcPr>
            <w:tcW w:w="2760" w:type="dxa"/>
            <w:vAlign w:val="bottom"/>
          </w:tcPr>
          <w:p>
            <w:pPr>
              <w:ind w:left="60"/>
              <w:spacing w:after="0"/>
              <w:rPr>
                <w:sz w:val="20"/>
                <w:szCs w:val="20"/>
                <w:color w:val="auto"/>
              </w:rPr>
            </w:pPr>
            <w:r>
              <w:rPr>
                <w:rFonts w:ascii="Arial" w:cs="Arial" w:eastAsia="Arial" w:hAnsi="Arial"/>
                <w:sz w:val="15"/>
                <w:szCs w:val="15"/>
                <w:color w:val="050A35"/>
              </w:rPr>
              <w:t>Withhold votes and broker non-votes</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2760" w:type="dxa"/>
            <w:vAlign w:val="bottom"/>
          </w:tcPr>
          <w:p>
            <w:pPr>
              <w:ind w:left="60"/>
              <w:spacing w:after="0" w:line="162" w:lineRule="exact"/>
              <w:rPr>
                <w:sz w:val="20"/>
                <w:szCs w:val="20"/>
                <w:color w:val="auto"/>
              </w:rPr>
            </w:pPr>
            <w:r>
              <w:rPr>
                <w:rFonts w:ascii="Arial" w:cs="Arial" w:eastAsia="Arial" w:hAnsi="Arial"/>
                <w:sz w:val="15"/>
                <w:szCs w:val="15"/>
                <w:color w:val="050A35"/>
              </w:rPr>
              <w:t>will have no effect on the outcome of</w:t>
            </w:r>
          </w:p>
        </w:tc>
        <w:tc>
          <w:tcPr>
            <w:tcW w:w="0" w:type="dxa"/>
            <w:vAlign w:val="bottom"/>
          </w:tcPr>
          <w:p>
            <w:pPr>
              <w:spacing w:after="0"/>
              <w:rPr>
                <w:sz w:val="1"/>
                <w:szCs w:val="1"/>
                <w:color w:val="auto"/>
              </w:rPr>
            </w:pPr>
          </w:p>
        </w:tc>
      </w:tr>
      <w:tr>
        <w:trPr>
          <w:trHeight w:val="200"/>
        </w:trPr>
        <w:tc>
          <w:tcPr>
            <w:tcW w:w="2940" w:type="dxa"/>
            <w:vAlign w:val="bottom"/>
          </w:tcPr>
          <w:p>
            <w:pPr>
              <w:spacing w:after="0"/>
              <w:rPr>
                <w:sz w:val="17"/>
                <w:szCs w:val="17"/>
                <w:color w:val="auto"/>
              </w:rPr>
            </w:pPr>
          </w:p>
        </w:tc>
        <w:tc>
          <w:tcPr>
            <w:tcW w:w="2760" w:type="dxa"/>
            <w:vAlign w:val="bottom"/>
          </w:tcPr>
          <w:p>
            <w:pPr>
              <w:ind w:left="60"/>
              <w:spacing w:after="0"/>
              <w:rPr>
                <w:sz w:val="20"/>
                <w:szCs w:val="20"/>
                <w:color w:val="auto"/>
              </w:rPr>
            </w:pPr>
            <w:r>
              <w:rPr>
                <w:rFonts w:ascii="Arial" w:cs="Arial" w:eastAsia="Arial" w:hAnsi="Arial"/>
                <w:sz w:val="15"/>
                <w:szCs w:val="15"/>
                <w:color w:val="050A35"/>
              </w:rPr>
              <w:t>the election.</w:t>
            </w:r>
          </w:p>
        </w:tc>
        <w:tc>
          <w:tcPr>
            <w:tcW w:w="0" w:type="dxa"/>
            <w:vAlign w:val="bottom"/>
          </w:tcPr>
          <w:p>
            <w:pPr>
              <w:spacing w:after="0"/>
              <w:rPr>
                <w:sz w:val="1"/>
                <w:szCs w:val="1"/>
                <w:color w:val="auto"/>
              </w:rPr>
            </w:pPr>
          </w:p>
        </w:tc>
      </w:tr>
      <w:tr>
        <w:trPr>
          <w:trHeight w:val="664"/>
        </w:trPr>
        <w:tc>
          <w:tcPr>
            <w:tcW w:w="2940" w:type="dxa"/>
            <w:vAlign w:val="bottom"/>
          </w:tcPr>
          <w:p>
            <w:pPr>
              <w:spacing w:after="0"/>
              <w:rPr>
                <w:sz w:val="20"/>
                <w:szCs w:val="20"/>
                <w:color w:val="auto"/>
              </w:rPr>
            </w:pPr>
            <w:r>
              <w:rPr>
                <w:rFonts w:ascii="Arial" w:cs="Arial" w:eastAsia="Arial" w:hAnsi="Arial"/>
                <w:sz w:val="15"/>
                <w:szCs w:val="15"/>
                <w:color w:val="050A35"/>
              </w:rPr>
              <w:t>The affirmative vote of a majority of the</w:t>
            </w:r>
          </w:p>
        </w:tc>
        <w:tc>
          <w:tcPr>
            <w:tcW w:w="2760" w:type="dxa"/>
            <w:vAlign w:val="bottom"/>
          </w:tcPr>
          <w:p>
            <w:pPr>
              <w:ind w:left="60"/>
              <w:spacing w:after="0"/>
              <w:rPr>
                <w:sz w:val="20"/>
                <w:szCs w:val="20"/>
                <w:color w:val="auto"/>
              </w:rPr>
            </w:pPr>
            <w:r>
              <w:rPr>
                <w:rFonts w:ascii="Arial" w:cs="Arial" w:eastAsia="Arial" w:hAnsi="Arial"/>
                <w:sz w:val="15"/>
                <w:szCs w:val="15"/>
                <w:color w:val="050A35"/>
              </w:rPr>
              <w:t>Abstentions will have the effect of a</w:t>
            </w:r>
          </w:p>
        </w:tc>
        <w:tc>
          <w:tcPr>
            <w:tcW w:w="0" w:type="dxa"/>
            <w:vAlign w:val="bottom"/>
          </w:tcPr>
          <w:p>
            <w:pPr>
              <w:spacing w:after="0"/>
              <w:rPr>
                <w:sz w:val="1"/>
                <w:szCs w:val="1"/>
                <w:color w:val="auto"/>
              </w:rPr>
            </w:pPr>
          </w:p>
        </w:tc>
      </w:tr>
      <w:tr>
        <w:trPr>
          <w:trHeight w:val="162"/>
        </w:trPr>
        <w:tc>
          <w:tcPr>
            <w:tcW w:w="2940" w:type="dxa"/>
            <w:vAlign w:val="bottom"/>
          </w:tcPr>
          <w:p>
            <w:pPr>
              <w:spacing w:after="0" w:line="162" w:lineRule="exact"/>
              <w:rPr>
                <w:sz w:val="20"/>
                <w:szCs w:val="20"/>
                <w:color w:val="auto"/>
              </w:rPr>
            </w:pPr>
            <w:r>
              <w:rPr>
                <w:rFonts w:ascii="Arial" w:cs="Arial" w:eastAsia="Arial" w:hAnsi="Arial"/>
                <w:sz w:val="15"/>
                <w:szCs w:val="15"/>
                <w:color w:val="050A35"/>
              </w:rPr>
              <w:t>combined voting power of the common</w:t>
            </w:r>
          </w:p>
        </w:tc>
        <w:tc>
          <w:tcPr>
            <w:tcW w:w="2760" w:type="dxa"/>
            <w:vAlign w:val="bottom"/>
          </w:tcPr>
          <w:p>
            <w:pPr>
              <w:ind w:left="60"/>
              <w:spacing w:after="0" w:line="162" w:lineRule="exact"/>
              <w:rPr>
                <w:sz w:val="20"/>
                <w:szCs w:val="20"/>
                <w:color w:val="auto"/>
              </w:rPr>
            </w:pPr>
            <w:r>
              <w:rPr>
                <w:rFonts w:ascii="Arial" w:cs="Arial" w:eastAsia="Arial" w:hAnsi="Arial"/>
                <w:sz w:val="15"/>
                <w:szCs w:val="15"/>
                <w:color w:val="050A35"/>
              </w:rPr>
              <w:t>vote against. Broker non-votes will have</w:t>
            </w:r>
          </w:p>
        </w:tc>
        <w:tc>
          <w:tcPr>
            <w:tcW w:w="0" w:type="dxa"/>
            <w:vAlign w:val="bottom"/>
          </w:tcPr>
          <w:p>
            <w:pPr>
              <w:spacing w:after="0"/>
              <w:rPr>
                <w:sz w:val="1"/>
                <w:szCs w:val="1"/>
                <w:color w:val="auto"/>
              </w:rPr>
            </w:pPr>
          </w:p>
        </w:tc>
      </w:tr>
      <w:tr>
        <w:trPr>
          <w:trHeight w:val="162"/>
        </w:trPr>
        <w:tc>
          <w:tcPr>
            <w:tcW w:w="5700" w:type="dxa"/>
            <w:vAlign w:val="bottom"/>
            <w:gridSpan w:val="2"/>
          </w:tcPr>
          <w:p>
            <w:pPr>
              <w:spacing w:after="0" w:line="162" w:lineRule="exact"/>
              <w:rPr>
                <w:sz w:val="20"/>
                <w:szCs w:val="20"/>
                <w:color w:val="auto"/>
              </w:rPr>
            </w:pPr>
            <w:r>
              <w:rPr>
                <w:rFonts w:ascii="Arial" w:cs="Arial" w:eastAsia="Arial" w:hAnsi="Arial"/>
                <w:sz w:val="15"/>
                <w:szCs w:val="15"/>
                <w:color w:val="050A35"/>
              </w:rPr>
              <w:t>stock present at the meeting or represented no effect on the outcome of this</w:t>
            </w:r>
          </w:p>
        </w:tc>
        <w:tc>
          <w:tcPr>
            <w:tcW w:w="0" w:type="dxa"/>
            <w:vAlign w:val="bottom"/>
          </w:tcPr>
          <w:p>
            <w:pPr>
              <w:spacing w:after="0"/>
              <w:rPr>
                <w:sz w:val="1"/>
                <w:szCs w:val="1"/>
                <w:color w:val="auto"/>
              </w:rPr>
            </w:pPr>
          </w:p>
        </w:tc>
      </w:tr>
      <w:tr>
        <w:trPr>
          <w:trHeight w:val="200"/>
        </w:trPr>
        <w:tc>
          <w:tcPr>
            <w:tcW w:w="2940" w:type="dxa"/>
            <w:vAlign w:val="bottom"/>
          </w:tcPr>
          <w:p>
            <w:pPr>
              <w:spacing w:after="0"/>
              <w:rPr>
                <w:sz w:val="20"/>
                <w:szCs w:val="20"/>
                <w:color w:val="auto"/>
              </w:rPr>
            </w:pPr>
            <w:r>
              <w:rPr>
                <w:rFonts w:ascii="Arial" w:cs="Arial" w:eastAsia="Arial" w:hAnsi="Arial"/>
                <w:sz w:val="15"/>
                <w:szCs w:val="15"/>
                <w:color w:val="050A35"/>
              </w:rPr>
              <w:t>by proxy and entitled to vote on the matter.</w:t>
            </w:r>
          </w:p>
        </w:tc>
        <w:tc>
          <w:tcPr>
            <w:tcW w:w="2760" w:type="dxa"/>
            <w:vAlign w:val="bottom"/>
          </w:tcPr>
          <w:p>
            <w:pPr>
              <w:ind w:left="60"/>
              <w:spacing w:after="0"/>
              <w:rPr>
                <w:sz w:val="20"/>
                <w:szCs w:val="20"/>
                <w:color w:val="auto"/>
              </w:rPr>
            </w:pPr>
            <w:r>
              <w:rPr>
                <w:rFonts w:ascii="Arial" w:cs="Arial" w:eastAsia="Arial" w:hAnsi="Arial"/>
                <w:sz w:val="15"/>
                <w:szCs w:val="15"/>
                <w:color w:val="050A35"/>
              </w:rPr>
              <w:t>proposal.</w:t>
            </w:r>
          </w:p>
        </w:tc>
        <w:tc>
          <w:tcPr>
            <w:tcW w:w="0" w:type="dxa"/>
            <w:vAlign w:val="bottom"/>
          </w:tcPr>
          <w:p>
            <w:pPr>
              <w:spacing w:after="0"/>
              <w:rPr>
                <w:sz w:val="1"/>
                <w:szCs w:val="1"/>
                <w:color w:val="auto"/>
              </w:rPr>
            </w:pPr>
          </w:p>
        </w:tc>
      </w:tr>
    </w:tbl>
    <w:p>
      <w:pPr>
        <w:spacing w:after="0" w:line="16" w:lineRule="exact"/>
        <w:rPr>
          <w:sz w:val="20"/>
          <w:szCs w:val="20"/>
          <w:color w:val="auto"/>
        </w:rPr>
      </w:pPr>
    </w:p>
    <w:p>
      <w:pPr>
        <w:sectPr>
          <w:pgSz w:w="11900" w:h="16838" w:orient="portrait"/>
          <w:cols w:equalWidth="0" w:num="2">
            <w:col w:w="4200" w:space="120"/>
            <w:col w:w="6400"/>
          </w:cols>
          <w:pgMar w:left="580" w:top="775" w:right="599" w:bottom="1440" w:gutter="0" w:footer="0" w:header="0"/>
          <w:type w:val="continuous"/>
        </w:sectPr>
      </w:pPr>
    </w:p>
    <w:p>
      <w:pPr>
        <w:ind w:left="660"/>
        <w:spacing w:after="0" w:line="244" w:lineRule="auto"/>
        <w:rPr>
          <w:sz w:val="20"/>
          <w:szCs w:val="20"/>
          <w:color w:val="auto"/>
        </w:rPr>
      </w:pPr>
      <w:r>
        <w:rPr>
          <w:rFonts w:ascii="Arial" w:cs="Arial" w:eastAsia="Arial" w:hAnsi="Arial"/>
          <w:sz w:val="15"/>
          <w:szCs w:val="15"/>
          <w:u w:val="single" w:color="auto"/>
          <w:color w:val="050A35"/>
        </w:rPr>
        <w:t>Proposal 3</w:t>
      </w:r>
      <w:r>
        <w:rPr>
          <w:rFonts w:ascii="Arial" w:cs="Arial" w:eastAsia="Arial" w:hAnsi="Arial"/>
          <w:sz w:val="15"/>
          <w:szCs w:val="15"/>
          <w:color w:val="050A35"/>
        </w:rPr>
        <w:t>: Advisory, non-binding vote on the frequency of future advisory votes to approve named executive officer compensation</w:t>
      </w:r>
    </w:p>
    <w:p>
      <w:pPr>
        <w:spacing w:after="0" w:line="338" w:lineRule="exact"/>
        <w:rPr>
          <w:sz w:val="20"/>
          <w:szCs w:val="20"/>
          <w:color w:val="auto"/>
        </w:rPr>
      </w:pPr>
    </w:p>
    <w:p>
      <w:pPr>
        <w:jc w:val="both"/>
        <w:ind w:left="660"/>
        <w:spacing w:after="0" w:line="244" w:lineRule="auto"/>
        <w:rPr>
          <w:sz w:val="20"/>
          <w:szCs w:val="20"/>
          <w:color w:val="auto"/>
        </w:rPr>
      </w:pPr>
      <w:r>
        <w:rPr>
          <w:rFonts w:ascii="Arial" w:cs="Arial" w:eastAsia="Arial" w:hAnsi="Arial"/>
          <w:sz w:val="15"/>
          <w:szCs w:val="15"/>
          <w:u w:val="single" w:color="auto"/>
          <w:color w:val="050A35"/>
        </w:rPr>
        <w:t>Proposal 4</w:t>
      </w:r>
      <w:r>
        <w:rPr>
          <w:rFonts w:ascii="Arial" w:cs="Arial" w:eastAsia="Arial" w:hAnsi="Arial"/>
          <w:sz w:val="15"/>
          <w:szCs w:val="15"/>
          <w:color w:val="050A35"/>
        </w:rPr>
        <w:t>: Ratification of the appointment of KPMG LLP as our independent registered public accounting firm for the fiscal year ending December 31, 2026</w:t>
      </w:r>
    </w:p>
    <w:p>
      <w:pPr>
        <w:spacing w:after="0" w:line="20" w:lineRule="exact"/>
        <w:rPr>
          <w:sz w:val="20"/>
          <w:szCs w:val="20"/>
          <w:color w:val="auto"/>
        </w:rPr>
      </w:pPr>
      <w:r>
        <w:rPr>
          <w:sz w:val="20"/>
          <w:szCs w:val="20"/>
          <w:color w:val="auto"/>
        </w:rPr>
        <w:br w:type="column"/>
      </w:r>
    </w:p>
    <w:p>
      <w:pPr>
        <w:spacing w:after="0"/>
        <w:tabs>
          <w:tab w:leader="none" w:pos="2980" w:val="left"/>
        </w:tabs>
        <w:rPr>
          <w:sz w:val="20"/>
          <w:szCs w:val="20"/>
          <w:color w:val="auto"/>
        </w:rPr>
      </w:pPr>
      <w:r>
        <w:rPr>
          <w:rFonts w:ascii="Arial" w:cs="Arial" w:eastAsia="Arial" w:hAnsi="Arial"/>
          <w:sz w:val="15"/>
          <w:szCs w:val="15"/>
          <w:color w:val="050A35"/>
        </w:rPr>
        <w:t>The affirmative vote of a majority of the</w:t>
      </w:r>
      <w:r>
        <w:rPr>
          <w:sz w:val="20"/>
          <w:szCs w:val="20"/>
          <w:color w:val="auto"/>
        </w:rPr>
        <w:tab/>
      </w:r>
      <w:r>
        <w:rPr>
          <w:rFonts w:ascii="Arial" w:cs="Arial" w:eastAsia="Arial" w:hAnsi="Arial"/>
          <w:sz w:val="15"/>
          <w:szCs w:val="15"/>
          <w:color w:val="050A35"/>
        </w:rPr>
        <w:t>Abstentions will have the effect of a</w:t>
      </w:r>
    </w:p>
    <w:p>
      <w:pPr>
        <w:spacing w:after="0" w:line="230" w:lineRule="auto"/>
        <w:tabs>
          <w:tab w:leader="none" w:pos="2980" w:val="left"/>
        </w:tabs>
        <w:rPr>
          <w:sz w:val="20"/>
          <w:szCs w:val="20"/>
          <w:color w:val="auto"/>
        </w:rPr>
      </w:pPr>
      <w:r>
        <w:rPr>
          <w:rFonts w:ascii="Arial" w:cs="Arial" w:eastAsia="Arial" w:hAnsi="Arial"/>
          <w:sz w:val="15"/>
          <w:szCs w:val="15"/>
          <w:color w:val="050A35"/>
        </w:rPr>
        <w:t>combined voting power of the common</w:t>
      </w:r>
      <w:r>
        <w:rPr>
          <w:sz w:val="20"/>
          <w:szCs w:val="20"/>
          <w:color w:val="auto"/>
        </w:rPr>
        <w:tab/>
      </w:r>
      <w:r>
        <w:rPr>
          <w:rFonts w:ascii="Arial" w:cs="Arial" w:eastAsia="Arial" w:hAnsi="Arial"/>
          <w:sz w:val="15"/>
          <w:szCs w:val="15"/>
          <w:color w:val="050A35"/>
        </w:rPr>
        <w:t>vote against. Broker non-votes will have</w:t>
      </w:r>
    </w:p>
    <w:p>
      <w:pPr>
        <w:spacing w:after="0" w:line="225" w:lineRule="auto"/>
        <w:rPr>
          <w:sz w:val="20"/>
          <w:szCs w:val="20"/>
          <w:color w:val="auto"/>
        </w:rPr>
      </w:pPr>
      <w:r>
        <w:rPr>
          <w:rFonts w:ascii="Arial" w:cs="Arial" w:eastAsia="Arial" w:hAnsi="Arial"/>
          <w:sz w:val="15"/>
          <w:szCs w:val="15"/>
          <w:color w:val="050A35"/>
        </w:rPr>
        <w:t>stock present at the meeting or represented no effect on the outcome of this</w:t>
      </w:r>
    </w:p>
    <w:p>
      <w:pPr>
        <w:spacing w:after="0" w:line="226" w:lineRule="auto"/>
        <w:tabs>
          <w:tab w:leader="none" w:pos="2980" w:val="left"/>
        </w:tabs>
        <w:rPr>
          <w:sz w:val="20"/>
          <w:szCs w:val="20"/>
          <w:color w:val="auto"/>
        </w:rPr>
      </w:pPr>
      <w:r>
        <w:rPr>
          <w:rFonts w:ascii="Arial" w:cs="Arial" w:eastAsia="Arial" w:hAnsi="Arial"/>
          <w:sz w:val="15"/>
          <w:szCs w:val="15"/>
          <w:color w:val="050A35"/>
        </w:rPr>
        <w:t>by proxy and entitled to vote on the</w:t>
      </w:r>
      <w:r>
        <w:rPr>
          <w:sz w:val="20"/>
          <w:szCs w:val="20"/>
          <w:color w:val="auto"/>
        </w:rPr>
        <w:tab/>
      </w:r>
      <w:r>
        <w:rPr>
          <w:rFonts w:ascii="Arial" w:cs="Arial" w:eastAsia="Arial" w:hAnsi="Arial"/>
          <w:sz w:val="15"/>
          <w:szCs w:val="15"/>
          <w:color w:val="050A35"/>
        </w:rPr>
        <w:t>proposal.</w:t>
      </w:r>
    </w:p>
    <w:p>
      <w:pPr>
        <w:spacing w:after="0"/>
        <w:rPr>
          <w:sz w:val="20"/>
          <w:szCs w:val="20"/>
          <w:color w:val="auto"/>
        </w:rPr>
      </w:pPr>
      <w:r>
        <w:rPr>
          <w:rFonts w:ascii="Arial" w:cs="Arial" w:eastAsia="Arial" w:hAnsi="Arial"/>
          <w:sz w:val="15"/>
          <w:szCs w:val="15"/>
          <w:color w:val="050A35"/>
        </w:rPr>
        <w:t>matter.**</w:t>
      </w:r>
    </w:p>
    <w:p>
      <w:pPr>
        <w:spacing w:after="0" w:line="30" w:lineRule="exact"/>
        <w:rPr>
          <w:sz w:val="20"/>
          <w:szCs w:val="20"/>
          <w:color w:val="auto"/>
        </w:rPr>
      </w:pPr>
    </w:p>
    <w:p>
      <w:pPr>
        <w:spacing w:after="0"/>
        <w:tabs>
          <w:tab w:leader="none" w:pos="2980" w:val="left"/>
        </w:tabs>
        <w:rPr>
          <w:sz w:val="20"/>
          <w:szCs w:val="20"/>
          <w:color w:val="auto"/>
        </w:rPr>
      </w:pPr>
      <w:r>
        <w:rPr>
          <w:rFonts w:ascii="Arial" w:cs="Arial" w:eastAsia="Arial" w:hAnsi="Arial"/>
          <w:sz w:val="15"/>
          <w:szCs w:val="15"/>
          <w:color w:val="050A35"/>
        </w:rPr>
        <w:t>The affirmative vote of a majority of the</w:t>
      </w:r>
      <w:r>
        <w:rPr>
          <w:sz w:val="20"/>
          <w:szCs w:val="20"/>
          <w:color w:val="auto"/>
        </w:rPr>
        <w:tab/>
      </w:r>
      <w:r>
        <w:rPr>
          <w:rFonts w:ascii="Arial" w:cs="Arial" w:eastAsia="Arial" w:hAnsi="Arial"/>
          <w:sz w:val="15"/>
          <w:szCs w:val="15"/>
          <w:color w:val="050A35"/>
        </w:rPr>
        <w:t>Abstentions will have the effect of a</w:t>
      </w:r>
    </w:p>
    <w:p>
      <w:pPr>
        <w:spacing w:after="0" w:line="230" w:lineRule="auto"/>
        <w:tabs>
          <w:tab w:leader="none" w:pos="2980" w:val="left"/>
        </w:tabs>
        <w:rPr>
          <w:sz w:val="20"/>
          <w:szCs w:val="20"/>
          <w:color w:val="auto"/>
        </w:rPr>
      </w:pPr>
      <w:r>
        <w:rPr>
          <w:rFonts w:ascii="Arial" w:cs="Arial" w:eastAsia="Arial" w:hAnsi="Arial"/>
          <w:sz w:val="15"/>
          <w:szCs w:val="15"/>
          <w:color w:val="050A35"/>
        </w:rPr>
        <w:t>combined voting power of the common</w:t>
      </w:r>
      <w:r>
        <w:rPr>
          <w:sz w:val="20"/>
          <w:szCs w:val="20"/>
          <w:color w:val="auto"/>
        </w:rPr>
        <w:tab/>
      </w:r>
      <w:r>
        <w:rPr>
          <w:rFonts w:ascii="Arial" w:cs="Arial" w:eastAsia="Arial" w:hAnsi="Arial"/>
          <w:sz w:val="15"/>
          <w:szCs w:val="15"/>
          <w:color w:val="050A35"/>
        </w:rPr>
        <w:t>vote against.</w:t>
      </w:r>
    </w:p>
    <w:p>
      <w:pPr>
        <w:spacing w:after="0" w:line="225" w:lineRule="auto"/>
        <w:rPr>
          <w:sz w:val="20"/>
          <w:szCs w:val="20"/>
          <w:color w:val="auto"/>
        </w:rPr>
      </w:pPr>
      <w:r>
        <w:rPr>
          <w:rFonts w:ascii="Arial" w:cs="Arial" w:eastAsia="Arial" w:hAnsi="Arial"/>
          <w:sz w:val="15"/>
          <w:szCs w:val="15"/>
          <w:color w:val="050A35"/>
        </w:rPr>
        <w:t>stock present at the meeting or represented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050A35"/>
        </w:rPr>
        <w:t>by proxy and entitled to vote on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-3810</wp:posOffset>
            </wp:positionV>
            <wp:extent cx="59664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11" w:lineRule="exact"/>
        <w:rPr>
          <w:sz w:val="20"/>
          <w:szCs w:val="20"/>
          <w:color w:val="auto"/>
        </w:rPr>
      </w:pPr>
    </w:p>
    <w:p>
      <w:pPr>
        <w:sectPr>
          <w:pgSz w:w="11900" w:h="16838" w:orient="portrait"/>
          <w:cols w:equalWidth="0" w:num="2">
            <w:col w:w="4240" w:space="80"/>
            <w:col w:w="6400"/>
          </w:cols>
          <w:pgMar w:left="580" w:top="775" w:right="599" w:bottom="1440" w:gutter="0" w:footer="0" w:header="0"/>
          <w:type w:val="continuous"/>
        </w:sectPr>
      </w:pPr>
    </w:p>
    <w:p>
      <w:pPr>
        <w:ind w:left="660" w:right="680" w:firstLine="6"/>
        <w:spacing w:after="0" w:line="236" w:lineRule="auto"/>
        <w:tabs>
          <w:tab w:leader="none" w:pos="762" w:val="left"/>
        </w:tabs>
        <w:numPr>
          <w:ilvl w:val="0"/>
          <w:numId w:val="8"/>
        </w:numPr>
        <w:rPr>
          <w:rFonts w:ascii="Arial" w:cs="Arial" w:eastAsia="Arial" w:hAnsi="Arial"/>
          <w:sz w:val="15"/>
          <w:szCs w:val="15"/>
          <w:color w:val="050A35"/>
        </w:rPr>
      </w:pPr>
      <w:r>
        <w:rPr>
          <w:rFonts w:ascii="Arial" w:cs="Arial" w:eastAsia="Arial" w:hAnsi="Arial"/>
          <w:sz w:val="15"/>
          <w:szCs w:val="15"/>
          <w:color w:val="050A35"/>
        </w:rPr>
        <w:t>A broker non-vote occurs when a broker submits a proxy but does not vote on a proposal because it is not a “routine” item under NYSE rules and the broker has not received voting instructions from the beneficial owner of the shares. Proposal 1, 2, and 3 are non-routine matters and may not be voted on by your broker absent specific voting instructions from you. If your broker does not receive specific voting instructions from you, a "broker non-vote" will occur for these proposals. Proposal 4 is a routine matter and your broker may vote without your instructions on this proposal in their discretion; therefore, no broker non-votes are expected for Proposal 4.</w:t>
      </w:r>
    </w:p>
    <w:p>
      <w:pPr>
        <w:spacing w:after="0" w:line="70" w:lineRule="exact"/>
        <w:rPr>
          <w:sz w:val="20"/>
          <w:szCs w:val="20"/>
          <w:color w:val="auto"/>
        </w:rPr>
      </w:pPr>
    </w:p>
    <w:p>
      <w:pPr>
        <w:ind w:left="660" w:right="920"/>
        <w:spacing w:after="0" w:line="238" w:lineRule="auto"/>
        <w:rPr>
          <w:sz w:val="20"/>
          <w:szCs w:val="20"/>
          <w:color w:val="auto"/>
        </w:rPr>
      </w:pPr>
      <w:r>
        <w:rPr>
          <w:rFonts w:ascii="Arial" w:cs="Arial" w:eastAsia="Arial" w:hAnsi="Arial"/>
          <w:sz w:val="15"/>
          <w:szCs w:val="15"/>
          <w:color w:val="050A35"/>
        </w:rPr>
        <w:t>**Approval of any particular frequency requires the affirmative vote of a majority of the combined voting power of the shares of common stock present at the meeting in person or by proxy and entitled to vote. Because this Proposal has four choices, it is possible that no choice will receive a majority of the combined voting power. If no choice receives a majority of the combined voting power, our Board of Directors will consider the choice that receives the highest number of votes as the choice supported by our stockholders.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What are the Board’s recommendations?</w:t>
      </w:r>
    </w:p>
    <w:p>
      <w:pPr>
        <w:spacing w:after="0" w:line="106" w:lineRule="exact"/>
        <w:rPr>
          <w:sz w:val="20"/>
          <w:szCs w:val="20"/>
          <w:color w:val="auto"/>
        </w:rPr>
      </w:pPr>
    </w:p>
    <w:p>
      <w:pPr>
        <w:ind w:left="660" w:right="660"/>
        <w:spacing w:after="0" w:line="238" w:lineRule="auto"/>
        <w:rPr>
          <w:sz w:val="20"/>
          <w:szCs w:val="20"/>
          <w:color w:val="auto"/>
        </w:rPr>
      </w:pPr>
      <w:r>
        <w:rPr>
          <w:rFonts w:ascii="Arial" w:cs="Arial" w:eastAsia="Arial" w:hAnsi="Arial"/>
          <w:sz w:val="15"/>
          <w:szCs w:val="15"/>
          <w:color w:val="050A35"/>
        </w:rPr>
        <w:t>Our Board of Directors recommends a vote: (i) FOR the election of each of the director nominees, (ii) FOR the approval, on an advisory basis, of the compensation of our named executive officers, as disclosed in this Proxy Statement, (iii) 1 YEAR, on an advisory basis, as the frequency of future advisory votes to approve the compensation of our named executive officers and (iv) FOR the ratification of the appointment of KPMG LLP as our independent registered public accounting firm for the 2026 fiscal year.</w:t>
      </w:r>
    </w:p>
    <w:p>
      <w:pPr>
        <w:spacing w:after="0" w:line="72" w:lineRule="exact"/>
        <w:rPr>
          <w:sz w:val="20"/>
          <w:szCs w:val="20"/>
          <w:color w:val="auto"/>
        </w:rPr>
      </w:pPr>
    </w:p>
    <w:p>
      <w:pPr>
        <w:ind w:left="660" w:right="880"/>
        <w:spacing w:after="0" w:line="238" w:lineRule="auto"/>
        <w:rPr>
          <w:sz w:val="20"/>
          <w:szCs w:val="20"/>
          <w:color w:val="auto"/>
        </w:rPr>
      </w:pPr>
      <w:r>
        <w:rPr>
          <w:rFonts w:ascii="Arial" w:cs="Arial" w:eastAsia="Arial" w:hAnsi="Arial"/>
          <w:sz w:val="15"/>
          <w:szCs w:val="15"/>
          <w:color w:val="050A35"/>
        </w:rPr>
        <w:t>Unless contrary instructions are indicated on the enclosed proxy, all shares represented by valid proxies received pursuant to this solicitation (and which have not been revoked in accordance with the procedures set forth below) will be voted in accordance with these recommendations, and in accordance with the recommendation of our Board of Directors, on all other matters as may properly come before the Annual Meeting.</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How do I vote?</w:t>
      </w:r>
    </w:p>
    <w:p>
      <w:pPr>
        <w:spacing w:after="0" w:line="106" w:lineRule="exact"/>
        <w:rPr>
          <w:sz w:val="20"/>
          <w:szCs w:val="20"/>
          <w:color w:val="auto"/>
        </w:rPr>
      </w:pPr>
    </w:p>
    <w:p>
      <w:pPr>
        <w:ind w:left="660" w:right="780"/>
        <w:spacing w:after="0" w:line="238" w:lineRule="auto"/>
        <w:rPr>
          <w:sz w:val="20"/>
          <w:szCs w:val="20"/>
          <w:color w:val="auto"/>
        </w:rPr>
      </w:pPr>
      <w:r>
        <w:rPr>
          <w:rFonts w:ascii="Arial" w:cs="Arial" w:eastAsia="Arial" w:hAnsi="Arial"/>
          <w:sz w:val="15"/>
          <w:szCs w:val="15"/>
          <w:color w:val="050A35"/>
        </w:rPr>
        <w:t xml:space="preserve">If you are a </w:t>
      </w:r>
      <w:r>
        <w:rPr>
          <w:rFonts w:ascii="Arial" w:cs="Arial" w:eastAsia="Arial" w:hAnsi="Arial"/>
          <w:sz w:val="15"/>
          <w:szCs w:val="15"/>
          <w:b w:val="1"/>
          <w:bCs w:val="1"/>
          <w:i w:val="1"/>
          <w:iCs w:val="1"/>
          <w:color w:val="112B19"/>
        </w:rPr>
        <w:t>holder of record</w:t>
      </w:r>
      <w:r>
        <w:rPr>
          <w:rFonts w:ascii="Arial" w:cs="Arial" w:eastAsia="Arial" w:hAnsi="Arial"/>
          <w:sz w:val="15"/>
          <w:szCs w:val="15"/>
          <w:color w:val="050A35"/>
        </w:rPr>
        <w:t xml:space="preserve"> (that is, if your shares are registered in your own name with our transfer agent), you may vote using the enclosed proxy card. Voting instructions are provided on the proxy card contained in the proxy materials. Holders of record may vote their shares by regular mail, by phone at 1-866-402-3905, online at www.FCRvote.com/RPC, or in person at the Annual Meeting. Online and telephone proxy voting are available 24 hours a day and will close at 11:59 p.m., Eastern Time, on June 17, 2026.</w:t>
      </w:r>
    </w:p>
    <w:p>
      <w:pPr>
        <w:spacing w:after="0" w:line="72" w:lineRule="exact"/>
        <w:rPr>
          <w:sz w:val="20"/>
          <w:szCs w:val="20"/>
          <w:color w:val="auto"/>
        </w:rPr>
      </w:pPr>
    </w:p>
    <w:p>
      <w:pPr>
        <w:ind w:left="660" w:right="740"/>
        <w:spacing w:after="0" w:line="264" w:lineRule="auto"/>
        <w:rPr>
          <w:sz w:val="20"/>
          <w:szCs w:val="20"/>
          <w:color w:val="auto"/>
        </w:rPr>
      </w:pPr>
      <w:r>
        <w:rPr>
          <w:rFonts w:ascii="Arial" w:cs="Arial" w:eastAsia="Arial" w:hAnsi="Arial"/>
          <w:sz w:val="15"/>
          <w:szCs w:val="15"/>
          <w:color w:val="050A35"/>
        </w:rPr>
        <w:t xml:space="preserve">If you are a </w:t>
      </w:r>
      <w:r>
        <w:rPr>
          <w:rFonts w:ascii="Arial" w:cs="Arial" w:eastAsia="Arial" w:hAnsi="Arial"/>
          <w:sz w:val="15"/>
          <w:szCs w:val="15"/>
          <w:b w:val="1"/>
          <w:bCs w:val="1"/>
          <w:i w:val="1"/>
          <w:iCs w:val="1"/>
          <w:color w:val="112B19"/>
        </w:rPr>
        <w:t>street name holder</w:t>
      </w:r>
      <w:r>
        <w:rPr>
          <w:rFonts w:ascii="Arial" w:cs="Arial" w:eastAsia="Arial" w:hAnsi="Arial"/>
          <w:sz w:val="15"/>
          <w:szCs w:val="15"/>
          <w:color w:val="050A35"/>
        </w:rPr>
        <w:t xml:space="preserve"> (that is, if you hold your shares through a broker), you must vote in accordance with the voting instruction form provided by your broker. The availability of telephone or internet voting will depend upon your broker’s voting process.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820" w:type="dxa"/>
            <w:vAlign w:val="bottom"/>
          </w:tcPr>
          <w:p>
            <w:pPr>
              <w:ind w:left="6640"/>
              <w:spacing w:after="0"/>
              <w:rPr>
                <w:sz w:val="20"/>
                <w:szCs w:val="20"/>
                <w:color w:val="auto"/>
              </w:rPr>
            </w:pPr>
            <w:r>
              <w:rPr>
                <w:rFonts w:ascii="Arial" w:cs="Arial" w:eastAsia="Arial" w:hAnsi="Arial"/>
                <w:sz w:val="14"/>
                <w:szCs w:val="14"/>
                <w:color w:val="050A35"/>
              </w:rPr>
              <w:t>RIDGEPOST CAPITAL | 2026 Proxy Statement</w:t>
            </w:r>
          </w:p>
        </w:tc>
        <w:tc>
          <w:tcPr>
            <w:tcW w:w="900" w:type="dxa"/>
            <w:vAlign w:val="bottom"/>
          </w:tcPr>
          <w:p>
            <w:pPr>
              <w:jc w:val="right"/>
              <w:ind w:right="588"/>
              <w:spacing w:after="0"/>
              <w:rPr>
                <w:sz w:val="20"/>
                <w:szCs w:val="20"/>
                <w:color w:val="auto"/>
              </w:rPr>
            </w:pPr>
            <w:r>
              <w:rPr>
                <w:rFonts w:ascii="Arial" w:cs="Arial" w:eastAsia="Arial" w:hAnsi="Arial"/>
                <w:sz w:val="14"/>
                <w:szCs w:val="14"/>
                <w:b w:val="1"/>
                <w:bCs w:val="1"/>
                <w:color w:val="050A35"/>
              </w:rPr>
              <w:t>3</w:t>
            </w:r>
          </w:p>
        </w:tc>
      </w:tr>
      <w:tr>
        <w:trPr>
          <w:trHeight w:val="738"/>
        </w:trPr>
        <w:tc>
          <w:tcPr>
            <w:tcW w:w="98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3"/>
          <w:szCs w:val="13"/>
          <w:color w:val="050A35"/>
        </w:rPr>
        <w:t>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9664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360"/>
          </w:cols>
          <w:pgMar w:left="1240" w:top="775" w:right="1299" w:bottom="1440" w:gutter="0" w:footer="0" w:header="0"/>
        </w:sectPr>
      </w:pPr>
    </w:p>
    <w:p>
      <w:pPr>
        <w:spacing w:after="0" w:line="359" w:lineRule="exact"/>
        <w:rPr>
          <w:sz w:val="20"/>
          <w:szCs w:val="20"/>
          <w:color w:val="auto"/>
        </w:rPr>
      </w:pPr>
    </w:p>
    <w:p>
      <w:pPr>
        <w:ind w:right="200"/>
        <w:spacing w:after="0" w:line="264" w:lineRule="auto"/>
        <w:rPr>
          <w:sz w:val="20"/>
          <w:szCs w:val="20"/>
          <w:color w:val="auto"/>
        </w:rPr>
      </w:pPr>
      <w:r>
        <w:rPr>
          <w:rFonts w:ascii="Arial" w:cs="Arial" w:eastAsia="Arial" w:hAnsi="Arial"/>
          <w:sz w:val="15"/>
          <w:szCs w:val="15"/>
          <w:color w:val="050A35"/>
        </w:rPr>
        <w:t>If you attend the Annual Meeting, you can vote in person. If you are a street name holder and wish to vote at the meeting, you must first obtain a proxy from your broker authorizing you to vote.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Can I change my vote or revoke my proxy?</w:t>
      </w:r>
    </w:p>
    <w:p>
      <w:pPr>
        <w:spacing w:after="0" w:line="106"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050A35"/>
        </w:rPr>
        <w:t>Yes. If you are a stockholder of record, you may change your vote or revoke your proxy at any time before the vote at the Annual Meeting by:</w:t>
      </w:r>
    </w:p>
    <w:p>
      <w:pPr>
        <w:spacing w:after="0" w:line="53" w:lineRule="exact"/>
        <w:rPr>
          <w:sz w:val="20"/>
          <w:szCs w:val="20"/>
          <w:color w:val="auto"/>
        </w:rPr>
      </w:pPr>
    </w:p>
    <w:p>
      <w:pPr>
        <w:ind w:left="180" w:right="40" w:hanging="174"/>
        <w:spacing w:after="0" w:line="263" w:lineRule="auto"/>
        <w:tabs>
          <w:tab w:leader="none" w:pos="180" w:val="left"/>
        </w:tabs>
        <w:numPr>
          <w:ilvl w:val="0"/>
          <w:numId w:val="9"/>
        </w:numPr>
        <w:rPr>
          <w:rFonts w:ascii="Times New Roman" w:cs="Times New Roman" w:eastAsia="Times New Roman" w:hAnsi="Times New Roman"/>
          <w:sz w:val="15"/>
          <w:szCs w:val="15"/>
          <w:color w:val="050A35"/>
        </w:rPr>
      </w:pPr>
      <w:r>
        <w:rPr>
          <w:rFonts w:ascii="Arial" w:cs="Arial" w:eastAsia="Arial" w:hAnsi="Arial"/>
          <w:sz w:val="15"/>
          <w:szCs w:val="15"/>
          <w:color w:val="050A35"/>
        </w:rPr>
        <w:t>submitting a later-dated proxy relating to the same shares online, by telephone or by mail prior to the vote at the Annual Meeting (online and telephone proxy voting are available 24 hours a day and will close at 11:59 p.m. Eastern Time on June 17, 2026);</w:t>
      </w:r>
    </w:p>
    <w:p>
      <w:pPr>
        <w:spacing w:after="0" w:line="53" w:lineRule="exact"/>
        <w:rPr>
          <w:rFonts w:ascii="Times New Roman" w:cs="Times New Roman" w:eastAsia="Times New Roman" w:hAnsi="Times New Roman"/>
          <w:sz w:val="15"/>
          <w:szCs w:val="15"/>
          <w:color w:val="050A35"/>
        </w:rPr>
      </w:pPr>
    </w:p>
    <w:p>
      <w:pPr>
        <w:ind w:left="180" w:hanging="174"/>
        <w:spacing w:after="0"/>
        <w:tabs>
          <w:tab w:leader="none" w:pos="180" w:val="left"/>
        </w:tabs>
        <w:numPr>
          <w:ilvl w:val="0"/>
          <w:numId w:val="9"/>
        </w:numPr>
        <w:rPr>
          <w:rFonts w:ascii="Times New Roman" w:cs="Times New Roman" w:eastAsia="Times New Roman" w:hAnsi="Times New Roman"/>
          <w:sz w:val="15"/>
          <w:szCs w:val="15"/>
          <w:color w:val="050A35"/>
        </w:rPr>
      </w:pPr>
      <w:r>
        <w:rPr>
          <w:rFonts w:ascii="Arial" w:cs="Arial" w:eastAsia="Arial" w:hAnsi="Arial"/>
          <w:sz w:val="15"/>
          <w:szCs w:val="15"/>
          <w:color w:val="050A35"/>
        </w:rPr>
        <w:t>filing a written revocation or duly executed proxy bearing a later date with our Corporate Secretary at our headquarters; or</w:t>
      </w:r>
    </w:p>
    <w:p>
      <w:pPr>
        <w:spacing w:after="0" w:line="96" w:lineRule="exact"/>
        <w:rPr>
          <w:rFonts w:ascii="Times New Roman" w:cs="Times New Roman" w:eastAsia="Times New Roman" w:hAnsi="Times New Roman"/>
          <w:sz w:val="15"/>
          <w:szCs w:val="15"/>
          <w:color w:val="050A35"/>
        </w:rPr>
      </w:pPr>
    </w:p>
    <w:p>
      <w:pPr>
        <w:ind w:left="180" w:hanging="174"/>
        <w:spacing w:after="0"/>
        <w:tabs>
          <w:tab w:leader="none" w:pos="180" w:val="left"/>
        </w:tabs>
        <w:numPr>
          <w:ilvl w:val="0"/>
          <w:numId w:val="9"/>
        </w:numPr>
        <w:rPr>
          <w:rFonts w:ascii="Times New Roman" w:cs="Times New Roman" w:eastAsia="Times New Roman" w:hAnsi="Times New Roman"/>
          <w:sz w:val="15"/>
          <w:szCs w:val="15"/>
          <w:color w:val="050A35"/>
        </w:rPr>
      </w:pPr>
      <w:r>
        <w:rPr>
          <w:rFonts w:ascii="Arial" w:cs="Arial" w:eastAsia="Arial" w:hAnsi="Arial"/>
          <w:sz w:val="15"/>
          <w:szCs w:val="15"/>
          <w:color w:val="050A35"/>
        </w:rPr>
        <w:t>voting in person at the Annual Meeting.</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050A35"/>
        </w:rPr>
        <w:t>If you hold your shares in street name, follow the instructions that you receive from your broker if you wish to change your vote.</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Who pays for costs relating to the proxy materials and Annual Meeting of Stockholders?</w:t>
      </w:r>
    </w:p>
    <w:p>
      <w:pPr>
        <w:spacing w:after="0" w:line="106" w:lineRule="exact"/>
        <w:rPr>
          <w:sz w:val="20"/>
          <w:szCs w:val="20"/>
          <w:color w:val="auto"/>
        </w:rPr>
      </w:pPr>
    </w:p>
    <w:p>
      <w:pPr>
        <w:spacing w:after="0" w:line="234" w:lineRule="auto"/>
        <w:rPr>
          <w:sz w:val="20"/>
          <w:szCs w:val="20"/>
          <w:color w:val="auto"/>
        </w:rPr>
      </w:pPr>
      <w:r>
        <w:rPr>
          <w:rFonts w:ascii="Arial" w:cs="Arial" w:eastAsia="Arial" w:hAnsi="Arial"/>
          <w:sz w:val="15"/>
          <w:szCs w:val="15"/>
          <w:color w:val="050A35"/>
        </w:rPr>
        <w:t>We bear all expenses in connection with the solicitation of proxies. In addition to solicitations by mail, our directors, officers and employees may solicit proxies personally and by telephone, facsimile and other electronic means. They will receive no compensation in addition to their regular salaries and compensation. We will request banks, brokers and other holders of record to forward copies of the proxy materials to persons for whom they hold shares of our common stock and to request authority for the execution of proxies. We will, upon their request, reimburse these parties for their reasonable expenses. We have retained InvestorCom, LLC to aid in the solicitation of proxies at an estimated cost of $5,000 plus reimbursable out-of-pocket expenses.</w:t>
      </w:r>
    </w:p>
    <w:p>
      <w:pPr>
        <w:spacing w:after="0" w:line="174" w:lineRule="exact"/>
        <w:rPr>
          <w:sz w:val="20"/>
          <w:szCs w:val="20"/>
          <w:color w:val="auto"/>
        </w:rPr>
      </w:pPr>
    </w:p>
    <w:p>
      <w:pPr>
        <w:ind w:left="400" w:hanging="394"/>
        <w:spacing w:after="0"/>
        <w:tabs>
          <w:tab w:leader="none" w:pos="400" w:val="left"/>
        </w:tabs>
        <w:numPr>
          <w:ilvl w:val="0"/>
          <w:numId w:val="10"/>
        </w:numPr>
        <w:rPr>
          <w:rFonts w:ascii="Arial" w:cs="Arial" w:eastAsia="Arial" w:hAnsi="Arial"/>
          <w:sz w:val="14"/>
          <w:szCs w:val="14"/>
          <w:b w:val="1"/>
          <w:bCs w:val="1"/>
          <w:color w:val="050A35"/>
        </w:rPr>
      </w:pPr>
      <w:r>
        <w:rPr>
          <w:rFonts w:ascii="Arial" w:cs="Arial" w:eastAsia="Arial" w:hAnsi="Arial"/>
          <w:sz w:val="14"/>
          <w:szCs w:val="14"/>
          <w:color w:val="050A35"/>
        </w:rPr>
        <w:t>RIDGEPOST CAPITAL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473710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60"/>
          </w:cols>
          <w:pgMar w:left="1240" w:top="775" w:right="1299" w:bottom="1440" w:gutter="0" w:footer="0" w:header="0"/>
          <w:type w:val="continuous"/>
        </w:sectPr>
      </w:pPr>
    </w:p>
    <w:bookmarkStart w:id="8" w:name="page9"/>
    <w:bookmarkEnd w:id="8"/>
    <w:p>
      <w:pPr>
        <w:jc w:val="right"/>
        <w:ind w:right="660"/>
        <w:spacing w:after="0"/>
        <w:rPr>
          <w:sz w:val="20"/>
          <w:szCs w:val="20"/>
          <w:color w:val="auto"/>
        </w:rPr>
      </w:pPr>
      <w:r>
        <w:rPr>
          <w:rFonts w:ascii="Arial" w:cs="Arial" w:eastAsia="Arial" w:hAnsi="Arial"/>
          <w:sz w:val="13"/>
          <w:szCs w:val="13"/>
          <w:color w:val="050A35"/>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7"/>
          <w:szCs w:val="17"/>
          <w:color w:val="112B19"/>
        </w:rPr>
        <w:t>PROPOSAL 1:</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5"/>
          <w:szCs w:val="25"/>
          <w:color w:val="050A35"/>
        </w:rPr>
        <w:t>Election of Directors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050A35"/>
        </w:rPr>
        <w:t>Composition of our Board of Directors</w:t>
      </w:r>
    </w:p>
    <w:p>
      <w:pPr>
        <w:spacing w:after="0" w:line="131" w:lineRule="exact"/>
        <w:rPr>
          <w:sz w:val="20"/>
          <w:szCs w:val="20"/>
          <w:color w:val="auto"/>
        </w:rPr>
      </w:pPr>
    </w:p>
    <w:p>
      <w:pPr>
        <w:ind w:left="660" w:right="740"/>
        <w:spacing w:after="0" w:line="236" w:lineRule="auto"/>
        <w:rPr>
          <w:sz w:val="20"/>
          <w:szCs w:val="20"/>
          <w:color w:val="auto"/>
        </w:rPr>
      </w:pPr>
      <w:r>
        <w:rPr>
          <w:rFonts w:ascii="Arial" w:cs="Arial" w:eastAsia="Arial" w:hAnsi="Arial"/>
          <w:sz w:val="15"/>
          <w:szCs w:val="15"/>
          <w:color w:val="050A35"/>
        </w:rPr>
        <w:t>Our Board of Directors currently has nine members, six of whom are independent directors. Our amended and restated certificate of incorporation and bylaws classify our Board of Directors into three classes of directors, serving staggered three-year terms of office. Directors designated as Class II directors have terms expiring at this Annual Meeting. Directors up for election at this Annual Meeting may be elected to a new three-year term expiring in 2029. Directors designated as Class III directors have terms expiring at our 2027 Annual Meeting of Stockholders. Directors designated as Class I directors have terms expiring at our 2028 Annual Meeting of Stockholders.</w:t>
      </w:r>
    </w:p>
    <w:p>
      <w:pPr>
        <w:spacing w:after="0" w:line="70" w:lineRule="exact"/>
        <w:rPr>
          <w:sz w:val="20"/>
          <w:szCs w:val="20"/>
          <w:color w:val="auto"/>
        </w:rPr>
      </w:pPr>
    </w:p>
    <w:p>
      <w:pPr>
        <w:ind w:left="660" w:right="660"/>
        <w:spacing w:after="0" w:line="231" w:lineRule="auto"/>
        <w:rPr>
          <w:sz w:val="20"/>
          <w:szCs w:val="20"/>
          <w:color w:val="auto"/>
        </w:rPr>
      </w:pPr>
      <w:r>
        <w:rPr>
          <w:rFonts w:ascii="Arial" w:cs="Arial" w:eastAsia="Arial" w:hAnsi="Arial"/>
          <w:sz w:val="15"/>
          <w:szCs w:val="15"/>
          <w:color w:val="050A35"/>
        </w:rPr>
        <w:t>On October 20, 2021, the Company entered into a controlled company agreement (as amended on May 16, 2023 and December 19, 2024, the “Controlled Company Agreement”) with RCP Advisors 2, LLC and RCP Advisors 3, LLC (together, "RCP Advisors") and certain of their affiliates (collectively, the “RCP Group”) and TrueBridge Capital Partners LLC and certain of its affiliates (the “TrueBridge Group”) and other parties thereto. Under the Controlled Company Agreement subject to certain specified limitations and exceptions, (i) so long as the RCP Group and any of its permitted transferees continue to collectively hold a combined voting power of at least 5% of the shares of common stock outstanding immediately following the Company's initial public offering, the Company will include in its slate of nominees one director designated by the RCP Group and (ii) so long as the TrueBridge Group and any of its permitted transferees continue to collectively hold a combined voting power of at least 5% of the shares of common stock outstanding immediately following the Company's initial public offering, the Company will include in its slate of nominees one director designated by the TrueBridge Group.</w:t>
      </w:r>
    </w:p>
    <w:p>
      <w:pPr>
        <w:spacing w:after="0" w:line="72" w:lineRule="exact"/>
        <w:rPr>
          <w:sz w:val="20"/>
          <w:szCs w:val="20"/>
          <w:color w:val="auto"/>
        </w:rPr>
      </w:pPr>
    </w:p>
    <w:p>
      <w:pPr>
        <w:ind w:left="660" w:right="780"/>
        <w:spacing w:after="0" w:line="244" w:lineRule="auto"/>
        <w:rPr>
          <w:sz w:val="20"/>
          <w:szCs w:val="20"/>
          <w:color w:val="auto"/>
        </w:rPr>
      </w:pPr>
      <w:r>
        <w:rPr>
          <w:rFonts w:ascii="Arial" w:cs="Arial" w:eastAsia="Arial" w:hAnsi="Arial"/>
          <w:sz w:val="15"/>
          <w:szCs w:val="15"/>
          <w:color w:val="050A35"/>
        </w:rPr>
        <w:t>The following nominees have been selected by the Nominating and Corporate Governance Committee and approved by the Board for submission to our stockholders, each to serve a three-year term expiring at the annual meeting of our stockholders in 2029 and until such director's successor shall have been duly elected and qualified (or, if earlier, such director's disqualification, removal or resignation):</w:t>
      </w:r>
    </w:p>
    <w:p>
      <w:pPr>
        <w:spacing w:after="0" w:line="68" w:lineRule="exact"/>
        <w:rPr>
          <w:sz w:val="20"/>
          <w:szCs w:val="20"/>
          <w:color w:val="auto"/>
        </w:rPr>
      </w:pPr>
    </w:p>
    <w:p>
      <w:pPr>
        <w:ind w:left="840" w:hanging="174"/>
        <w:spacing w:after="0"/>
        <w:tabs>
          <w:tab w:leader="none" w:pos="840" w:val="left"/>
        </w:tabs>
        <w:numPr>
          <w:ilvl w:val="0"/>
          <w:numId w:val="11"/>
        </w:numPr>
        <w:rPr>
          <w:rFonts w:ascii="Times New Roman" w:cs="Times New Roman" w:eastAsia="Times New Roman" w:hAnsi="Times New Roman"/>
          <w:sz w:val="15"/>
          <w:szCs w:val="15"/>
          <w:color w:val="050A35"/>
        </w:rPr>
      </w:pPr>
      <w:r>
        <w:rPr>
          <w:rFonts w:ascii="Arial" w:cs="Arial" w:eastAsia="Arial" w:hAnsi="Arial"/>
          <w:sz w:val="15"/>
          <w:szCs w:val="15"/>
          <w:color w:val="050A35"/>
        </w:rPr>
        <w:t>Tracey Benford</w:t>
      </w:r>
    </w:p>
    <w:p>
      <w:pPr>
        <w:spacing w:after="0" w:line="96" w:lineRule="exact"/>
        <w:rPr>
          <w:rFonts w:ascii="Times New Roman" w:cs="Times New Roman" w:eastAsia="Times New Roman" w:hAnsi="Times New Roman"/>
          <w:sz w:val="15"/>
          <w:szCs w:val="15"/>
          <w:color w:val="050A35"/>
        </w:rPr>
      </w:pPr>
    </w:p>
    <w:p>
      <w:pPr>
        <w:ind w:left="840" w:hanging="174"/>
        <w:spacing w:after="0"/>
        <w:tabs>
          <w:tab w:leader="none" w:pos="840" w:val="left"/>
        </w:tabs>
        <w:numPr>
          <w:ilvl w:val="0"/>
          <w:numId w:val="11"/>
        </w:numPr>
        <w:rPr>
          <w:rFonts w:ascii="Times New Roman" w:cs="Times New Roman" w:eastAsia="Times New Roman" w:hAnsi="Times New Roman"/>
          <w:sz w:val="15"/>
          <w:szCs w:val="15"/>
          <w:color w:val="050A35"/>
        </w:rPr>
      </w:pPr>
      <w:r>
        <w:rPr>
          <w:rFonts w:ascii="Arial" w:cs="Arial" w:eastAsia="Arial" w:hAnsi="Arial"/>
          <w:sz w:val="15"/>
          <w:szCs w:val="15"/>
          <w:color w:val="050A35"/>
        </w:rPr>
        <w:t>David M. McCoy; and</w:t>
      </w:r>
    </w:p>
    <w:p>
      <w:pPr>
        <w:spacing w:after="0" w:line="96" w:lineRule="exact"/>
        <w:rPr>
          <w:rFonts w:ascii="Times New Roman" w:cs="Times New Roman" w:eastAsia="Times New Roman" w:hAnsi="Times New Roman"/>
          <w:sz w:val="15"/>
          <w:szCs w:val="15"/>
          <w:color w:val="050A35"/>
        </w:rPr>
      </w:pPr>
    </w:p>
    <w:p>
      <w:pPr>
        <w:ind w:left="840" w:hanging="174"/>
        <w:spacing w:after="0"/>
        <w:tabs>
          <w:tab w:leader="none" w:pos="840" w:val="left"/>
        </w:tabs>
        <w:numPr>
          <w:ilvl w:val="0"/>
          <w:numId w:val="11"/>
        </w:numPr>
        <w:rPr>
          <w:rFonts w:ascii="Times New Roman" w:cs="Times New Roman" w:eastAsia="Times New Roman" w:hAnsi="Times New Roman"/>
          <w:sz w:val="15"/>
          <w:szCs w:val="15"/>
          <w:color w:val="050A35"/>
        </w:rPr>
      </w:pPr>
      <w:r>
        <w:rPr>
          <w:rFonts w:ascii="Arial" w:cs="Arial" w:eastAsia="Arial" w:hAnsi="Arial"/>
          <w:sz w:val="15"/>
          <w:szCs w:val="15"/>
          <w:color w:val="050A35"/>
        </w:rPr>
        <w:t>Robert B. Stewart, Jr.</w:t>
      </w:r>
    </w:p>
    <w:p>
      <w:pPr>
        <w:spacing w:after="0" w:line="97" w:lineRule="exact"/>
        <w:rPr>
          <w:sz w:val="20"/>
          <w:szCs w:val="20"/>
          <w:color w:val="auto"/>
        </w:rPr>
      </w:pPr>
    </w:p>
    <w:p>
      <w:pPr>
        <w:ind w:left="660" w:right="780"/>
        <w:spacing w:after="0" w:line="264" w:lineRule="auto"/>
        <w:rPr>
          <w:sz w:val="20"/>
          <w:szCs w:val="20"/>
          <w:color w:val="auto"/>
        </w:rPr>
      </w:pPr>
      <w:r>
        <w:rPr>
          <w:rFonts w:ascii="Arial" w:cs="Arial" w:eastAsia="Arial" w:hAnsi="Arial"/>
          <w:sz w:val="15"/>
          <w:szCs w:val="15"/>
          <w:color w:val="050A35"/>
        </w:rPr>
        <w:t>Background information about each director nominee recommended by the Board and other directors serving unexpired terms is set forth below.</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Nominees for Election as Class II Directors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86995</wp:posOffset>
            </wp:positionV>
            <wp:extent cx="5966460"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6460" cy="214630"/>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sectPr>
      </w:pPr>
    </w:p>
    <w:p>
      <w:pPr>
        <w:spacing w:after="0" w:line="141"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FFFFFF"/>
        </w:rPr>
        <w:t>Tracey Benford</w:t>
      </w:r>
    </w:p>
    <w:p>
      <w:pPr>
        <w:spacing w:after="0" w:line="129" w:lineRule="exact"/>
        <w:rPr>
          <w:sz w:val="20"/>
          <w:szCs w:val="20"/>
          <w:color w:val="auto"/>
        </w:rPr>
      </w:pPr>
    </w:p>
    <w:p>
      <w:pPr>
        <w:ind w:left="740" w:right="340"/>
        <w:spacing w:after="0" w:line="328" w:lineRule="auto"/>
        <w:rPr>
          <w:sz w:val="20"/>
          <w:szCs w:val="20"/>
          <w:color w:val="auto"/>
        </w:rPr>
      </w:pPr>
      <w:r>
        <w:rPr>
          <w:rFonts w:ascii="Arial" w:cs="Arial" w:eastAsia="Arial" w:hAnsi="Arial"/>
          <w:sz w:val="15"/>
          <w:szCs w:val="15"/>
          <w:b w:val="1"/>
          <w:bCs w:val="1"/>
          <w:color w:val="050A35"/>
        </w:rPr>
        <w:t xml:space="preserve">Independent Director Age: </w:t>
      </w:r>
      <w:r>
        <w:rPr>
          <w:rFonts w:ascii="Arial" w:cs="Arial" w:eastAsia="Arial" w:hAnsi="Arial"/>
          <w:sz w:val="15"/>
          <w:szCs w:val="15"/>
          <w:color w:val="050A35"/>
        </w:rPr>
        <w:t>57</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050A35"/>
        </w:rPr>
        <w:t xml:space="preserve">Director Since: </w:t>
      </w:r>
      <w:r>
        <w:rPr>
          <w:rFonts w:ascii="Arial" w:cs="Arial" w:eastAsia="Arial" w:hAnsi="Arial"/>
          <w:sz w:val="15"/>
          <w:szCs w:val="15"/>
          <w:color w:val="050A35"/>
        </w:rPr>
        <w:t>2024</w:t>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050A35"/>
        </w:rPr>
        <w:t>Committees:</w:t>
      </w:r>
    </w:p>
    <w:p>
      <w:pPr>
        <w:ind w:left="1060" w:hanging="174"/>
        <w:spacing w:after="0" w:line="232" w:lineRule="auto"/>
        <w:tabs>
          <w:tab w:leader="none" w:pos="1060" w:val="left"/>
        </w:tabs>
        <w:numPr>
          <w:ilvl w:val="0"/>
          <w:numId w:val="12"/>
        </w:numPr>
        <w:rPr>
          <w:rFonts w:ascii="Times New Roman" w:cs="Times New Roman" w:eastAsia="Times New Roman" w:hAnsi="Times New Roman"/>
          <w:sz w:val="15"/>
          <w:szCs w:val="15"/>
          <w:color w:val="112B19"/>
        </w:rPr>
      </w:pPr>
      <w:r>
        <w:rPr>
          <w:rFonts w:ascii="Arial" w:cs="Arial" w:eastAsia="Arial" w:hAnsi="Arial"/>
          <w:sz w:val="15"/>
          <w:szCs w:val="15"/>
          <w:color w:val="050A35"/>
        </w:rPr>
        <w:t>Audit</w:t>
      </w:r>
    </w:p>
    <w:p>
      <w:pPr>
        <w:ind w:left="1060" w:hanging="174"/>
        <w:spacing w:after="0" w:line="224" w:lineRule="auto"/>
        <w:tabs>
          <w:tab w:leader="none" w:pos="1060" w:val="left"/>
        </w:tabs>
        <w:numPr>
          <w:ilvl w:val="0"/>
          <w:numId w:val="12"/>
        </w:numPr>
        <w:rPr>
          <w:rFonts w:ascii="Times New Roman" w:cs="Times New Roman" w:eastAsia="Times New Roman" w:hAnsi="Times New Roman"/>
          <w:sz w:val="15"/>
          <w:szCs w:val="15"/>
          <w:color w:val="112B19"/>
        </w:rPr>
      </w:pPr>
      <w:r>
        <w:rPr>
          <w:rFonts w:ascii="Arial" w:cs="Arial" w:eastAsia="Arial" w:hAnsi="Arial"/>
          <w:sz w:val="15"/>
          <w:szCs w:val="15"/>
          <w:color w:val="050A35"/>
        </w:rPr>
        <w:t>Compensation (Chair)</w:t>
      </w:r>
    </w:p>
    <w:p>
      <w:pPr>
        <w:ind w:left="1060" w:hanging="174"/>
        <w:spacing w:after="0" w:line="243" w:lineRule="auto"/>
        <w:tabs>
          <w:tab w:leader="none" w:pos="1060" w:val="left"/>
        </w:tabs>
        <w:numPr>
          <w:ilvl w:val="0"/>
          <w:numId w:val="12"/>
        </w:numPr>
        <w:rPr>
          <w:rFonts w:ascii="Times New Roman" w:cs="Times New Roman" w:eastAsia="Times New Roman" w:hAnsi="Times New Roman"/>
          <w:sz w:val="15"/>
          <w:szCs w:val="15"/>
          <w:color w:val="112B19"/>
        </w:rPr>
      </w:pPr>
      <w:r>
        <w:rPr>
          <w:rFonts w:ascii="Arial" w:cs="Arial" w:eastAsia="Arial" w:hAnsi="Arial"/>
          <w:sz w:val="15"/>
          <w:szCs w:val="15"/>
          <w:color w:val="050A35"/>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right="800"/>
        <w:spacing w:after="0" w:line="233" w:lineRule="auto"/>
        <w:rPr>
          <w:sz w:val="20"/>
          <w:szCs w:val="20"/>
          <w:color w:val="auto"/>
        </w:rPr>
      </w:pPr>
      <w:r>
        <w:rPr>
          <w:rFonts w:ascii="Arial" w:cs="Arial" w:eastAsia="Arial" w:hAnsi="Arial"/>
          <w:sz w:val="15"/>
          <w:szCs w:val="15"/>
          <w:color w:val="050A35"/>
        </w:rPr>
        <w:t>Ms. Benford was appointed to the Board in April 2024. Ms. Benford is a retired partner and advisory director of Goldman Sachs &amp; Co., where she was a partner since 2010 and spent over 25 years of her career. Ms. Benford has held senior leadership positions at Goldman Sachs including as head of the Global Markets Division in the Midwest, Canada and the Southern Region, and served on the Global Executive Committee for Global Markets and the Partnership committee. Ms. Benford holds a MBA from the Stanford University Graduate School of Business and a BA, with honors, in Mathematical Methods and Economics from Northwestern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-1405255</wp:posOffset>
            </wp:positionH>
            <wp:positionV relativeFrom="paragraph">
              <wp:posOffset>-749935</wp:posOffset>
            </wp:positionV>
            <wp:extent cx="5966460" cy="10115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6460" cy="1011555"/>
                    </a:xfrm>
                    <a:prstGeom prst="rect">
                      <a:avLst/>
                    </a:prstGeom>
                    <a:noFill/>
                  </pic:spPr>
                </pic:pic>
              </a:graphicData>
            </a:graphic>
          </wp:anchor>
        </w:drawing>
        <w:drawing>
          <wp:anchor simplePos="0" relativeHeight="251657728" behindDoc="1" locked="0" layoutInCell="0" allowOverlap="1">
            <wp:simplePos x="0" y="0"/>
            <wp:positionH relativeFrom="column">
              <wp:posOffset>-1405255</wp:posOffset>
            </wp:positionH>
            <wp:positionV relativeFrom="paragraph">
              <wp:posOffset>389890</wp:posOffset>
            </wp:positionV>
            <wp:extent cx="5966460"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6460" cy="214630"/>
                    </a:xfrm>
                    <a:prstGeom prst="rect">
                      <a:avLst/>
                    </a:prstGeom>
                    <a:noFill/>
                  </pic:spPr>
                </pic:pic>
              </a:graphicData>
            </a:graphic>
          </wp:anchor>
        </w:drawing>
      </w:r>
    </w:p>
    <w:p>
      <w:pPr>
        <w:spacing w:after="0" w:line="617" w:lineRule="exact"/>
        <w:rPr>
          <w:sz w:val="20"/>
          <w:szCs w:val="20"/>
          <w:color w:val="auto"/>
        </w:rPr>
      </w:pPr>
    </w:p>
    <w:p>
      <w:pPr>
        <w:sectPr>
          <w:pgSz w:w="11900" w:h="16838" w:orient="portrait"/>
          <w:cols w:equalWidth="0" w:num="2">
            <w:col w:w="2620" w:space="260"/>
            <w:col w:w="7840"/>
          </w:cols>
          <w:pgMar w:left="580" w:top="775" w:right="599" w:bottom="1440" w:gutter="0" w:footer="0" w:header="0"/>
          <w:type w:val="continuous"/>
        </w:sectPr>
      </w:pPr>
    </w:p>
    <w:p>
      <w:pPr>
        <w:ind w:left="740"/>
        <w:spacing w:after="0"/>
        <w:rPr>
          <w:sz w:val="20"/>
          <w:szCs w:val="20"/>
          <w:color w:val="auto"/>
        </w:rPr>
      </w:pPr>
      <w:r>
        <w:rPr>
          <w:rFonts w:ascii="Arial" w:cs="Arial" w:eastAsia="Arial" w:hAnsi="Arial"/>
          <w:sz w:val="22"/>
          <w:szCs w:val="22"/>
          <w:b w:val="1"/>
          <w:bCs w:val="1"/>
          <w:color w:val="FFFFFF"/>
        </w:rPr>
        <w:t>David M. McCoy</w:t>
      </w:r>
    </w:p>
    <w:p>
      <w:pPr>
        <w:spacing w:after="0" w:line="129"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050A35"/>
        </w:rPr>
        <w:t>Director</w:t>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050A35"/>
        </w:rPr>
        <w:t xml:space="preserve">Age: </w:t>
      </w:r>
      <w:r>
        <w:rPr>
          <w:rFonts w:ascii="Arial" w:cs="Arial" w:eastAsia="Arial" w:hAnsi="Arial"/>
          <w:sz w:val="15"/>
          <w:szCs w:val="15"/>
          <w:color w:val="050A35"/>
        </w:rPr>
        <w:t>52</w:t>
      </w:r>
    </w:p>
    <w:p>
      <w:pPr>
        <w:spacing w:after="0" w:line="71" w:lineRule="exact"/>
        <w:rPr>
          <w:sz w:val="20"/>
          <w:szCs w:val="20"/>
          <w:color w:val="auto"/>
        </w:rPr>
      </w:pPr>
    </w:p>
    <w:p>
      <w:pPr>
        <w:jc w:val="center"/>
        <w:ind w:left="500"/>
        <w:spacing w:after="0"/>
        <w:rPr>
          <w:sz w:val="20"/>
          <w:szCs w:val="20"/>
          <w:color w:val="auto"/>
        </w:rPr>
      </w:pPr>
      <w:r>
        <w:rPr>
          <w:rFonts w:ascii="Arial" w:cs="Arial" w:eastAsia="Arial" w:hAnsi="Arial"/>
          <w:sz w:val="15"/>
          <w:szCs w:val="15"/>
          <w:b w:val="1"/>
          <w:bCs w:val="1"/>
          <w:color w:val="050A35"/>
        </w:rPr>
        <w:t xml:space="preserve">Director Since: </w:t>
      </w:r>
      <w:r>
        <w:rPr>
          <w:rFonts w:ascii="Arial" w:cs="Arial" w:eastAsia="Arial" w:hAnsi="Arial"/>
          <w:sz w:val="15"/>
          <w:szCs w:val="15"/>
          <w:color w:val="050A35"/>
        </w:rPr>
        <w:t>2023</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right="800"/>
        <w:spacing w:after="0" w:line="231" w:lineRule="auto"/>
        <w:rPr>
          <w:sz w:val="20"/>
          <w:szCs w:val="20"/>
          <w:color w:val="auto"/>
        </w:rPr>
      </w:pPr>
      <w:r>
        <w:rPr>
          <w:rFonts w:ascii="Arial" w:cs="Arial" w:eastAsia="Arial" w:hAnsi="Arial"/>
          <w:sz w:val="15"/>
          <w:szCs w:val="15"/>
          <w:color w:val="050A35"/>
        </w:rPr>
        <w:t>Mr. McCoy is the director designated by the RCP Group. Mr. McCoy is a Managing Partner and portfolio manager for the Firm’s co-investment funds and maintains broader activities throughout the investment function. Mr. McCoy is also on the Investment Committee and active as an Advisory Board member of various underlying funds and portfolio companies. He has been involved in the private equity industry since 1998. Prior to joining RCP, Mr. McCoy was a Partner at National City Equity Partners, the private equity/mezzanine arm of PNC Financial Services Group, Inc. He has prior private equity experience at Thayer Capital Partners, operational experience at Suntron Corporation, an electronics contract manufacturer, and investment banking experience at BT Alex Brown. Mr. McCoy holds a MBA from The Wharton School at the University of Pennsylvania and a BA in Economics from Princeton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-1405255</wp:posOffset>
            </wp:positionH>
            <wp:positionV relativeFrom="paragraph">
              <wp:posOffset>-954405</wp:posOffset>
            </wp:positionV>
            <wp:extent cx="5966460" cy="977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6460" cy="9772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420"/>
            <w:col w:w="7840"/>
          </w:cols>
          <w:pgMar w:left="580" w:top="775" w:right="599" w:bottom="1440" w:gutter="0" w:footer="0" w:header="0"/>
          <w:type w:val="continuous"/>
        </w:sect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820" w:type="dxa"/>
            <w:vAlign w:val="bottom"/>
          </w:tcPr>
          <w:p>
            <w:pPr>
              <w:ind w:left="6640"/>
              <w:spacing w:after="0"/>
              <w:rPr>
                <w:sz w:val="20"/>
                <w:szCs w:val="20"/>
                <w:color w:val="auto"/>
              </w:rPr>
            </w:pPr>
            <w:r>
              <w:rPr>
                <w:rFonts w:ascii="Arial" w:cs="Arial" w:eastAsia="Arial" w:hAnsi="Arial"/>
                <w:sz w:val="14"/>
                <w:szCs w:val="14"/>
                <w:color w:val="050A35"/>
              </w:rPr>
              <w:t>RIDGEPOST CAPITAL | 2026 Proxy Statement</w:t>
            </w:r>
          </w:p>
        </w:tc>
        <w:tc>
          <w:tcPr>
            <w:tcW w:w="900" w:type="dxa"/>
            <w:vAlign w:val="bottom"/>
          </w:tcPr>
          <w:p>
            <w:pPr>
              <w:jc w:val="right"/>
              <w:ind w:right="588"/>
              <w:spacing w:after="0"/>
              <w:rPr>
                <w:sz w:val="20"/>
                <w:szCs w:val="20"/>
                <w:color w:val="auto"/>
              </w:rPr>
            </w:pPr>
            <w:r>
              <w:rPr>
                <w:rFonts w:ascii="Arial" w:cs="Arial" w:eastAsia="Arial" w:hAnsi="Arial"/>
                <w:sz w:val="14"/>
                <w:szCs w:val="14"/>
                <w:b w:val="1"/>
                <w:bCs w:val="1"/>
                <w:color w:val="050A35"/>
              </w:rPr>
              <w:t>5</w:t>
            </w:r>
          </w:p>
        </w:tc>
      </w:tr>
      <w:tr>
        <w:trPr>
          <w:trHeight w:val="738"/>
        </w:trPr>
        <w:tc>
          <w:tcPr>
            <w:tcW w:w="98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3"/>
          <w:szCs w:val="13"/>
          <w:color w:val="050A35"/>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9664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273050</wp:posOffset>
            </wp:positionV>
            <wp:extent cx="5966460" cy="214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6460" cy="21463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Robert B. Stewart,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5966460" cy="1036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6460" cy="1036955"/>
                    </a:xfrm>
                    <a:prstGeom prst="rect">
                      <a:avLst/>
                    </a:prstGeom>
                    <a:noFill/>
                  </pic:spPr>
                </pic:pic>
              </a:graphicData>
            </a:graphic>
          </wp:anchor>
        </w:drawing>
      </w:r>
    </w:p>
    <w:p>
      <w:pPr>
        <w:sectPr>
          <w:pgSz w:w="11900" w:h="16838" w:orient="portrait"/>
          <w:cols w:equalWidth="0" w:num="1">
            <w:col w:w="9380"/>
          </w:cols>
          <w:pgMar w:left="1240" w:top="775" w:right="1279" w:bottom="1440" w:gutter="0" w:footer="0" w:header="0"/>
        </w:sectPr>
      </w:pPr>
    </w:p>
    <w:p>
      <w:pPr>
        <w:spacing w:after="0" w:line="129" w:lineRule="exact"/>
        <w:rPr>
          <w:sz w:val="20"/>
          <w:szCs w:val="20"/>
          <w:color w:val="auto"/>
        </w:rPr>
      </w:pPr>
    </w:p>
    <w:p>
      <w:pPr>
        <w:ind w:left="80" w:right="340"/>
        <w:spacing w:after="0" w:line="328" w:lineRule="auto"/>
        <w:rPr>
          <w:sz w:val="20"/>
          <w:szCs w:val="20"/>
          <w:color w:val="auto"/>
        </w:rPr>
      </w:pPr>
      <w:r>
        <w:rPr>
          <w:rFonts w:ascii="Arial" w:cs="Arial" w:eastAsia="Arial" w:hAnsi="Arial"/>
          <w:sz w:val="15"/>
          <w:szCs w:val="15"/>
          <w:b w:val="1"/>
          <w:bCs w:val="1"/>
          <w:color w:val="050A35"/>
        </w:rPr>
        <w:t xml:space="preserve">Independent Director Age: </w:t>
      </w:r>
      <w:r>
        <w:rPr>
          <w:rFonts w:ascii="Arial" w:cs="Arial" w:eastAsia="Arial" w:hAnsi="Arial"/>
          <w:sz w:val="15"/>
          <w:szCs w:val="15"/>
          <w:color w:val="050A35"/>
        </w:rPr>
        <w:t>60</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50A35"/>
        </w:rPr>
        <w:t xml:space="preserve">Director Since: </w:t>
      </w:r>
      <w:r>
        <w:rPr>
          <w:rFonts w:ascii="Arial" w:cs="Arial" w:eastAsia="Arial" w:hAnsi="Arial"/>
          <w:sz w:val="15"/>
          <w:szCs w:val="15"/>
          <w:color w:val="050A35"/>
        </w:rPr>
        <w:t>2021</w:t>
      </w:r>
    </w:p>
    <w:p>
      <w:pPr>
        <w:spacing w:after="0" w:line="5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50A35"/>
        </w:rPr>
        <w:t>Committees:</w:t>
      </w:r>
    </w:p>
    <w:p>
      <w:pPr>
        <w:ind w:left="400" w:hanging="174"/>
        <w:spacing w:after="0" w:line="232" w:lineRule="auto"/>
        <w:tabs>
          <w:tab w:leader="none" w:pos="400" w:val="left"/>
        </w:tabs>
        <w:numPr>
          <w:ilvl w:val="0"/>
          <w:numId w:val="13"/>
        </w:numPr>
        <w:rPr>
          <w:rFonts w:ascii="Times New Roman" w:cs="Times New Roman" w:eastAsia="Times New Roman" w:hAnsi="Times New Roman"/>
          <w:sz w:val="15"/>
          <w:szCs w:val="15"/>
          <w:color w:val="112B19"/>
        </w:rPr>
      </w:pPr>
      <w:r>
        <w:rPr>
          <w:rFonts w:ascii="Arial" w:cs="Arial" w:eastAsia="Arial" w:hAnsi="Arial"/>
          <w:sz w:val="15"/>
          <w:szCs w:val="15"/>
          <w:color w:val="050A35"/>
        </w:rPr>
        <w:t>Audit</w:t>
      </w:r>
    </w:p>
    <w:p>
      <w:pPr>
        <w:ind w:left="400" w:hanging="174"/>
        <w:spacing w:after="0" w:line="224" w:lineRule="auto"/>
        <w:tabs>
          <w:tab w:leader="none" w:pos="400" w:val="left"/>
        </w:tabs>
        <w:numPr>
          <w:ilvl w:val="0"/>
          <w:numId w:val="13"/>
        </w:numPr>
        <w:rPr>
          <w:rFonts w:ascii="Times New Roman" w:cs="Times New Roman" w:eastAsia="Times New Roman" w:hAnsi="Times New Roman"/>
          <w:sz w:val="15"/>
          <w:szCs w:val="15"/>
          <w:color w:val="112B19"/>
        </w:rPr>
      </w:pPr>
      <w:r>
        <w:rPr>
          <w:rFonts w:ascii="Arial" w:cs="Arial" w:eastAsia="Arial" w:hAnsi="Arial"/>
          <w:sz w:val="15"/>
          <w:szCs w:val="15"/>
          <w:color w:val="050A35"/>
        </w:rPr>
        <w:t>Compensation</w:t>
      </w:r>
    </w:p>
    <w:p>
      <w:pPr>
        <w:ind w:left="400" w:hanging="174"/>
        <w:spacing w:after="0" w:line="243" w:lineRule="auto"/>
        <w:tabs>
          <w:tab w:leader="none" w:pos="400" w:val="left"/>
        </w:tabs>
        <w:numPr>
          <w:ilvl w:val="0"/>
          <w:numId w:val="13"/>
        </w:numPr>
        <w:rPr>
          <w:rFonts w:ascii="Times New Roman" w:cs="Times New Roman" w:eastAsia="Times New Roman" w:hAnsi="Times New Roman"/>
          <w:sz w:val="15"/>
          <w:szCs w:val="15"/>
          <w:color w:val="112B19"/>
        </w:rPr>
      </w:pPr>
      <w:r>
        <w:rPr>
          <w:rFonts w:ascii="Arial" w:cs="Arial" w:eastAsia="Arial" w:hAnsi="Arial"/>
          <w:sz w:val="15"/>
          <w:szCs w:val="15"/>
          <w:color w:val="050A35"/>
        </w:rPr>
        <w:t>Nominating and Corporate Governance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236" w:lineRule="auto"/>
        <w:rPr>
          <w:sz w:val="20"/>
          <w:szCs w:val="20"/>
          <w:color w:val="auto"/>
        </w:rPr>
      </w:pPr>
      <w:r>
        <w:rPr>
          <w:rFonts w:ascii="Arial" w:cs="Arial" w:eastAsia="Arial" w:hAnsi="Arial"/>
          <w:sz w:val="15"/>
          <w:szCs w:val="15"/>
          <w:color w:val="050A35"/>
        </w:rPr>
        <w:t>Mr. Stewart brings to the Board extensive experience in intellectual property, patent licensing, financial and public markets. Mr. Stewart is the former President of Acacia Research Corporation, an industry leader in patent licensing. Mr. Stewart was an executive at Acacia for over two decades, helping to deliver hundreds of millions of dollars of value to Acacia’s patent partners. Mr. Stewart holds a BS from the University of Colorado at Boulder.</w:t>
      </w:r>
    </w:p>
    <w:p>
      <w:pPr>
        <w:spacing w:after="0" w:line="944" w:lineRule="exact"/>
        <w:rPr>
          <w:sz w:val="20"/>
          <w:szCs w:val="20"/>
          <w:color w:val="auto"/>
        </w:rPr>
      </w:pPr>
    </w:p>
    <w:p>
      <w:pPr>
        <w:sectPr>
          <w:pgSz w:w="11900" w:h="16838" w:orient="portrait"/>
          <w:cols w:equalWidth="0" w:num="2">
            <w:col w:w="1960" w:space="260"/>
            <w:col w:w="7160"/>
          </w:cols>
          <w:pgMar w:left="1240" w:top="775" w:right="127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Continuing Class III Directors (Term Expires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86995</wp:posOffset>
            </wp:positionV>
            <wp:extent cx="5966460" cy="2146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6460" cy="214630"/>
                    </a:xfrm>
                    <a:prstGeom prst="rect">
                      <a:avLst/>
                    </a:prstGeom>
                    <a:noFill/>
                  </pic:spPr>
                </pic:pic>
              </a:graphicData>
            </a:graphic>
          </wp:anchor>
        </w:drawing>
      </w:r>
    </w:p>
    <w:p>
      <w:pPr>
        <w:sectPr>
          <w:pgSz w:w="11900" w:h="16838" w:orient="portrait"/>
          <w:cols w:equalWidth="0" w:num="1">
            <w:col w:w="9380"/>
          </w:cols>
          <w:pgMar w:left="1240" w:top="775" w:right="1279" w:bottom="1440" w:gutter="0" w:footer="0" w:header="0"/>
          <w:type w:val="continuous"/>
        </w:sectPr>
      </w:pPr>
    </w:p>
    <w:p>
      <w:pPr>
        <w:spacing w:after="0" w:line="14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Travis Barnes</w:t>
      </w:r>
    </w:p>
    <w:p>
      <w:pPr>
        <w:spacing w:after="0" w:line="8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50A35"/>
        </w:rPr>
        <w:t>Independent Director</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50A35"/>
        </w:rPr>
        <w:t xml:space="preserve">Age: </w:t>
      </w:r>
      <w:r>
        <w:rPr>
          <w:rFonts w:ascii="Arial" w:cs="Arial" w:eastAsia="Arial" w:hAnsi="Arial"/>
          <w:sz w:val="15"/>
          <w:szCs w:val="15"/>
          <w:color w:val="050A35"/>
        </w:rPr>
        <w:t>50</w:t>
      </w:r>
    </w:p>
    <w:p>
      <w:pPr>
        <w:spacing w:after="0" w:line="3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50A35"/>
        </w:rPr>
        <w:t xml:space="preserve">Director Since: </w:t>
      </w:r>
      <w:r>
        <w:rPr>
          <w:rFonts w:ascii="Arial" w:cs="Arial" w:eastAsia="Arial" w:hAnsi="Arial"/>
          <w:sz w:val="15"/>
          <w:szCs w:val="15"/>
          <w:color w:val="050A35"/>
        </w:rPr>
        <w:t>2021</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50A35"/>
        </w:rPr>
        <w:t>Committees:</w:t>
      </w:r>
    </w:p>
    <w:p>
      <w:pPr>
        <w:ind w:left="400" w:hanging="174"/>
        <w:spacing w:after="0" w:line="224" w:lineRule="auto"/>
        <w:tabs>
          <w:tab w:leader="none" w:pos="400" w:val="left"/>
        </w:tabs>
        <w:numPr>
          <w:ilvl w:val="0"/>
          <w:numId w:val="14"/>
        </w:numPr>
        <w:rPr>
          <w:rFonts w:ascii="Times New Roman" w:cs="Times New Roman" w:eastAsia="Times New Roman" w:hAnsi="Times New Roman"/>
          <w:sz w:val="15"/>
          <w:szCs w:val="15"/>
          <w:color w:val="112B19"/>
        </w:rPr>
      </w:pPr>
      <w:r>
        <w:rPr>
          <w:rFonts w:ascii="Arial" w:cs="Arial" w:eastAsia="Arial" w:hAnsi="Arial"/>
          <w:sz w:val="15"/>
          <w:szCs w:val="15"/>
          <w:color w:val="050A35"/>
        </w:rPr>
        <w:t>Audit</w:t>
      </w:r>
    </w:p>
    <w:p>
      <w:pPr>
        <w:ind w:left="400" w:hanging="174"/>
        <w:spacing w:after="0"/>
        <w:tabs>
          <w:tab w:leader="none" w:pos="400" w:val="left"/>
        </w:tabs>
        <w:numPr>
          <w:ilvl w:val="0"/>
          <w:numId w:val="14"/>
        </w:numPr>
        <w:rPr>
          <w:rFonts w:ascii="Times New Roman" w:cs="Times New Roman" w:eastAsia="Times New Roman" w:hAnsi="Times New Roman"/>
          <w:sz w:val="15"/>
          <w:szCs w:val="15"/>
          <w:color w:val="112B19"/>
        </w:rPr>
      </w:pPr>
      <w:r>
        <w:rPr>
          <w:rFonts w:ascii="Arial" w:cs="Arial" w:eastAsia="Arial" w:hAnsi="Arial"/>
          <w:sz w:val="15"/>
          <w:szCs w:val="15"/>
          <w:color w:val="050A35"/>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right="60"/>
        <w:spacing w:after="0" w:line="231" w:lineRule="auto"/>
        <w:rPr>
          <w:sz w:val="20"/>
          <w:szCs w:val="20"/>
          <w:color w:val="auto"/>
        </w:rPr>
      </w:pPr>
      <w:r>
        <w:rPr>
          <w:rFonts w:ascii="Arial" w:cs="Arial" w:eastAsia="Arial" w:hAnsi="Arial"/>
          <w:sz w:val="15"/>
          <w:szCs w:val="15"/>
          <w:color w:val="050A35"/>
        </w:rPr>
        <w:t>Mr. Barnes brings to the Board extensive experience in financial services and impact lending. Mr. Barnes is a Managing Director and Global Co-Head of Capital Markets, serving on the Investment Banking Management Team at Barclays, a multinational universal bank. Previously, he was the global head of Debt Capital Markets and Risk Solutions Group, which also included Securitized Products Origination, Sustainable Capital Markets, Loan Capital Markets and Global Finance Advisory. Mr. Barnes is the Chair of Barclays’ Americas Citizenship Council. He has worked at Barclays since 2006. He started his career at Morgan Stanley and worked in Debt Capital Markets, Corporate Finance and Mergers &amp; Acquisitions, based in New York and Hong Kong. Mr. Barnes holds a BA, summa cum laude, in Economics and English from Lafayette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-1405255</wp:posOffset>
            </wp:positionH>
            <wp:positionV relativeFrom="paragraph">
              <wp:posOffset>-954405</wp:posOffset>
            </wp:positionV>
            <wp:extent cx="5966460" cy="977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6460" cy="977265"/>
                    </a:xfrm>
                    <a:prstGeom prst="rect">
                      <a:avLst/>
                    </a:prstGeom>
                    <a:noFill/>
                  </pic:spPr>
                </pic:pic>
              </a:graphicData>
            </a:graphic>
          </wp:anchor>
        </w:drawing>
        <w:drawing>
          <wp:anchor simplePos="0" relativeHeight="251657728" behindDoc="1" locked="0" layoutInCell="0" allowOverlap="1">
            <wp:simplePos x="0" y="0"/>
            <wp:positionH relativeFrom="column">
              <wp:posOffset>-1405255</wp:posOffset>
            </wp:positionH>
            <wp:positionV relativeFrom="paragraph">
              <wp:posOffset>151130</wp:posOffset>
            </wp:positionV>
            <wp:extent cx="5966460" cy="214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646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600"/>
            <w:col w:w="7160"/>
          </w:cols>
          <w:pgMar w:left="1240" w:top="775" w:right="1279" w:bottom="1440" w:gutter="0" w:footer="0" w:header="0"/>
          <w:type w:val="continuous"/>
        </w:sectPr>
      </w:pPr>
    </w:p>
    <w:p>
      <w:pPr>
        <w:spacing w:after="0" w:line="42"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Stephen Blewitt</w:t>
      </w:r>
    </w:p>
    <w:p>
      <w:pPr>
        <w:spacing w:after="0" w:line="8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50A35"/>
        </w:rPr>
        <w:t>Independent Director</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50A35"/>
        </w:rPr>
        <w:t xml:space="preserve">Age: </w:t>
      </w:r>
      <w:r>
        <w:rPr>
          <w:rFonts w:ascii="Arial" w:cs="Arial" w:eastAsia="Arial" w:hAnsi="Arial"/>
          <w:sz w:val="15"/>
          <w:szCs w:val="15"/>
          <w:color w:val="050A35"/>
        </w:rPr>
        <w:t>66</w:t>
      </w:r>
    </w:p>
    <w:p>
      <w:pPr>
        <w:spacing w:after="0" w:line="3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50A35"/>
        </w:rPr>
        <w:t xml:space="preserve">Director Since: </w:t>
      </w:r>
      <w:r>
        <w:rPr>
          <w:rFonts w:ascii="Arial" w:cs="Arial" w:eastAsia="Arial" w:hAnsi="Arial"/>
          <w:sz w:val="15"/>
          <w:szCs w:val="15"/>
          <w:color w:val="050A35"/>
        </w:rPr>
        <w:t>2025</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50A35"/>
        </w:rPr>
        <w:t>Committees:</w:t>
      </w:r>
    </w:p>
    <w:p>
      <w:pPr>
        <w:ind w:left="400" w:hanging="174"/>
        <w:spacing w:after="0"/>
        <w:tabs>
          <w:tab w:leader="none" w:pos="400" w:val="left"/>
        </w:tabs>
        <w:numPr>
          <w:ilvl w:val="0"/>
          <w:numId w:val="15"/>
        </w:numPr>
        <w:rPr>
          <w:rFonts w:ascii="Times New Roman" w:cs="Times New Roman" w:eastAsia="Times New Roman" w:hAnsi="Times New Roman"/>
          <w:sz w:val="15"/>
          <w:szCs w:val="15"/>
          <w:color w:val="112B19"/>
        </w:rPr>
      </w:pPr>
      <w:r>
        <w:rPr>
          <w:rFonts w:ascii="Arial" w:cs="Arial" w:eastAsia="Arial" w:hAnsi="Arial"/>
          <w:sz w:val="15"/>
          <w:szCs w:val="15"/>
          <w:color w:val="050A35"/>
        </w:rPr>
        <w:t>Compensation</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line="232" w:lineRule="auto"/>
        <w:rPr>
          <w:sz w:val="20"/>
          <w:szCs w:val="20"/>
          <w:color w:val="auto"/>
        </w:rPr>
      </w:pPr>
      <w:r>
        <w:rPr>
          <w:rFonts w:ascii="Arial" w:cs="Arial" w:eastAsia="Arial" w:hAnsi="Arial"/>
          <w:sz w:val="15"/>
          <w:szCs w:val="15"/>
          <w:color w:val="050A35"/>
        </w:rPr>
        <w:t>Mr. Blewitt is the co-founder of Youth.Work.Connect, LLC, a mission-based organization created to help high school youth from underserved communities build social capital to promote economic mobility founded in September 2024. Mr. Blewitt served as the Chief Investment Officer (Private Markets) and Head of Private Markets at Manulife Investment Management from October 2018 to June 2023, where he was responsible for leading global investment teams across a wide range of asset classes, including private equity and credit, real estate, infrastructure, timber, and agriculture. Prior to that, Mr. Blewitt led Manulife’s private equity and credit business in the U.S. for almost 20 years. Mr. Blewitt holds a MBA from Boston University and a BA from the University of 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-1405255</wp:posOffset>
            </wp:positionH>
            <wp:positionV relativeFrom="paragraph">
              <wp:posOffset>-852170</wp:posOffset>
            </wp:positionV>
            <wp:extent cx="5966460" cy="874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6460" cy="874395"/>
                    </a:xfrm>
                    <a:prstGeom prst="rect">
                      <a:avLst/>
                    </a:prstGeom>
                    <a:noFill/>
                  </pic:spPr>
                </pic:pic>
              </a:graphicData>
            </a:graphic>
          </wp:anchor>
        </w:drawing>
        <w:drawing>
          <wp:anchor simplePos="0" relativeHeight="251657728" behindDoc="1" locked="0" layoutInCell="0" allowOverlap="1">
            <wp:simplePos x="0" y="0"/>
            <wp:positionH relativeFrom="column">
              <wp:posOffset>-1405255</wp:posOffset>
            </wp:positionH>
            <wp:positionV relativeFrom="paragraph">
              <wp:posOffset>149860</wp:posOffset>
            </wp:positionV>
            <wp:extent cx="5966460" cy="2146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646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460"/>
            <w:col w:w="7160"/>
          </w:cols>
          <w:pgMar w:left="1240" w:top="775" w:right="1279" w:bottom="1440" w:gutter="0" w:footer="0" w:header="0"/>
          <w:type w:val="continuous"/>
        </w:sectPr>
      </w:pPr>
    </w:p>
    <w:p>
      <w:pPr>
        <w:spacing w:after="0" w:line="4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FFFFFF"/>
        </w:rPr>
        <w:t>Luke A. Sarsfield III</w:t>
      </w:r>
    </w:p>
    <w:p>
      <w:pPr>
        <w:spacing w:after="0" w:line="88" w:lineRule="exact"/>
        <w:rPr>
          <w:sz w:val="20"/>
          <w:szCs w:val="20"/>
          <w:color w:val="auto"/>
        </w:rPr>
      </w:pPr>
    </w:p>
    <w:p>
      <w:pPr>
        <w:ind w:left="80" w:right="80"/>
        <w:spacing w:after="0" w:line="278" w:lineRule="auto"/>
        <w:rPr>
          <w:sz w:val="20"/>
          <w:szCs w:val="20"/>
          <w:color w:val="auto"/>
        </w:rPr>
      </w:pPr>
      <w:r>
        <w:rPr>
          <w:rFonts w:ascii="Arial" w:cs="Arial" w:eastAsia="Arial" w:hAnsi="Arial"/>
          <w:sz w:val="15"/>
          <w:szCs w:val="15"/>
          <w:b w:val="1"/>
          <w:bCs w:val="1"/>
          <w:color w:val="050A35"/>
        </w:rPr>
        <w:t>Chief Executive Officer and Chairman of the Board</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50A35"/>
        </w:rPr>
        <w:t xml:space="preserve">Age: </w:t>
      </w:r>
      <w:r>
        <w:rPr>
          <w:rFonts w:ascii="Arial" w:cs="Arial" w:eastAsia="Arial" w:hAnsi="Arial"/>
          <w:sz w:val="15"/>
          <w:szCs w:val="15"/>
          <w:color w:val="050A35"/>
        </w:rPr>
        <w:t>52</w:t>
      </w:r>
    </w:p>
    <w:p>
      <w:pPr>
        <w:spacing w:after="0" w:line="5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50A35"/>
        </w:rPr>
        <w:t xml:space="preserve">Director Since: </w:t>
      </w:r>
      <w:r>
        <w:rPr>
          <w:rFonts w:ascii="Arial" w:cs="Arial" w:eastAsia="Arial" w:hAnsi="Arial"/>
          <w:sz w:val="15"/>
          <w:szCs w:val="15"/>
          <w:color w:val="050A35"/>
        </w:rPr>
        <w:t>2023</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050A35"/>
        </w:rPr>
        <w:t>Mr. Sarsfield is the Company’s Chief Executive Officer, a position he has served in since October 2023, and Chairman of the Board, a position he has served in since June 2024. Prior to joining Ridgepost, Mr. Sarsfield worked at Goldman Sachs for over 23 years, where he held numerous senior leadership roles in asset management, including: Global Co-Head of Goldman Sachs Asset Management, Chief Commercial Officer of Asset and Wealth Management, and Global Co-Head of the Client Business within Goldman Sachs Asset Management. Previously, Mr. Sarsfield was a senior leader in Goldman Sachs’ Investment Banking Division, where he served as Global Head of the Financial Institutions Group, Global Chief Operating Officer of Investment Banking, and Co-Head of the Healthcare Group in the Americas. Additionally, he served as a member of the firm’s Management Committee and Partnership Committee. Mr. Sarsfield currently serves as Co-Chair of the Board of Safe Horizon, the largest victim services agency in the United States. Mr. Sarsfield holds a MBA from Harvard Business School and a BA, magna cum laude, from Harvard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-1405255</wp:posOffset>
            </wp:positionH>
            <wp:positionV relativeFrom="paragraph">
              <wp:posOffset>-1259840</wp:posOffset>
            </wp:positionV>
            <wp:extent cx="5966460" cy="128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6460" cy="128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60"/>
            <w:col w:w="7160"/>
          </w:cols>
          <w:pgMar w:left="1240" w:top="775" w:right="1279" w:bottom="1440" w:gutter="0" w:footer="0" w:header="0"/>
          <w:type w:val="continuous"/>
        </w:sectPr>
      </w:pPr>
    </w:p>
    <w:p>
      <w:pPr>
        <w:spacing w:after="0" w:line="250" w:lineRule="exact"/>
        <w:rPr>
          <w:sz w:val="20"/>
          <w:szCs w:val="20"/>
          <w:color w:val="auto"/>
        </w:rPr>
      </w:pPr>
    </w:p>
    <w:p>
      <w:pPr>
        <w:ind w:left="400" w:hanging="394"/>
        <w:spacing w:after="0"/>
        <w:tabs>
          <w:tab w:leader="none" w:pos="400" w:val="left"/>
        </w:tabs>
        <w:numPr>
          <w:ilvl w:val="0"/>
          <w:numId w:val="16"/>
        </w:numPr>
        <w:rPr>
          <w:rFonts w:ascii="Arial" w:cs="Arial" w:eastAsia="Arial" w:hAnsi="Arial"/>
          <w:sz w:val="14"/>
          <w:szCs w:val="14"/>
          <w:b w:val="1"/>
          <w:bCs w:val="1"/>
          <w:color w:val="050A35"/>
        </w:rPr>
      </w:pPr>
      <w:r>
        <w:rPr>
          <w:rFonts w:ascii="Arial" w:cs="Arial" w:eastAsia="Arial" w:hAnsi="Arial"/>
          <w:sz w:val="14"/>
          <w:szCs w:val="14"/>
          <w:color w:val="050A35"/>
        </w:rPr>
        <w:t>RIDGEPOST CAPITAL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473710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775" w:right="1279" w:bottom="1440" w:gutter="0" w:footer="0" w:header="0"/>
          <w:type w:val="continuous"/>
        </w:sectPr>
      </w:pPr>
    </w:p>
    <w:bookmarkStart w:id="10" w:name="page11"/>
    <w:bookmarkEnd w:id="10"/>
    <w:p>
      <w:pPr>
        <w:jc w:val="right"/>
        <w:ind w:right="660"/>
        <w:spacing w:after="0"/>
        <w:rPr>
          <w:sz w:val="20"/>
          <w:szCs w:val="20"/>
          <w:color w:val="auto"/>
        </w:rPr>
      </w:pPr>
      <w:r>
        <w:rPr>
          <w:rFonts w:ascii="Arial" w:cs="Arial" w:eastAsia="Arial" w:hAnsi="Arial"/>
          <w:sz w:val="13"/>
          <w:szCs w:val="13"/>
          <w:color w:val="050A35"/>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Continuing Class I Directors (Term Expires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86995</wp:posOffset>
            </wp:positionV>
            <wp:extent cx="5966460"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6460" cy="214630"/>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sectPr>
      </w:pPr>
    </w:p>
    <w:p>
      <w:pPr>
        <w:spacing w:after="0" w:line="141"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FFFFFF"/>
        </w:rPr>
        <w:t>Jennifer Glassman</w:t>
      </w:r>
    </w:p>
    <w:p>
      <w:pPr>
        <w:spacing w:after="0" w:line="129" w:lineRule="exact"/>
        <w:rPr>
          <w:sz w:val="20"/>
          <w:szCs w:val="20"/>
          <w:color w:val="auto"/>
        </w:rPr>
      </w:pPr>
    </w:p>
    <w:p>
      <w:pPr>
        <w:ind w:left="740" w:right="480"/>
        <w:spacing w:after="0" w:line="328" w:lineRule="auto"/>
        <w:rPr>
          <w:sz w:val="20"/>
          <w:szCs w:val="20"/>
          <w:color w:val="auto"/>
        </w:rPr>
      </w:pPr>
      <w:r>
        <w:rPr>
          <w:rFonts w:ascii="Arial" w:cs="Arial" w:eastAsia="Arial" w:hAnsi="Arial"/>
          <w:sz w:val="15"/>
          <w:szCs w:val="15"/>
          <w:b w:val="1"/>
          <w:bCs w:val="1"/>
          <w:color w:val="050A35"/>
        </w:rPr>
        <w:t xml:space="preserve">Independent Director Age: </w:t>
      </w:r>
      <w:r>
        <w:rPr>
          <w:rFonts w:ascii="Arial" w:cs="Arial" w:eastAsia="Arial" w:hAnsi="Arial"/>
          <w:sz w:val="15"/>
          <w:szCs w:val="15"/>
          <w:color w:val="050A35"/>
        </w:rPr>
        <w:t>55</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050A35"/>
        </w:rPr>
        <w:t xml:space="preserve">Director Since: </w:t>
      </w:r>
      <w:r>
        <w:rPr>
          <w:rFonts w:ascii="Arial" w:cs="Arial" w:eastAsia="Arial" w:hAnsi="Arial"/>
          <w:sz w:val="15"/>
          <w:szCs w:val="15"/>
          <w:color w:val="050A35"/>
        </w:rPr>
        <w:t>2025</w:t>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050A35"/>
        </w:rPr>
        <w:t>Committees:</w:t>
      </w:r>
    </w:p>
    <w:p>
      <w:pPr>
        <w:spacing w:after="0" w:line="6" w:lineRule="exact"/>
        <w:rPr>
          <w:sz w:val="20"/>
          <w:szCs w:val="20"/>
          <w:color w:val="auto"/>
        </w:rPr>
      </w:pPr>
    </w:p>
    <w:p>
      <w:pPr>
        <w:ind w:left="1060" w:hanging="174"/>
        <w:spacing w:after="0"/>
        <w:tabs>
          <w:tab w:leader="none" w:pos="1060" w:val="left"/>
        </w:tabs>
        <w:numPr>
          <w:ilvl w:val="0"/>
          <w:numId w:val="17"/>
        </w:numPr>
        <w:rPr>
          <w:rFonts w:ascii="Times New Roman" w:cs="Times New Roman" w:eastAsia="Times New Roman" w:hAnsi="Times New Roman"/>
          <w:sz w:val="15"/>
          <w:szCs w:val="15"/>
          <w:color w:val="112B19"/>
        </w:rPr>
      </w:pPr>
      <w:r>
        <w:rPr>
          <w:rFonts w:ascii="Arial" w:cs="Arial" w:eastAsia="Arial" w:hAnsi="Arial"/>
          <w:sz w:val="15"/>
          <w:szCs w:val="15"/>
          <w:color w:val="050A35"/>
        </w:rPr>
        <w:t>Audit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right="700"/>
        <w:spacing w:after="0" w:line="233" w:lineRule="auto"/>
        <w:rPr>
          <w:sz w:val="20"/>
          <w:szCs w:val="20"/>
          <w:color w:val="auto"/>
        </w:rPr>
      </w:pPr>
      <w:r>
        <w:rPr>
          <w:rFonts w:ascii="Arial" w:cs="Arial" w:eastAsia="Arial" w:hAnsi="Arial"/>
          <w:sz w:val="15"/>
          <w:szCs w:val="15"/>
          <w:color w:val="050A35"/>
        </w:rPr>
        <w:t>Ms. Glassman is the Chief Financial Officer of Towerbrook Capital Partners, a position she has held since 2005. Ms. Glassman was previously a partner and CFO at Soros Private Equity, and she also served in a variety of financial control and reporting roles for Soros Fund Management LLC. Prior to joining Soros, Ms. Glassman was a senior manager at PricewaterhouseCoopers, LLP, where she worked in the Financial Services Business Assurance practice for over seven years. Ms. Glassman is a certified public accountant and holds a MBA from Columbia Business School and a BS from the Wharton School of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-1405255</wp:posOffset>
            </wp:positionH>
            <wp:positionV relativeFrom="paragraph">
              <wp:posOffset>-749935</wp:posOffset>
            </wp:positionV>
            <wp:extent cx="5966460" cy="771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6460" cy="771525"/>
                    </a:xfrm>
                    <a:prstGeom prst="rect">
                      <a:avLst/>
                    </a:prstGeom>
                    <a:noFill/>
                  </pic:spPr>
                </pic:pic>
              </a:graphicData>
            </a:graphic>
          </wp:anchor>
        </w:drawing>
        <w:drawing>
          <wp:anchor simplePos="0" relativeHeight="251657728" behindDoc="1" locked="0" layoutInCell="0" allowOverlap="1">
            <wp:simplePos x="0" y="0"/>
            <wp:positionH relativeFrom="column">
              <wp:posOffset>-1405255</wp:posOffset>
            </wp:positionH>
            <wp:positionV relativeFrom="paragraph">
              <wp:posOffset>149860</wp:posOffset>
            </wp:positionV>
            <wp:extent cx="5966460"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646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120"/>
            <w:col w:w="7840"/>
          </w:cols>
          <w:pgMar w:left="580" w:top="775" w:right="599" w:bottom="1440" w:gutter="0" w:footer="0" w:header="0"/>
          <w:type w:val="continuous"/>
        </w:sectPr>
      </w:pPr>
    </w:p>
    <w:p>
      <w:pPr>
        <w:spacing w:after="0" w:line="40"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FFFFFF"/>
        </w:rPr>
        <w:t>Scott Gwilliam</w:t>
      </w:r>
    </w:p>
    <w:p>
      <w:pPr>
        <w:spacing w:after="0" w:line="129" w:lineRule="exact"/>
        <w:rPr>
          <w:sz w:val="20"/>
          <w:szCs w:val="20"/>
          <w:color w:val="auto"/>
        </w:rPr>
      </w:pPr>
    </w:p>
    <w:p>
      <w:pPr>
        <w:ind w:left="740" w:right="340"/>
        <w:spacing w:after="0" w:line="328" w:lineRule="auto"/>
        <w:rPr>
          <w:sz w:val="20"/>
          <w:szCs w:val="20"/>
          <w:color w:val="auto"/>
        </w:rPr>
      </w:pPr>
      <w:r>
        <w:rPr>
          <w:rFonts w:ascii="Arial" w:cs="Arial" w:eastAsia="Arial" w:hAnsi="Arial"/>
          <w:sz w:val="15"/>
          <w:szCs w:val="15"/>
          <w:b w:val="1"/>
          <w:bCs w:val="1"/>
          <w:color w:val="050A35"/>
        </w:rPr>
        <w:t xml:space="preserve">Independent Director Age: </w:t>
      </w:r>
      <w:r>
        <w:rPr>
          <w:rFonts w:ascii="Arial" w:cs="Arial" w:eastAsia="Arial" w:hAnsi="Arial"/>
          <w:sz w:val="15"/>
          <w:szCs w:val="15"/>
          <w:color w:val="050A35"/>
        </w:rPr>
        <w:t>56</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050A35"/>
        </w:rPr>
        <w:t xml:space="preserve">Director Since: </w:t>
      </w:r>
      <w:r>
        <w:rPr>
          <w:rFonts w:ascii="Arial" w:cs="Arial" w:eastAsia="Arial" w:hAnsi="Arial"/>
          <w:sz w:val="15"/>
          <w:szCs w:val="15"/>
          <w:color w:val="050A35"/>
        </w:rPr>
        <w:t>2021</w:t>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050A35"/>
        </w:rPr>
        <w:t>Committees:</w:t>
      </w:r>
    </w:p>
    <w:p>
      <w:pPr>
        <w:spacing w:after="0" w:line="6" w:lineRule="exact"/>
        <w:rPr>
          <w:sz w:val="20"/>
          <w:szCs w:val="20"/>
          <w:color w:val="auto"/>
        </w:rPr>
      </w:pPr>
    </w:p>
    <w:p>
      <w:pPr>
        <w:ind w:left="1060" w:hanging="174"/>
        <w:spacing w:after="0" w:line="236" w:lineRule="auto"/>
        <w:tabs>
          <w:tab w:leader="none" w:pos="1060" w:val="left"/>
        </w:tabs>
        <w:numPr>
          <w:ilvl w:val="0"/>
          <w:numId w:val="18"/>
        </w:numPr>
        <w:rPr>
          <w:rFonts w:ascii="Times New Roman" w:cs="Times New Roman" w:eastAsia="Times New Roman" w:hAnsi="Times New Roman"/>
          <w:sz w:val="15"/>
          <w:szCs w:val="15"/>
          <w:color w:val="112B19"/>
        </w:rPr>
      </w:pPr>
      <w:r>
        <w:rPr>
          <w:rFonts w:ascii="Arial" w:cs="Arial" w:eastAsia="Arial" w:hAnsi="Arial"/>
          <w:sz w:val="15"/>
          <w:szCs w:val="15"/>
          <w:color w:val="050A35"/>
        </w:rPr>
        <w:t>Nominating and Corporate Governance (Chair)</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680"/>
        <w:spacing w:after="0" w:line="234" w:lineRule="auto"/>
        <w:rPr>
          <w:sz w:val="20"/>
          <w:szCs w:val="20"/>
          <w:color w:val="auto"/>
        </w:rPr>
      </w:pPr>
      <w:r>
        <w:rPr>
          <w:rFonts w:ascii="Arial" w:cs="Arial" w:eastAsia="Arial" w:hAnsi="Arial"/>
          <w:sz w:val="15"/>
          <w:szCs w:val="15"/>
          <w:color w:val="050A35"/>
        </w:rPr>
        <w:t>Mr. Gwilliam brings to the Board extensive investment and industry experience. Mr. Gwilliam is a co-founder of Keystone Capital Management, a Chicago-based investment firm, where he has served as the Managing Partner since 2017. Prior to founding Keystone Capital, Mr. Gwilliam was with Madison Dearborn Partners, a leading middle market private equity firm, and Kidder, Peabody &amp; Company, a New York-based Investment Banking firm. Mr. Gwilliam holds a MBA from Northwestern University and a BS in finance from the University of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-1405255</wp:posOffset>
            </wp:positionH>
            <wp:positionV relativeFrom="paragraph">
              <wp:posOffset>-646430</wp:posOffset>
            </wp:positionV>
            <wp:extent cx="5966460" cy="934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6460" cy="934720"/>
                    </a:xfrm>
                    <a:prstGeom prst="rect">
                      <a:avLst/>
                    </a:prstGeom>
                    <a:noFill/>
                  </pic:spPr>
                </pic:pic>
              </a:graphicData>
            </a:graphic>
          </wp:anchor>
        </w:drawing>
        <w:drawing>
          <wp:anchor simplePos="0" relativeHeight="251657728" behindDoc="1" locked="0" layoutInCell="0" allowOverlap="1">
            <wp:simplePos x="0" y="0"/>
            <wp:positionH relativeFrom="column">
              <wp:posOffset>-1405255</wp:posOffset>
            </wp:positionH>
            <wp:positionV relativeFrom="paragraph">
              <wp:posOffset>415925</wp:posOffset>
            </wp:positionV>
            <wp:extent cx="5966460" cy="214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6460" cy="214630"/>
                    </a:xfrm>
                    <a:prstGeom prst="rect">
                      <a:avLst/>
                    </a:prstGeom>
                    <a:noFill/>
                  </pic:spPr>
                </pic:pic>
              </a:graphicData>
            </a:graphic>
          </wp:anchor>
        </w:drawing>
      </w:r>
    </w:p>
    <w:p>
      <w:pPr>
        <w:spacing w:after="0" w:line="618" w:lineRule="exact"/>
        <w:rPr>
          <w:sz w:val="20"/>
          <w:szCs w:val="20"/>
          <w:color w:val="auto"/>
        </w:rPr>
      </w:pPr>
    </w:p>
    <w:p>
      <w:pPr>
        <w:sectPr>
          <w:pgSz w:w="11900" w:h="16838" w:orient="portrait"/>
          <w:cols w:equalWidth="0" w:num="2">
            <w:col w:w="2620" w:space="260"/>
            <w:col w:w="7840"/>
          </w:cols>
          <w:pgMar w:left="580" w:top="775" w:right="599" w:bottom="1440" w:gutter="0" w:footer="0" w:header="0"/>
          <w:type w:val="continuous"/>
        </w:sectPr>
      </w:pPr>
    </w:p>
    <w:p>
      <w:pPr>
        <w:spacing w:after="0" w:line="40"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FFFFFF"/>
        </w:rPr>
        <w:t>Edwin Poston</w:t>
      </w:r>
    </w:p>
    <w:p>
      <w:pPr>
        <w:spacing w:after="0" w:line="129"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050A35"/>
        </w:rPr>
        <w:t>Director</w:t>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050A35"/>
        </w:rPr>
        <w:t xml:space="preserve">Age: </w:t>
      </w:r>
      <w:r>
        <w:rPr>
          <w:rFonts w:ascii="Arial" w:cs="Arial" w:eastAsia="Arial" w:hAnsi="Arial"/>
          <w:sz w:val="15"/>
          <w:szCs w:val="15"/>
          <w:color w:val="050A35"/>
        </w:rPr>
        <w:t>59</w:t>
      </w:r>
    </w:p>
    <w:p>
      <w:pPr>
        <w:spacing w:after="0" w:line="71" w:lineRule="exact"/>
        <w:rPr>
          <w:sz w:val="20"/>
          <w:szCs w:val="20"/>
          <w:color w:val="auto"/>
        </w:rPr>
      </w:pPr>
    </w:p>
    <w:p>
      <w:pPr>
        <w:jc w:val="center"/>
        <w:ind w:left="740"/>
        <w:spacing w:after="0"/>
        <w:rPr>
          <w:sz w:val="20"/>
          <w:szCs w:val="20"/>
          <w:color w:val="auto"/>
        </w:rPr>
      </w:pPr>
      <w:r>
        <w:rPr>
          <w:rFonts w:ascii="Arial" w:cs="Arial" w:eastAsia="Arial" w:hAnsi="Arial"/>
          <w:sz w:val="15"/>
          <w:szCs w:val="15"/>
          <w:b w:val="1"/>
          <w:bCs w:val="1"/>
          <w:color w:val="050A35"/>
        </w:rPr>
        <w:t xml:space="preserve">Director Since: </w:t>
      </w:r>
      <w:r>
        <w:rPr>
          <w:rFonts w:ascii="Arial" w:cs="Arial" w:eastAsia="Arial" w:hAnsi="Arial"/>
          <w:sz w:val="15"/>
          <w:szCs w:val="15"/>
          <w:color w:val="050A35"/>
        </w:rPr>
        <w:t>2021</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ind w:right="720"/>
        <w:spacing w:after="0" w:line="230" w:lineRule="auto"/>
        <w:rPr>
          <w:sz w:val="20"/>
          <w:szCs w:val="20"/>
          <w:color w:val="auto"/>
        </w:rPr>
      </w:pPr>
      <w:r>
        <w:rPr>
          <w:rFonts w:ascii="Arial" w:cs="Arial" w:eastAsia="Arial" w:hAnsi="Arial"/>
          <w:sz w:val="15"/>
          <w:szCs w:val="15"/>
          <w:color w:val="050A35"/>
        </w:rPr>
        <w:t>Mr. Poston brings to the Board extensive private equity experience. He has served as the director designated by TrueBridge Capital Partners LLC and certain of its affiliates since October 2021. He is a Co-Founder and Senior Advisor of TrueBridge Capital Partners LLC, a principal operating brand of the Company. Prior to founding TrueBridge Capital Partners LLC, he was a Managing Director and Head of Private Equity at The Rockefeller Foundation, where he had responsibilities across the portfolio, including the oversight of its venture portfolio. Prior to The Rockefeller Foundation, Mr. Poston was at Brandywine Trust Company, a multi-family office. Prior to starting his career in private equity investing, Mr. Poston worked as an investment banker at NationsBanc Montgomery Securities (Bank of America Securities) and as an opportunistic real estate investor in Washington, D.C. Mr. Poston holds a JD and MBA from Emory University and a BA from the University of North Carolina at Chapel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-1405255</wp:posOffset>
            </wp:positionH>
            <wp:positionV relativeFrom="paragraph">
              <wp:posOffset>-1055370</wp:posOffset>
            </wp:positionV>
            <wp:extent cx="5966460" cy="10801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6460" cy="10801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660"/>
            <w:col w:w="7840"/>
          </w:cols>
          <w:pgMar w:left="580" w:top="775" w:right="599" w:bottom="1440" w:gutter="0" w:footer="0" w:header="0"/>
          <w:type w:val="continuous"/>
        </w:sectPr>
      </w:pP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Vote Required</w:t>
      </w:r>
    </w:p>
    <w:p>
      <w:pPr>
        <w:spacing w:after="0" w:line="106" w:lineRule="exact"/>
        <w:rPr>
          <w:sz w:val="20"/>
          <w:szCs w:val="20"/>
          <w:color w:val="auto"/>
        </w:rPr>
      </w:pPr>
    </w:p>
    <w:p>
      <w:pPr>
        <w:ind w:left="660" w:right="1080"/>
        <w:spacing w:after="0" w:line="264" w:lineRule="auto"/>
        <w:rPr>
          <w:sz w:val="20"/>
          <w:szCs w:val="20"/>
          <w:color w:val="auto"/>
        </w:rPr>
      </w:pPr>
      <w:r>
        <w:rPr>
          <w:rFonts w:ascii="Arial" w:cs="Arial" w:eastAsia="Arial" w:hAnsi="Arial"/>
          <w:sz w:val="15"/>
          <w:szCs w:val="15"/>
          <w:color w:val="050A35"/>
        </w:rPr>
        <w:t>Each Class II director will be elected by a plurality of the votes cast at the Annual Meeting (assuming a quorum is present). The three nominees for Class II director receiving the highest number of affirmative votes will be elected.</w:t>
      </w:r>
    </w:p>
    <w:p>
      <w:pPr>
        <w:spacing w:after="0" w:line="53" w:lineRule="exact"/>
        <w:rPr>
          <w:sz w:val="20"/>
          <w:szCs w:val="20"/>
          <w:color w:val="auto"/>
        </w:rPr>
      </w:pPr>
    </w:p>
    <w:p>
      <w:pPr>
        <w:ind w:left="660" w:right="760"/>
        <w:spacing w:after="0"/>
        <w:rPr>
          <w:sz w:val="20"/>
          <w:szCs w:val="20"/>
          <w:color w:val="auto"/>
        </w:rPr>
      </w:pPr>
      <w:r>
        <w:rPr>
          <w:rFonts w:ascii="Arial" w:cs="Arial" w:eastAsia="Arial" w:hAnsi="Arial"/>
          <w:sz w:val="15"/>
          <w:szCs w:val="15"/>
          <w:color w:val="050A35"/>
        </w:rPr>
        <w:t>Each of the foregoing nominees has consented to be named in this Proxy Statement and agreed to serve as a director if elected. Our Board of Directors has no reason to believe that the listed nominees will be unable or unwilling to serve as directors if elected. However, if any nominee should be unable to serve or will not serve, then the shares represented by proxies received will be voted for another nominee selected by our Board of Directors. Alternatively, the Board may reduce the number of directors to be elected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164465</wp:posOffset>
            </wp:positionV>
            <wp:extent cx="4749165" cy="411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49165" cy="411480"/>
                    </a:xfrm>
                    <a:prstGeom prst="rect">
                      <a:avLst/>
                    </a:prstGeom>
                    <a:noFill/>
                  </pic:spPr>
                </pic:pic>
              </a:graphicData>
            </a:graphic>
          </wp:anchor>
        </w:drawing>
      </w:r>
    </w:p>
    <w:p>
      <w:pPr>
        <w:spacing w:after="0" w:line="274" w:lineRule="exact"/>
        <w:rPr>
          <w:sz w:val="20"/>
          <w:szCs w:val="20"/>
          <w:color w:val="auto"/>
        </w:rPr>
      </w:pPr>
    </w:p>
    <w:p>
      <w:pPr>
        <w:ind w:left="2440"/>
        <w:spacing w:after="0"/>
        <w:rPr>
          <w:sz w:val="20"/>
          <w:szCs w:val="20"/>
          <w:color w:val="auto"/>
        </w:rPr>
      </w:pPr>
      <w:r>
        <w:rPr>
          <w:rFonts w:ascii="Arial" w:cs="Arial" w:eastAsia="Arial" w:hAnsi="Arial"/>
          <w:sz w:val="15"/>
          <w:szCs w:val="15"/>
          <w:b w:val="1"/>
          <w:bCs w:val="1"/>
          <w:color w:val="050A35"/>
        </w:rPr>
        <w:t>Recommendation of the Board of Directors</w:t>
      </w:r>
    </w:p>
    <w:p>
      <w:pPr>
        <w:spacing w:after="0" w:line="8" w:lineRule="exact"/>
        <w:rPr>
          <w:sz w:val="20"/>
          <w:szCs w:val="20"/>
          <w:color w:val="auto"/>
        </w:rPr>
      </w:pPr>
    </w:p>
    <w:p>
      <w:pPr>
        <w:ind w:left="2440" w:right="2760"/>
        <w:spacing w:after="0" w:line="265" w:lineRule="auto"/>
        <w:rPr>
          <w:sz w:val="20"/>
          <w:szCs w:val="20"/>
          <w:color w:val="auto"/>
        </w:rPr>
      </w:pPr>
      <w:r>
        <w:rPr>
          <w:rFonts w:ascii="Arial" w:cs="Arial" w:eastAsia="Arial" w:hAnsi="Arial"/>
          <w:sz w:val="15"/>
          <w:szCs w:val="15"/>
          <w:color w:val="050A35"/>
        </w:rPr>
        <w:t xml:space="preserve">The Board of Directors recommends a vote </w:t>
      </w:r>
      <w:r>
        <w:rPr>
          <w:rFonts w:ascii="Arial" w:cs="Arial" w:eastAsia="Arial" w:hAnsi="Arial"/>
          <w:sz w:val="17"/>
          <w:szCs w:val="17"/>
          <w:b w:val="1"/>
          <w:bCs w:val="1"/>
          <w:color w:val="112B19"/>
        </w:rPr>
        <w:t>“FOR”</w:t>
      </w:r>
      <w:r>
        <w:rPr>
          <w:rFonts w:ascii="Arial" w:cs="Arial" w:eastAsia="Arial" w:hAnsi="Arial"/>
          <w:sz w:val="15"/>
          <w:szCs w:val="15"/>
          <w:color w:val="050A35"/>
        </w:rPr>
        <w:t xml:space="preserve"> the election of each nominee for Class II Director to serve a term of three years under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8255</wp:posOffset>
            </wp:positionV>
            <wp:extent cx="43287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820" w:type="dxa"/>
            <w:vAlign w:val="bottom"/>
          </w:tcPr>
          <w:p>
            <w:pPr>
              <w:ind w:left="6640"/>
              <w:spacing w:after="0"/>
              <w:rPr>
                <w:sz w:val="20"/>
                <w:szCs w:val="20"/>
                <w:color w:val="auto"/>
              </w:rPr>
            </w:pPr>
            <w:r>
              <w:rPr>
                <w:rFonts w:ascii="Arial" w:cs="Arial" w:eastAsia="Arial" w:hAnsi="Arial"/>
                <w:sz w:val="14"/>
                <w:szCs w:val="14"/>
                <w:color w:val="050A35"/>
              </w:rPr>
              <w:t>RIDGEPOST CAPITAL | 2026 Proxy Statement</w:t>
            </w:r>
          </w:p>
        </w:tc>
        <w:tc>
          <w:tcPr>
            <w:tcW w:w="900" w:type="dxa"/>
            <w:vAlign w:val="bottom"/>
          </w:tcPr>
          <w:p>
            <w:pPr>
              <w:jc w:val="right"/>
              <w:ind w:right="588"/>
              <w:spacing w:after="0"/>
              <w:rPr>
                <w:sz w:val="20"/>
                <w:szCs w:val="20"/>
                <w:color w:val="auto"/>
              </w:rPr>
            </w:pPr>
            <w:r>
              <w:rPr>
                <w:rFonts w:ascii="Arial" w:cs="Arial" w:eastAsia="Arial" w:hAnsi="Arial"/>
                <w:sz w:val="14"/>
                <w:szCs w:val="14"/>
                <w:b w:val="1"/>
                <w:bCs w:val="1"/>
                <w:color w:val="050A35"/>
              </w:rPr>
              <w:t>7</w:t>
            </w:r>
          </w:p>
        </w:tc>
      </w:tr>
      <w:tr>
        <w:trPr>
          <w:trHeight w:val="738"/>
        </w:trPr>
        <w:tc>
          <w:tcPr>
            <w:tcW w:w="98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3"/>
          <w:szCs w:val="13"/>
          <w:color w:val="050A3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9664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400"/>
          </w:cols>
          <w:pgMar w:left="1240" w:top="775" w:right="125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b w:val="1"/>
          <w:bCs w:val="1"/>
          <w:color w:val="050A35"/>
        </w:rPr>
        <w:t>Corporate Governance</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050A35"/>
        </w:rPr>
        <w:t>Independent Directors</w:t>
      </w:r>
    </w:p>
    <w:p>
      <w:pPr>
        <w:spacing w:after="0" w:line="131" w:lineRule="exact"/>
        <w:rPr>
          <w:sz w:val="20"/>
          <w:szCs w:val="20"/>
          <w:color w:val="auto"/>
        </w:rPr>
      </w:pPr>
    </w:p>
    <w:p>
      <w:pPr>
        <w:ind w:right="20"/>
        <w:spacing w:after="0" w:line="234" w:lineRule="auto"/>
        <w:rPr>
          <w:sz w:val="20"/>
          <w:szCs w:val="20"/>
          <w:color w:val="auto"/>
        </w:rPr>
      </w:pPr>
      <w:r>
        <w:rPr>
          <w:rFonts w:ascii="Arial" w:cs="Arial" w:eastAsia="Arial" w:hAnsi="Arial"/>
          <w:sz w:val="15"/>
          <w:szCs w:val="15"/>
          <w:color w:val="050A35"/>
        </w:rPr>
        <w:t>Our Board of Directors has determined that each of Mr. Barnes, Ms. Benford, Mr. Blewitt, Ms. Glassman, Mr. Gwilliam, and Mr. Stewart are “independent” as defined under the rules of the NYSE. In making this determination, the Board of Directors considered the relationships that each of Mr. Barnes, Ms. Benford, Mr. Blewitt, Ms. Glassman, Mr. Gwilliam, and Mr. Stewart have with our Company and all other facts and circumstances that the Board of Directors deemed relevant in determining their independence, including ownership interests in our Company and, in the case of certain of our independent directors, the transactions described in the section titled "Certain Relationships and Related Person Transactions."</w:t>
      </w:r>
    </w:p>
    <w:p>
      <w:pPr>
        <w:spacing w:after="0" w:line="71" w:lineRule="exact"/>
        <w:rPr>
          <w:sz w:val="20"/>
          <w:szCs w:val="20"/>
          <w:color w:val="auto"/>
        </w:rPr>
      </w:pPr>
    </w:p>
    <w:p>
      <w:pPr>
        <w:ind w:right="20"/>
        <w:spacing w:after="0" w:line="244" w:lineRule="auto"/>
        <w:rPr>
          <w:sz w:val="20"/>
          <w:szCs w:val="20"/>
          <w:color w:val="auto"/>
        </w:rPr>
      </w:pPr>
      <w:r>
        <w:rPr>
          <w:rFonts w:ascii="Arial" w:cs="Arial" w:eastAsia="Arial" w:hAnsi="Arial"/>
          <w:sz w:val="15"/>
          <w:szCs w:val="15"/>
          <w:color w:val="050A35"/>
        </w:rPr>
        <w:t>In addition to the satisfaction of the director independence requirements set forth in the rules of the NYSE, members of the Audit and Compensation Committees have also satisfied separate independence requirements under the current standards imposed by the SEC and the NYSE rules for audit committee and compensation committee members.</w:t>
      </w:r>
    </w:p>
    <w:p>
      <w:pPr>
        <w:spacing w:after="0" w:line="68" w:lineRule="exact"/>
        <w:rPr>
          <w:sz w:val="20"/>
          <w:szCs w:val="20"/>
          <w:color w:val="auto"/>
        </w:rPr>
      </w:pPr>
    </w:p>
    <w:p>
      <w:pPr>
        <w:ind w:right="80"/>
        <w:spacing w:after="0" w:line="238" w:lineRule="auto"/>
        <w:rPr>
          <w:sz w:val="20"/>
          <w:szCs w:val="20"/>
          <w:color w:val="auto"/>
        </w:rPr>
      </w:pPr>
      <w:r>
        <w:rPr>
          <w:rFonts w:ascii="Arial" w:cs="Arial" w:eastAsia="Arial" w:hAnsi="Arial"/>
          <w:sz w:val="15"/>
          <w:szCs w:val="15"/>
          <w:color w:val="050A35"/>
        </w:rPr>
        <w:t>We are a “controlled company” under the rules of the NYSE by virtue of the Controlled Company Agreement, and therefore qualify for, but do not intend to rely on, exemptions from the requirements that our Board of Directors consist of a majority of independent directors, that we establish a Compensation Committee consisting solely of independent directors and that our director nominees be selected or recommended by independent directors.</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050A35"/>
        </w:rPr>
        <w:t>Board Leadership Structure</w:t>
      </w:r>
    </w:p>
    <w:p>
      <w:pPr>
        <w:spacing w:after="0" w:line="131" w:lineRule="exact"/>
        <w:rPr>
          <w:sz w:val="20"/>
          <w:szCs w:val="20"/>
          <w:color w:val="auto"/>
        </w:rPr>
      </w:pPr>
    </w:p>
    <w:p>
      <w:pPr>
        <w:spacing w:after="0" w:line="236" w:lineRule="auto"/>
        <w:rPr>
          <w:sz w:val="20"/>
          <w:szCs w:val="20"/>
          <w:color w:val="auto"/>
        </w:rPr>
      </w:pPr>
      <w:r>
        <w:rPr>
          <w:rFonts w:ascii="Arial" w:cs="Arial" w:eastAsia="Arial" w:hAnsi="Arial"/>
          <w:sz w:val="15"/>
          <w:szCs w:val="15"/>
          <w:color w:val="050A35"/>
        </w:rPr>
        <w:t>Mr. Sarsfield has served as both our Chairman and Chief Executive Officer since June 2024. The Company has concluded that separate roles of Chairman and Chief Executive Officer are not necessary, given that each of the Company's strategies has its own fully developed management team. At this time, we believe that this leadership structure is the most appropriate one for the Company and its stockholders. We believe that it is in the best interests of our stockholders for the Board to review and make a determination regarding the separation or combination of these roles each time it elects a new Chairperson or appoints a Chief Executive Officer.</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050A35"/>
        </w:rPr>
        <w:t>Lead Independent Director and Meetings of Non-Management and Independent Directors</w:t>
      </w:r>
    </w:p>
    <w:p>
      <w:pPr>
        <w:spacing w:after="0" w:line="131" w:lineRule="exact"/>
        <w:rPr>
          <w:sz w:val="20"/>
          <w:szCs w:val="20"/>
          <w:color w:val="auto"/>
        </w:rPr>
      </w:pPr>
    </w:p>
    <w:p>
      <w:pPr>
        <w:ind w:right="40"/>
        <w:spacing w:after="0" w:line="233" w:lineRule="auto"/>
        <w:rPr>
          <w:sz w:val="20"/>
          <w:szCs w:val="20"/>
          <w:color w:val="auto"/>
        </w:rPr>
      </w:pPr>
      <w:r>
        <w:rPr>
          <w:rFonts w:ascii="Arial" w:cs="Arial" w:eastAsia="Arial" w:hAnsi="Arial"/>
          <w:sz w:val="15"/>
          <w:szCs w:val="15"/>
          <w:color w:val="050A35"/>
        </w:rPr>
        <w:t>Tracey Benford has served as the lead independent director since June 2024. As lead independent director, Ms. Benford presides over all Board meetings when the Chairman is not present and meetings of the non-management and independent directors held in executive session. The lead independent director, working with committee chairpersons, sets agendas and leads the discussion of regular meetings of the Board outside the presence of management, provides feedback regarding these meetings to the Chairman, and otherwise serves as a liaison between the independent directors and the Chairman. The lead independent director is also responsible for receiving, reviewing, and acting upon communications from stockholders or other interested parties when those interests should be addressed by a person independent of management.</w:t>
      </w:r>
    </w:p>
    <w:p>
      <w:pPr>
        <w:spacing w:after="0" w:line="70" w:lineRule="exact"/>
        <w:rPr>
          <w:sz w:val="20"/>
          <w:szCs w:val="20"/>
          <w:color w:val="auto"/>
        </w:rPr>
      </w:pPr>
    </w:p>
    <w:p>
      <w:pPr>
        <w:ind w:right="240"/>
        <w:spacing w:after="0" w:line="264" w:lineRule="auto"/>
        <w:rPr>
          <w:sz w:val="20"/>
          <w:szCs w:val="20"/>
          <w:color w:val="auto"/>
        </w:rPr>
      </w:pPr>
      <w:r>
        <w:rPr>
          <w:rFonts w:ascii="Arial" w:cs="Arial" w:eastAsia="Arial" w:hAnsi="Arial"/>
          <w:sz w:val="15"/>
          <w:szCs w:val="15"/>
          <w:color w:val="050A35"/>
        </w:rPr>
        <w:t>In order to promote open discussion and communication among the non-management directors, the non-management directors meet in executive session at least annually. The independent directors also meet in executive session at least once each year.</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050A35"/>
        </w:rPr>
        <w:t>Board Qualifications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050A35"/>
        </w:rPr>
        <w:t>Our Board expects directors to:</w:t>
      </w:r>
    </w:p>
    <w:p>
      <w:pPr>
        <w:spacing w:after="0" w:line="98" w:lineRule="exact"/>
        <w:rPr>
          <w:sz w:val="20"/>
          <w:szCs w:val="20"/>
          <w:color w:val="auto"/>
        </w:rPr>
      </w:pPr>
    </w:p>
    <w:p>
      <w:pPr>
        <w:ind w:left="180" w:hanging="174"/>
        <w:spacing w:after="0"/>
        <w:tabs>
          <w:tab w:leader="none" w:pos="180" w:val="left"/>
        </w:tabs>
        <w:numPr>
          <w:ilvl w:val="0"/>
          <w:numId w:val="19"/>
        </w:numPr>
        <w:rPr>
          <w:rFonts w:ascii="Times New Roman" w:cs="Times New Roman" w:eastAsia="Times New Roman" w:hAnsi="Times New Roman"/>
          <w:sz w:val="15"/>
          <w:szCs w:val="15"/>
          <w:color w:val="050A35"/>
        </w:rPr>
      </w:pPr>
      <w:r>
        <w:rPr>
          <w:rFonts w:ascii="Arial" w:cs="Arial" w:eastAsia="Arial" w:hAnsi="Arial"/>
          <w:sz w:val="15"/>
          <w:szCs w:val="15"/>
          <w:color w:val="050A35"/>
        </w:rPr>
        <w:t>maintain the highest level of personal and professional ethics, integrity, and values:</w:t>
      </w:r>
    </w:p>
    <w:p>
      <w:pPr>
        <w:spacing w:after="0" w:line="96" w:lineRule="exact"/>
        <w:rPr>
          <w:rFonts w:ascii="Times New Roman" w:cs="Times New Roman" w:eastAsia="Times New Roman" w:hAnsi="Times New Roman"/>
          <w:sz w:val="15"/>
          <w:szCs w:val="15"/>
          <w:color w:val="050A35"/>
        </w:rPr>
      </w:pPr>
    </w:p>
    <w:p>
      <w:pPr>
        <w:ind w:left="180" w:right="440" w:hanging="174"/>
        <w:spacing w:after="0" w:line="263" w:lineRule="auto"/>
        <w:tabs>
          <w:tab w:leader="none" w:pos="180" w:val="left"/>
        </w:tabs>
        <w:numPr>
          <w:ilvl w:val="0"/>
          <w:numId w:val="19"/>
        </w:numPr>
        <w:rPr>
          <w:rFonts w:ascii="Times New Roman" w:cs="Times New Roman" w:eastAsia="Times New Roman" w:hAnsi="Times New Roman"/>
          <w:sz w:val="15"/>
          <w:szCs w:val="15"/>
          <w:color w:val="050A35"/>
        </w:rPr>
      </w:pPr>
      <w:r>
        <w:rPr>
          <w:rFonts w:ascii="Arial" w:cs="Arial" w:eastAsia="Arial" w:hAnsi="Arial"/>
          <w:sz w:val="15"/>
          <w:szCs w:val="15"/>
          <w:color w:val="050A35"/>
        </w:rPr>
        <w:t>possess expertise that is useful to the Company and complementary to the background and expertise of the other members of the Board;</w:t>
      </w:r>
    </w:p>
    <w:p>
      <w:pPr>
        <w:spacing w:after="0" w:line="53" w:lineRule="exact"/>
        <w:rPr>
          <w:rFonts w:ascii="Times New Roman" w:cs="Times New Roman" w:eastAsia="Times New Roman" w:hAnsi="Times New Roman"/>
          <w:sz w:val="15"/>
          <w:szCs w:val="15"/>
          <w:color w:val="050A35"/>
        </w:rPr>
      </w:pPr>
    </w:p>
    <w:p>
      <w:pPr>
        <w:ind w:left="180" w:hanging="174"/>
        <w:spacing w:after="0"/>
        <w:tabs>
          <w:tab w:leader="none" w:pos="180" w:val="left"/>
        </w:tabs>
        <w:numPr>
          <w:ilvl w:val="0"/>
          <w:numId w:val="19"/>
        </w:numPr>
        <w:rPr>
          <w:rFonts w:ascii="Times New Roman" w:cs="Times New Roman" w:eastAsia="Times New Roman" w:hAnsi="Times New Roman"/>
          <w:sz w:val="15"/>
          <w:szCs w:val="15"/>
          <w:color w:val="050A35"/>
        </w:rPr>
      </w:pPr>
      <w:r>
        <w:rPr>
          <w:rFonts w:ascii="Arial" w:cs="Arial" w:eastAsia="Arial" w:hAnsi="Arial"/>
          <w:sz w:val="15"/>
          <w:szCs w:val="15"/>
          <w:color w:val="050A35"/>
        </w:rPr>
        <w:t>possess a willingness and ability to devote the time necessary to carry out the duties and responsibilities of Board membership;</w:t>
      </w:r>
    </w:p>
    <w:p>
      <w:pPr>
        <w:spacing w:after="0" w:line="96" w:lineRule="exact"/>
        <w:rPr>
          <w:rFonts w:ascii="Times New Roman" w:cs="Times New Roman" w:eastAsia="Times New Roman" w:hAnsi="Times New Roman"/>
          <w:sz w:val="15"/>
          <w:szCs w:val="15"/>
          <w:color w:val="050A35"/>
        </w:rPr>
      </w:pPr>
    </w:p>
    <w:p>
      <w:pPr>
        <w:ind w:left="180" w:right="760" w:hanging="174"/>
        <w:spacing w:after="0" w:line="263" w:lineRule="auto"/>
        <w:tabs>
          <w:tab w:leader="none" w:pos="180" w:val="left"/>
        </w:tabs>
        <w:numPr>
          <w:ilvl w:val="0"/>
          <w:numId w:val="19"/>
        </w:numPr>
        <w:rPr>
          <w:rFonts w:ascii="Times New Roman" w:cs="Times New Roman" w:eastAsia="Times New Roman" w:hAnsi="Times New Roman"/>
          <w:sz w:val="15"/>
          <w:szCs w:val="15"/>
          <w:color w:val="050A35"/>
        </w:rPr>
      </w:pPr>
      <w:r>
        <w:rPr>
          <w:rFonts w:ascii="Arial" w:cs="Arial" w:eastAsia="Arial" w:hAnsi="Arial"/>
          <w:sz w:val="15"/>
          <w:szCs w:val="15"/>
          <w:color w:val="050A35"/>
        </w:rPr>
        <w:t>possess a desire to ensure that the Company's operations and financial reporting are effected in a transparent manner and in compliance with applicable laws, rules, and regulations; and</w:t>
      </w:r>
    </w:p>
    <w:p>
      <w:pPr>
        <w:spacing w:after="0" w:line="53" w:lineRule="exact"/>
        <w:rPr>
          <w:rFonts w:ascii="Times New Roman" w:cs="Times New Roman" w:eastAsia="Times New Roman" w:hAnsi="Times New Roman"/>
          <w:sz w:val="15"/>
          <w:szCs w:val="15"/>
          <w:color w:val="050A35"/>
        </w:rPr>
      </w:pPr>
    </w:p>
    <w:p>
      <w:pPr>
        <w:ind w:left="180" w:hanging="174"/>
        <w:spacing w:after="0"/>
        <w:tabs>
          <w:tab w:leader="none" w:pos="180" w:val="left"/>
        </w:tabs>
        <w:numPr>
          <w:ilvl w:val="0"/>
          <w:numId w:val="19"/>
        </w:numPr>
        <w:rPr>
          <w:rFonts w:ascii="Times New Roman" w:cs="Times New Roman" w:eastAsia="Times New Roman" w:hAnsi="Times New Roman"/>
          <w:sz w:val="15"/>
          <w:szCs w:val="15"/>
          <w:color w:val="050A35"/>
        </w:rPr>
      </w:pPr>
      <w:r>
        <w:rPr>
          <w:rFonts w:ascii="Arial" w:cs="Arial" w:eastAsia="Arial" w:hAnsi="Arial"/>
          <w:sz w:val="15"/>
          <w:szCs w:val="15"/>
          <w:color w:val="050A35"/>
        </w:rPr>
        <w:t>possess a dedication to the representation of the best interests of the Company and all of its stockholders.</w:t>
      </w:r>
    </w:p>
    <w:p>
      <w:pPr>
        <w:spacing w:after="0" w:line="97" w:lineRule="exact"/>
        <w:rPr>
          <w:sz w:val="20"/>
          <w:szCs w:val="20"/>
          <w:color w:val="auto"/>
        </w:rPr>
      </w:pPr>
    </w:p>
    <w:p>
      <w:pPr>
        <w:jc w:val="both"/>
        <w:ind w:right="160"/>
        <w:spacing w:after="0" w:line="244" w:lineRule="auto"/>
        <w:rPr>
          <w:sz w:val="20"/>
          <w:szCs w:val="20"/>
          <w:color w:val="auto"/>
        </w:rPr>
      </w:pPr>
      <w:r>
        <w:rPr>
          <w:rFonts w:ascii="Arial" w:cs="Arial" w:eastAsia="Arial" w:hAnsi="Arial"/>
          <w:sz w:val="15"/>
          <w:szCs w:val="15"/>
          <w:color w:val="050A35"/>
        </w:rPr>
        <w:t>The Nominating and Corporate Governance Committee evaluates the composition of our Board to assess whether the skills, experience, characteristics and other criteria established by our Board are currently represented on our Board as a whole, and in individual directors. Our Board of Directors and the Nominating and Corporate Governance Committee actively seek to achieve a Board membership that</w:t>
      </w:r>
    </w:p>
    <w:p>
      <w:pPr>
        <w:spacing w:after="0" w:line="171" w:lineRule="exact"/>
        <w:rPr>
          <w:sz w:val="20"/>
          <w:szCs w:val="20"/>
          <w:color w:val="auto"/>
        </w:rPr>
      </w:pPr>
    </w:p>
    <w:p>
      <w:pPr>
        <w:ind w:left="400" w:hanging="394"/>
        <w:spacing w:after="0"/>
        <w:tabs>
          <w:tab w:leader="none" w:pos="400" w:val="left"/>
        </w:tabs>
        <w:numPr>
          <w:ilvl w:val="0"/>
          <w:numId w:val="20"/>
        </w:numPr>
        <w:rPr>
          <w:rFonts w:ascii="Arial" w:cs="Arial" w:eastAsia="Arial" w:hAnsi="Arial"/>
          <w:sz w:val="14"/>
          <w:szCs w:val="14"/>
          <w:b w:val="1"/>
          <w:bCs w:val="1"/>
          <w:color w:val="050A35"/>
        </w:rPr>
      </w:pPr>
      <w:r>
        <w:rPr>
          <w:rFonts w:ascii="Arial" w:cs="Arial" w:eastAsia="Arial" w:hAnsi="Arial"/>
          <w:sz w:val="14"/>
          <w:szCs w:val="14"/>
          <w:color w:val="050A35"/>
        </w:rPr>
        <w:t>RIDGEPOST CAPITAL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473710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775" w:right="1259" w:bottom="1440" w:gutter="0" w:footer="0" w:header="0"/>
          <w:type w:val="continuous"/>
        </w:sectPr>
      </w:pPr>
    </w:p>
    <w:bookmarkStart w:id="12" w:name="page13"/>
    <w:bookmarkEnd w:id="12"/>
    <w:p>
      <w:pPr>
        <w:jc w:val="right"/>
        <w:ind w:right="660"/>
        <w:spacing w:after="0"/>
        <w:rPr>
          <w:sz w:val="20"/>
          <w:szCs w:val="20"/>
          <w:color w:val="auto"/>
        </w:rPr>
      </w:pPr>
      <w:r>
        <w:rPr>
          <w:rFonts w:ascii="Arial" w:cs="Arial" w:eastAsia="Arial" w:hAnsi="Arial"/>
          <w:sz w:val="13"/>
          <w:szCs w:val="13"/>
          <w:color w:val="050A3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39" w:lineRule="exact"/>
        <w:rPr>
          <w:sz w:val="20"/>
          <w:szCs w:val="20"/>
          <w:color w:val="auto"/>
        </w:rPr>
      </w:pPr>
    </w:p>
    <w:p>
      <w:pPr>
        <w:ind w:left="660" w:right="840"/>
        <w:spacing w:after="0" w:line="264" w:lineRule="auto"/>
        <w:rPr>
          <w:sz w:val="20"/>
          <w:szCs w:val="20"/>
          <w:color w:val="auto"/>
        </w:rPr>
      </w:pPr>
      <w:r>
        <w:rPr>
          <w:rFonts w:ascii="Arial" w:cs="Arial" w:eastAsia="Arial" w:hAnsi="Arial"/>
          <w:sz w:val="15"/>
          <w:szCs w:val="15"/>
          <w:color w:val="050A35"/>
        </w:rPr>
        <w:t>collectively possesses a broad range of skills, expertise, industry and other relevant business knowledge, and other experience useful to the effective oversight of the Company's business.</w:t>
      </w:r>
    </w:p>
    <w:p>
      <w:pPr>
        <w:spacing w:after="0" w:line="53" w:lineRule="exact"/>
        <w:rPr>
          <w:sz w:val="20"/>
          <w:szCs w:val="20"/>
          <w:color w:val="auto"/>
        </w:rPr>
      </w:pPr>
    </w:p>
    <w:p>
      <w:pPr>
        <w:ind w:left="660" w:right="700"/>
        <w:spacing w:after="0" w:line="238" w:lineRule="auto"/>
        <w:rPr>
          <w:sz w:val="20"/>
          <w:szCs w:val="20"/>
          <w:color w:val="auto"/>
        </w:rPr>
      </w:pPr>
      <w:r>
        <w:rPr>
          <w:rFonts w:ascii="Arial" w:cs="Arial" w:eastAsia="Arial" w:hAnsi="Arial"/>
          <w:sz w:val="15"/>
          <w:szCs w:val="15"/>
          <w:color w:val="050A35"/>
        </w:rPr>
        <w:t>The Nominating and Corporate Governance Committee reviews the qualifications of director candidates and incumbent directors in light of the criteria established by our Board and recommends the Company’s candidates to our Board for election by the Company’s stockholders at the applicable Annual Meeting. We believe our Board is well positioned to provide effective oversight and strategic advice to our management.</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22"/>
          <w:szCs w:val="22"/>
          <w:color w:val="050A35"/>
        </w:rPr>
        <w:t>Board Risk Oversight</w:t>
      </w:r>
    </w:p>
    <w:p>
      <w:pPr>
        <w:spacing w:after="0" w:line="131" w:lineRule="exact"/>
        <w:rPr>
          <w:sz w:val="20"/>
          <w:szCs w:val="20"/>
          <w:color w:val="auto"/>
        </w:rPr>
      </w:pPr>
    </w:p>
    <w:p>
      <w:pPr>
        <w:ind w:left="660" w:right="700"/>
        <w:spacing w:after="0" w:line="230" w:lineRule="auto"/>
        <w:rPr>
          <w:sz w:val="20"/>
          <w:szCs w:val="20"/>
          <w:color w:val="auto"/>
        </w:rPr>
      </w:pPr>
      <w:r>
        <w:rPr>
          <w:rFonts w:ascii="Arial" w:cs="Arial" w:eastAsia="Arial" w:hAnsi="Arial"/>
          <w:sz w:val="15"/>
          <w:szCs w:val="15"/>
          <w:color w:val="050A35"/>
        </w:rPr>
        <w:t>The Board's role in risk oversight of the Company is consistent with our leadership structure, with the Chief Executive Officer and other members of senior management having responsibility for assessing and managing the Company's risk exposure, and the Board and its committees providing oversight in connection with these efforts. Management is responsible for assessing and managing the Company’s exposure to various risks on a day-to-day basis, which responsibilities include the conduct of an enterprise risk assessment of short-term, long-term and emerging risks, testing of key controls and procedures, and creation of appropriate risk management programs and policies. Management has developed and implemented guidelines and policies to identify, assess and manage significant risks facing the Company. In developing this framework, we recognize that leadership and success are impossible without taking risks; however, the imprudent acceptance of risks or the failure to appropriately identify and mitigate risks could adversely impact stockholder value. The Board is responsible for overseeing management in the execution of its responsibilities and for assessing our approach to risk management. While the Board’s oversight focuses on all material risks, the Board may focus more frequently on immediate areas of concern that represent significant emerging risks as identified by management.</w:t>
      </w:r>
    </w:p>
    <w:p>
      <w:pPr>
        <w:spacing w:after="0" w:line="72" w:lineRule="exact"/>
        <w:rPr>
          <w:sz w:val="20"/>
          <w:szCs w:val="20"/>
          <w:color w:val="auto"/>
        </w:rPr>
      </w:pPr>
    </w:p>
    <w:p>
      <w:pPr>
        <w:ind w:left="660" w:right="680"/>
        <w:spacing w:after="0" w:line="232" w:lineRule="auto"/>
        <w:rPr>
          <w:sz w:val="20"/>
          <w:szCs w:val="20"/>
          <w:color w:val="auto"/>
        </w:rPr>
      </w:pPr>
      <w:r>
        <w:rPr>
          <w:rFonts w:ascii="Arial" w:cs="Arial" w:eastAsia="Arial" w:hAnsi="Arial"/>
          <w:sz w:val="15"/>
          <w:szCs w:val="15"/>
          <w:color w:val="050A35"/>
        </w:rPr>
        <w:t>The full Board has the ultimate oversight responsibility for the risk management process and exercises primary oversight over risks relating to long-term strategies, capital structure, significant transactions and capital expenditures, and other significant risks as identified and reported by management. The Audit Committee oversees management of risks relating to the integrity of our financial statements, enterprise risks, financial risks, information security, and legal and regulatory compliance, and is responsible for the review and approval of related-party transactions. The Compensation Committee oversees management of risks relating to CEO and executive leadership performance and compensation, employee compensation policies and practices generally, equity compensation, and non-employee director compensation. The Nominating and Corporate Governance Committee oversees management of risks relating to director independence, Board and committee composition and performance, and governance practices.</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22"/>
          <w:szCs w:val="22"/>
          <w:color w:val="050A35"/>
        </w:rPr>
        <w:t>Procedures for Recommending Individuals to Serve as Directors</w:t>
      </w:r>
    </w:p>
    <w:p>
      <w:pPr>
        <w:spacing w:after="0" w:line="131" w:lineRule="exact"/>
        <w:rPr>
          <w:sz w:val="20"/>
          <w:szCs w:val="20"/>
          <w:color w:val="auto"/>
        </w:rPr>
      </w:pPr>
    </w:p>
    <w:p>
      <w:pPr>
        <w:ind w:left="660" w:right="660"/>
        <w:spacing w:after="0" w:line="231" w:lineRule="auto"/>
        <w:rPr>
          <w:sz w:val="20"/>
          <w:szCs w:val="20"/>
          <w:color w:val="auto"/>
        </w:rPr>
      </w:pPr>
      <w:r>
        <w:rPr>
          <w:rFonts w:ascii="Arial" w:cs="Arial" w:eastAsia="Arial" w:hAnsi="Arial"/>
          <w:sz w:val="15"/>
          <w:szCs w:val="15"/>
          <w:color w:val="050A35"/>
        </w:rPr>
        <w:t>The Nominating and Corporate Governance Committee also considers director candidates recommended by our stockholders that are submitted in accordance with our bylaws. Any stockholder who wishes to propose director nominees for consideration by our Nominating and Corporate Governance Committee may do so at any time by submitting each proposed nominee’s name and a description of his or her qualifications for Board membership to the chair of the Nominating and Corporate Governance Committee by sending an email to CorporateSecretary@ridgepostcapital.com or in writing, c/o our Corporate Secretary, at 2699 Howell Street, Suite 1000, Dallas, TX 75204. The recommendation should contain all of the information regarding the nominee required under the “advance notice” provisions of our bylaws (which will be provided free of charge upon request by writing to our Corporate Secretary at the address listed above). The Nominating and Corporate Governance Committee evaluates director nominee proposals submitted by stockholders in the same manner in which it evaluates other director nominees.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820" w:type="dxa"/>
            <w:vAlign w:val="bottom"/>
          </w:tcPr>
          <w:p>
            <w:pPr>
              <w:ind w:left="6640"/>
              <w:spacing w:after="0"/>
              <w:rPr>
                <w:sz w:val="20"/>
                <w:szCs w:val="20"/>
                <w:color w:val="auto"/>
              </w:rPr>
            </w:pPr>
            <w:r>
              <w:rPr>
                <w:rFonts w:ascii="Arial" w:cs="Arial" w:eastAsia="Arial" w:hAnsi="Arial"/>
                <w:sz w:val="14"/>
                <w:szCs w:val="14"/>
                <w:color w:val="050A35"/>
              </w:rPr>
              <w:t>RIDGEPOST CAPITAL | 2026 Proxy Statement</w:t>
            </w:r>
          </w:p>
        </w:tc>
        <w:tc>
          <w:tcPr>
            <w:tcW w:w="900" w:type="dxa"/>
            <w:vAlign w:val="bottom"/>
          </w:tcPr>
          <w:p>
            <w:pPr>
              <w:jc w:val="right"/>
              <w:ind w:right="588"/>
              <w:spacing w:after="0"/>
              <w:rPr>
                <w:sz w:val="20"/>
                <w:szCs w:val="20"/>
                <w:color w:val="auto"/>
              </w:rPr>
            </w:pPr>
            <w:r>
              <w:rPr>
                <w:rFonts w:ascii="Arial" w:cs="Arial" w:eastAsia="Arial" w:hAnsi="Arial"/>
                <w:sz w:val="14"/>
                <w:szCs w:val="14"/>
                <w:b w:val="1"/>
                <w:bCs w:val="1"/>
                <w:color w:val="050A35"/>
              </w:rPr>
              <w:t>9</w:t>
            </w:r>
          </w:p>
        </w:tc>
      </w:tr>
      <w:tr>
        <w:trPr>
          <w:trHeight w:val="738"/>
        </w:trPr>
        <w:tc>
          <w:tcPr>
            <w:tcW w:w="98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sectPr>
      </w:pPr>
    </w:p>
    <w:bookmarkStart w:id="13" w:name="page14"/>
    <w:bookmarkEnd w:id="13"/>
    <w:p>
      <w:pPr>
        <w:spacing w:after="0"/>
        <w:rPr>
          <w:sz w:val="20"/>
          <w:szCs w:val="20"/>
          <w:color w:val="auto"/>
        </w:rPr>
      </w:pPr>
      <w:r>
        <w:rPr>
          <w:rFonts w:ascii="Arial" w:cs="Arial" w:eastAsia="Arial" w:hAnsi="Arial"/>
          <w:sz w:val="13"/>
          <w:szCs w:val="13"/>
          <w:color w:val="050A3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9664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050A35"/>
        </w:rPr>
        <w:t>Board Committees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050A35"/>
        </w:rPr>
        <w:t>Our Board of Directors has standing Audit, Compensation, and Nominating and Corporate Governance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596646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6460" cy="163195"/>
                    </a:xfrm>
                    <a:prstGeom prst="rect">
                      <a:avLst/>
                    </a:prstGeom>
                    <a:noFill/>
                  </pic:spPr>
                </pic:pic>
              </a:graphicData>
            </a:graphic>
          </wp:anchor>
        </w:drawing>
      </w:r>
    </w:p>
    <w:p>
      <w:pPr>
        <w:sectPr>
          <w:pgSz w:w="11900" w:h="16838" w:orient="portrait"/>
          <w:cols w:equalWidth="0" w:num="1">
            <w:col w:w="9340"/>
          </w:cols>
          <w:pgMar w:left="1240" w:top="775" w:right="1319" w:bottom="1440" w:gutter="0" w:footer="0" w:header="0"/>
        </w:sectPr>
      </w:pPr>
    </w:p>
    <w:p>
      <w:pPr>
        <w:spacing w:after="0" w:line="14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Audit Committee</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50A35"/>
        </w:rPr>
        <w:t>Members:</w:t>
      </w:r>
    </w:p>
    <w:p>
      <w:pPr>
        <w:spacing w:after="0" w:line="6" w:lineRule="exact"/>
        <w:rPr>
          <w:sz w:val="20"/>
          <w:szCs w:val="20"/>
          <w:color w:val="auto"/>
        </w:rPr>
      </w:pPr>
    </w:p>
    <w:p>
      <w:pPr>
        <w:ind w:left="80" w:right="440"/>
        <w:spacing w:after="0" w:line="233" w:lineRule="auto"/>
        <w:rPr>
          <w:sz w:val="20"/>
          <w:szCs w:val="20"/>
          <w:color w:val="auto"/>
        </w:rPr>
      </w:pPr>
      <w:r>
        <w:rPr>
          <w:rFonts w:ascii="Arial" w:cs="Arial" w:eastAsia="Arial" w:hAnsi="Arial"/>
          <w:sz w:val="15"/>
          <w:szCs w:val="15"/>
          <w:color w:val="050A35"/>
        </w:rPr>
        <w:t>Jennifer Glassman (Chair) Travis Barnes Tracey Benford Robert Stewart, Jr.</w:t>
      </w:r>
    </w:p>
    <w:p>
      <w:pPr>
        <w:spacing w:after="0" w:line="99" w:lineRule="exact"/>
        <w:rPr>
          <w:sz w:val="20"/>
          <w:szCs w:val="20"/>
          <w:color w:val="auto"/>
        </w:rPr>
      </w:pPr>
    </w:p>
    <w:p>
      <w:pPr>
        <w:ind w:left="140" w:right="140"/>
        <w:spacing w:after="0" w:line="222" w:lineRule="auto"/>
        <w:rPr>
          <w:sz w:val="20"/>
          <w:szCs w:val="20"/>
          <w:color w:val="auto"/>
        </w:rPr>
      </w:pPr>
      <w:r>
        <w:rPr>
          <w:rFonts w:ascii="Arial" w:cs="Arial" w:eastAsia="Arial" w:hAnsi="Arial"/>
          <w:sz w:val="13"/>
          <w:szCs w:val="13"/>
          <w:color w:val="050A35"/>
        </w:rPr>
        <w:t>Our Board of Directors has determined that each member of the Audit Committee is an independent director under the independence standards of the NYSE and SEC rules, and that each member qualifies as an “audit committee financial expert,” as defined by the SEC.</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50A35"/>
        </w:rPr>
        <w:t>Meetings in 2025:</w:t>
      </w:r>
    </w:p>
    <w:p>
      <w:pPr>
        <w:spacing w:after="0" w:line="99" w:lineRule="exact"/>
        <w:rPr>
          <w:sz w:val="20"/>
          <w:szCs w:val="20"/>
          <w:color w:val="auto"/>
        </w:rPr>
      </w:pPr>
    </w:p>
    <w:p>
      <w:pPr>
        <w:ind w:left="400" w:hanging="174"/>
        <w:spacing w:after="0" w:line="242" w:lineRule="auto"/>
        <w:tabs>
          <w:tab w:leader="none" w:pos="400" w:val="left"/>
        </w:tabs>
        <w:numPr>
          <w:ilvl w:val="0"/>
          <w:numId w:val="21"/>
        </w:numPr>
        <w:rPr>
          <w:rFonts w:ascii="Times New Roman" w:cs="Times New Roman" w:eastAsia="Times New Roman" w:hAnsi="Times New Roman"/>
          <w:sz w:val="13"/>
          <w:szCs w:val="13"/>
          <w:color w:val="050A35"/>
        </w:rPr>
      </w:pPr>
      <w:r>
        <w:rPr>
          <w:rFonts w:ascii="Arial" w:cs="Arial" w:eastAsia="Arial" w:hAnsi="Arial"/>
          <w:sz w:val="13"/>
          <w:szCs w:val="13"/>
          <w:color w:val="050A35"/>
        </w:rPr>
        <w:t>In 2025, the Audit Committee held 5 meetings.</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050A35"/>
        </w:rPr>
        <w:t>The Audit Committee, among other things, is responsible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-1544955</wp:posOffset>
            </wp:positionH>
            <wp:positionV relativeFrom="paragraph">
              <wp:posOffset>-114935</wp:posOffset>
            </wp:positionV>
            <wp:extent cx="5966460" cy="28543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6460" cy="2854325"/>
                    </a:xfrm>
                    <a:prstGeom prst="rect">
                      <a:avLst/>
                    </a:prstGeom>
                    <a:noFill/>
                  </pic:spPr>
                </pic:pic>
              </a:graphicData>
            </a:graphic>
          </wp:anchor>
        </w:drawing>
      </w:r>
    </w:p>
    <w:p>
      <w:pPr>
        <w:spacing w:after="0" w:line="78" w:lineRule="exact"/>
        <w:rPr>
          <w:sz w:val="20"/>
          <w:szCs w:val="20"/>
          <w:color w:val="auto"/>
        </w:rPr>
      </w:pPr>
    </w:p>
    <w:p>
      <w:pPr>
        <w:ind w:left="400" w:right="460" w:hanging="161"/>
        <w:spacing w:after="0" w:line="263" w:lineRule="auto"/>
        <w:tabs>
          <w:tab w:leader="none" w:pos="400" w:val="left"/>
        </w:tabs>
        <w:numPr>
          <w:ilvl w:val="0"/>
          <w:numId w:val="22"/>
        </w:numPr>
        <w:rPr>
          <w:rFonts w:ascii="Times New Roman" w:cs="Times New Roman" w:eastAsia="Times New Roman" w:hAnsi="Times New Roman"/>
          <w:sz w:val="15"/>
          <w:szCs w:val="15"/>
          <w:color w:val="112B19"/>
        </w:rPr>
      </w:pPr>
      <w:r>
        <w:rPr>
          <w:rFonts w:ascii="Arial" w:cs="Arial" w:eastAsia="Arial" w:hAnsi="Arial"/>
          <w:sz w:val="15"/>
          <w:szCs w:val="15"/>
          <w:color w:val="050A35"/>
        </w:rPr>
        <w:t>appointing, determining the compensation of and overseeing the work of our independent registered public accounting firm;</w:t>
      </w:r>
    </w:p>
    <w:p>
      <w:pPr>
        <w:spacing w:after="0" w:line="53" w:lineRule="exact"/>
        <w:rPr>
          <w:rFonts w:ascii="Times New Roman" w:cs="Times New Roman" w:eastAsia="Times New Roman" w:hAnsi="Times New Roman"/>
          <w:sz w:val="15"/>
          <w:szCs w:val="15"/>
          <w:color w:val="112B19"/>
        </w:rPr>
      </w:pPr>
    </w:p>
    <w:p>
      <w:pPr>
        <w:ind w:left="400" w:right="100" w:hanging="161"/>
        <w:spacing w:after="0" w:line="263" w:lineRule="auto"/>
        <w:tabs>
          <w:tab w:leader="none" w:pos="400" w:val="left"/>
        </w:tabs>
        <w:numPr>
          <w:ilvl w:val="0"/>
          <w:numId w:val="22"/>
        </w:numPr>
        <w:rPr>
          <w:rFonts w:ascii="Times New Roman" w:cs="Times New Roman" w:eastAsia="Times New Roman" w:hAnsi="Times New Roman"/>
          <w:sz w:val="15"/>
          <w:szCs w:val="15"/>
          <w:color w:val="112B19"/>
        </w:rPr>
      </w:pPr>
      <w:r>
        <w:rPr>
          <w:rFonts w:ascii="Arial" w:cs="Arial" w:eastAsia="Arial" w:hAnsi="Arial"/>
          <w:sz w:val="15"/>
          <w:szCs w:val="15"/>
          <w:color w:val="050A35"/>
        </w:rPr>
        <w:t>considering and approving, in advance, all audit and non-audit services to be performed by our independent registered public accounting firm;</w:t>
      </w:r>
    </w:p>
    <w:p>
      <w:pPr>
        <w:spacing w:after="0" w:line="53" w:lineRule="exact"/>
        <w:rPr>
          <w:rFonts w:ascii="Times New Roman" w:cs="Times New Roman" w:eastAsia="Times New Roman" w:hAnsi="Times New Roman"/>
          <w:sz w:val="15"/>
          <w:szCs w:val="15"/>
          <w:color w:val="112B19"/>
        </w:rPr>
      </w:pPr>
    </w:p>
    <w:p>
      <w:pPr>
        <w:ind w:left="400" w:right="620" w:hanging="161"/>
        <w:spacing w:after="0" w:line="238" w:lineRule="auto"/>
        <w:tabs>
          <w:tab w:leader="none" w:pos="400" w:val="left"/>
        </w:tabs>
        <w:numPr>
          <w:ilvl w:val="0"/>
          <w:numId w:val="22"/>
        </w:numPr>
        <w:rPr>
          <w:rFonts w:ascii="Times New Roman" w:cs="Times New Roman" w:eastAsia="Times New Roman" w:hAnsi="Times New Roman"/>
          <w:sz w:val="15"/>
          <w:szCs w:val="15"/>
          <w:color w:val="112B19"/>
        </w:rPr>
      </w:pPr>
      <w:r>
        <w:rPr>
          <w:rFonts w:ascii="Arial" w:cs="Arial" w:eastAsia="Arial" w:hAnsi="Arial"/>
          <w:sz w:val="15"/>
          <w:szCs w:val="15"/>
          <w:color w:val="050A35"/>
        </w:rPr>
        <w:t>reporting to our Board of Directors regarding any significant issues with respect to the Company’s financial statements, the Company’s compliance with legal or regulatory requirements, the performance and independence of our independent registered public accounting firm, or the performance of our internal audit function;</w:t>
      </w:r>
    </w:p>
    <w:p>
      <w:pPr>
        <w:spacing w:after="0" w:line="71" w:lineRule="exact"/>
        <w:rPr>
          <w:rFonts w:ascii="Times New Roman" w:cs="Times New Roman" w:eastAsia="Times New Roman" w:hAnsi="Times New Roman"/>
          <w:sz w:val="15"/>
          <w:szCs w:val="15"/>
          <w:color w:val="112B19"/>
        </w:rPr>
      </w:pPr>
    </w:p>
    <w:p>
      <w:pPr>
        <w:jc w:val="both"/>
        <w:ind w:left="400" w:right="180" w:hanging="161"/>
        <w:spacing w:after="0" w:line="263" w:lineRule="auto"/>
        <w:tabs>
          <w:tab w:leader="none" w:pos="400" w:val="left"/>
        </w:tabs>
        <w:numPr>
          <w:ilvl w:val="0"/>
          <w:numId w:val="22"/>
        </w:numPr>
        <w:rPr>
          <w:rFonts w:ascii="Times New Roman" w:cs="Times New Roman" w:eastAsia="Times New Roman" w:hAnsi="Times New Roman"/>
          <w:sz w:val="15"/>
          <w:szCs w:val="15"/>
          <w:color w:val="112B19"/>
        </w:rPr>
      </w:pPr>
      <w:r>
        <w:rPr>
          <w:rFonts w:ascii="Arial" w:cs="Arial" w:eastAsia="Arial" w:hAnsi="Arial"/>
          <w:sz w:val="15"/>
          <w:szCs w:val="15"/>
          <w:color w:val="050A35"/>
        </w:rPr>
        <w:t>reviewing our financial statements, including any significant financial items and/or changes in accounting policies, with our management and independent registered public accounting firm;</w:t>
      </w:r>
    </w:p>
    <w:p>
      <w:pPr>
        <w:spacing w:after="0" w:line="53" w:lineRule="exact"/>
        <w:rPr>
          <w:rFonts w:ascii="Times New Roman" w:cs="Times New Roman" w:eastAsia="Times New Roman" w:hAnsi="Times New Roman"/>
          <w:sz w:val="15"/>
          <w:szCs w:val="15"/>
          <w:color w:val="112B19"/>
        </w:rPr>
      </w:pPr>
    </w:p>
    <w:p>
      <w:pPr>
        <w:ind w:left="400" w:right="280" w:hanging="161"/>
        <w:spacing w:after="0" w:line="263" w:lineRule="auto"/>
        <w:tabs>
          <w:tab w:leader="none" w:pos="400" w:val="left"/>
        </w:tabs>
        <w:numPr>
          <w:ilvl w:val="0"/>
          <w:numId w:val="22"/>
        </w:numPr>
        <w:rPr>
          <w:rFonts w:ascii="Times New Roman" w:cs="Times New Roman" w:eastAsia="Times New Roman" w:hAnsi="Times New Roman"/>
          <w:sz w:val="15"/>
          <w:szCs w:val="15"/>
          <w:color w:val="112B19"/>
        </w:rPr>
      </w:pPr>
      <w:r>
        <w:rPr>
          <w:rFonts w:ascii="Arial" w:cs="Arial" w:eastAsia="Arial" w:hAnsi="Arial"/>
          <w:sz w:val="15"/>
          <w:szCs w:val="15"/>
          <w:color w:val="050A35"/>
        </w:rPr>
        <w:t>reviewing our financial risk exposures and monitoring and control procedures, including with respect to cybersecurity and information technology;</w:t>
      </w:r>
    </w:p>
    <w:p>
      <w:pPr>
        <w:spacing w:after="0" w:line="53" w:lineRule="exact"/>
        <w:rPr>
          <w:rFonts w:ascii="Times New Roman" w:cs="Times New Roman" w:eastAsia="Times New Roman" w:hAnsi="Times New Roman"/>
          <w:sz w:val="15"/>
          <w:szCs w:val="15"/>
          <w:color w:val="112B19"/>
        </w:rPr>
      </w:pPr>
    </w:p>
    <w:p>
      <w:pPr>
        <w:ind w:left="400" w:right="160" w:hanging="161"/>
        <w:spacing w:after="0" w:line="263" w:lineRule="auto"/>
        <w:tabs>
          <w:tab w:leader="none" w:pos="400" w:val="left"/>
        </w:tabs>
        <w:numPr>
          <w:ilvl w:val="0"/>
          <w:numId w:val="22"/>
        </w:numPr>
        <w:rPr>
          <w:rFonts w:ascii="Times New Roman" w:cs="Times New Roman" w:eastAsia="Times New Roman" w:hAnsi="Times New Roman"/>
          <w:sz w:val="15"/>
          <w:szCs w:val="15"/>
          <w:color w:val="112B19"/>
        </w:rPr>
      </w:pPr>
      <w:r>
        <w:rPr>
          <w:rFonts w:ascii="Arial" w:cs="Arial" w:eastAsia="Arial" w:hAnsi="Arial"/>
          <w:sz w:val="15"/>
          <w:szCs w:val="15"/>
          <w:color w:val="050A35"/>
        </w:rPr>
        <w:t>reviewing and approving or ratifying related-party transactions in accordance with our Related Person Transaction Policy;</w:t>
      </w:r>
    </w:p>
    <w:p>
      <w:pPr>
        <w:spacing w:after="0" w:line="53" w:lineRule="exact"/>
        <w:rPr>
          <w:rFonts w:ascii="Times New Roman" w:cs="Times New Roman" w:eastAsia="Times New Roman" w:hAnsi="Times New Roman"/>
          <w:sz w:val="15"/>
          <w:szCs w:val="15"/>
          <w:color w:val="112B19"/>
        </w:rPr>
      </w:pPr>
    </w:p>
    <w:p>
      <w:pPr>
        <w:jc w:val="both"/>
        <w:ind w:left="400" w:right="160" w:hanging="161"/>
        <w:spacing w:after="0" w:line="263" w:lineRule="auto"/>
        <w:tabs>
          <w:tab w:leader="none" w:pos="400" w:val="left"/>
        </w:tabs>
        <w:numPr>
          <w:ilvl w:val="0"/>
          <w:numId w:val="22"/>
        </w:numPr>
        <w:rPr>
          <w:rFonts w:ascii="Times New Roman" w:cs="Times New Roman" w:eastAsia="Times New Roman" w:hAnsi="Times New Roman"/>
          <w:sz w:val="15"/>
          <w:szCs w:val="15"/>
          <w:color w:val="112B19"/>
        </w:rPr>
      </w:pPr>
      <w:r>
        <w:rPr>
          <w:rFonts w:ascii="Arial" w:cs="Arial" w:eastAsia="Arial" w:hAnsi="Arial"/>
          <w:sz w:val="15"/>
          <w:szCs w:val="15"/>
          <w:color w:val="050A35"/>
        </w:rPr>
        <w:t>reviewing and discussing with our management and independent registered public accounting firm disclosures and attestations included in the Company’s periodic filings with the SEC; and</w:t>
      </w:r>
    </w:p>
    <w:p>
      <w:pPr>
        <w:spacing w:after="0" w:line="53" w:lineRule="exact"/>
        <w:rPr>
          <w:rFonts w:ascii="Times New Roman" w:cs="Times New Roman" w:eastAsia="Times New Roman" w:hAnsi="Times New Roman"/>
          <w:sz w:val="15"/>
          <w:szCs w:val="15"/>
          <w:color w:val="112B19"/>
        </w:rPr>
      </w:pPr>
    </w:p>
    <w:p>
      <w:pPr>
        <w:ind w:left="400" w:right="300" w:hanging="161"/>
        <w:spacing w:after="0" w:line="263" w:lineRule="auto"/>
        <w:tabs>
          <w:tab w:leader="none" w:pos="400" w:val="left"/>
        </w:tabs>
        <w:numPr>
          <w:ilvl w:val="0"/>
          <w:numId w:val="22"/>
        </w:numPr>
        <w:rPr>
          <w:rFonts w:ascii="Times New Roman" w:cs="Times New Roman" w:eastAsia="Times New Roman" w:hAnsi="Times New Roman"/>
          <w:sz w:val="15"/>
          <w:szCs w:val="15"/>
          <w:color w:val="112B19"/>
        </w:rPr>
      </w:pPr>
      <w:r>
        <w:rPr>
          <w:rFonts w:ascii="Arial" w:cs="Arial" w:eastAsia="Arial" w:hAnsi="Arial"/>
          <w:sz w:val="15"/>
          <w:szCs w:val="15"/>
          <w:color w:val="050A35"/>
        </w:rPr>
        <w:t>establishing procedures for the receipt and treatment of complaints and employee concerns regarding accounting, internal accounting controls or auditing matters.</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5"/>
          <w:szCs w:val="15"/>
          <w:color w:val="050A35"/>
        </w:rPr>
        <w:t>A copy of the Audit Committee charter is available at:</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5"/>
          <w:szCs w:val="15"/>
          <w:u w:val="single" w:color="auto"/>
          <w:color w:val="050A35"/>
        </w:rPr>
        <w:t>https://ir.ridgepostcapital.com/governance-documents</w:t>
      </w:r>
      <w:r>
        <w:rPr>
          <w:rFonts w:ascii="Arial" w:cs="Arial" w:eastAsia="Arial" w:hAnsi="Arial"/>
          <w:sz w:val="15"/>
          <w:szCs w:val="15"/>
          <w:color w:val="050A3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-1544955</wp:posOffset>
            </wp:positionH>
            <wp:positionV relativeFrom="paragraph">
              <wp:posOffset>193040</wp:posOffset>
            </wp:positionV>
            <wp:extent cx="596646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646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140"/>
            <w:col w:w="6900"/>
          </w:cols>
          <w:pgMar w:left="1240" w:top="775" w:right="1319" w:bottom="1440" w:gutter="0" w:footer="0" w:header="0"/>
          <w:type w:val="continuous"/>
        </w:sectPr>
      </w:pPr>
    </w:p>
    <w:p>
      <w:pPr>
        <w:spacing w:after="0" w:line="11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38100</wp:posOffset>
            </wp:positionV>
            <wp:extent cx="5966460" cy="19030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6460" cy="1903095"/>
                    </a:xfrm>
                    <a:prstGeom prst="rect">
                      <a:avLst/>
                    </a:prstGeom>
                    <a:noFill/>
                  </pic:spPr>
                </pic:pic>
              </a:graphicData>
            </a:graphic>
          </wp:anchor>
        </w:drawing>
      </w:r>
    </w:p>
    <w:p>
      <w:pPr>
        <w:sectPr>
          <w:pgSz w:w="11900" w:h="16838" w:orient="portrait"/>
          <w:cols w:equalWidth="0" w:num="1">
            <w:col w:w="9340"/>
          </w:cols>
          <w:pgMar w:left="1240" w:top="775" w:right="1319" w:bottom="1440" w:gutter="0" w:footer="0" w:header="0"/>
          <w:type w:val="continuous"/>
        </w:sectPr>
      </w:pPr>
    </w:p>
    <w:p>
      <w:pPr>
        <w:spacing w:after="0" w:line="6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50A35"/>
        </w:rPr>
        <w:t>Members:</w:t>
      </w:r>
    </w:p>
    <w:p>
      <w:pPr>
        <w:spacing w:after="0" w:line="6" w:lineRule="exact"/>
        <w:rPr>
          <w:sz w:val="20"/>
          <w:szCs w:val="20"/>
          <w:color w:val="auto"/>
        </w:rPr>
      </w:pPr>
    </w:p>
    <w:p>
      <w:pPr>
        <w:ind w:left="80" w:right="700"/>
        <w:spacing w:after="0" w:line="233" w:lineRule="auto"/>
        <w:rPr>
          <w:sz w:val="20"/>
          <w:szCs w:val="20"/>
          <w:color w:val="auto"/>
        </w:rPr>
      </w:pPr>
      <w:r>
        <w:rPr>
          <w:rFonts w:ascii="Arial" w:cs="Arial" w:eastAsia="Arial" w:hAnsi="Arial"/>
          <w:sz w:val="15"/>
          <w:szCs w:val="15"/>
          <w:color w:val="050A35"/>
        </w:rPr>
        <w:t>Tracey Benford (Chair) Travis Barnes Stephen Blewitt Robert Stewart, Jr.</w:t>
      </w:r>
    </w:p>
    <w:p>
      <w:pPr>
        <w:spacing w:after="0" w:line="72" w:lineRule="exact"/>
        <w:rPr>
          <w:sz w:val="20"/>
          <w:szCs w:val="20"/>
          <w:color w:val="auto"/>
        </w:rPr>
      </w:pPr>
    </w:p>
    <w:p>
      <w:pPr>
        <w:ind w:left="140" w:right="180"/>
        <w:spacing w:after="0" w:line="225" w:lineRule="auto"/>
        <w:rPr>
          <w:sz w:val="20"/>
          <w:szCs w:val="20"/>
          <w:color w:val="auto"/>
        </w:rPr>
      </w:pPr>
      <w:r>
        <w:rPr>
          <w:rFonts w:ascii="Arial" w:cs="Arial" w:eastAsia="Arial" w:hAnsi="Arial"/>
          <w:sz w:val="13"/>
          <w:szCs w:val="13"/>
          <w:color w:val="050A35"/>
        </w:rPr>
        <w:t>Our Board of Directors has determined that each member of the Compensation Committee is an independent director under the independence standards of the NYSE and SEC rules.</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050A35"/>
        </w:rPr>
        <w:t>Meetings in 2025:</w:t>
      </w:r>
    </w:p>
    <w:p>
      <w:pPr>
        <w:spacing w:after="0" w:line="99" w:lineRule="exact"/>
        <w:rPr>
          <w:sz w:val="20"/>
          <w:szCs w:val="20"/>
          <w:color w:val="auto"/>
        </w:rPr>
      </w:pPr>
    </w:p>
    <w:p>
      <w:pPr>
        <w:ind w:left="180" w:hanging="174"/>
        <w:spacing w:after="0" w:line="242" w:lineRule="auto"/>
        <w:tabs>
          <w:tab w:leader="none" w:pos="180" w:val="left"/>
        </w:tabs>
        <w:numPr>
          <w:ilvl w:val="0"/>
          <w:numId w:val="23"/>
        </w:numPr>
        <w:rPr>
          <w:rFonts w:ascii="Times New Roman" w:cs="Times New Roman" w:eastAsia="Times New Roman" w:hAnsi="Times New Roman"/>
          <w:sz w:val="13"/>
          <w:szCs w:val="13"/>
          <w:color w:val="050A35"/>
        </w:rPr>
      </w:pPr>
      <w:r>
        <w:rPr>
          <w:rFonts w:ascii="Arial" w:cs="Arial" w:eastAsia="Arial" w:hAnsi="Arial"/>
          <w:sz w:val="13"/>
          <w:szCs w:val="13"/>
          <w:color w:val="050A35"/>
        </w:rPr>
        <w:t>In 2025, the Compensation Committee held 7 meetings.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050A35"/>
        </w:rPr>
        <w:t>The Compensation Committee, among other things, is responsible for:</w:t>
      </w:r>
    </w:p>
    <w:p>
      <w:pPr>
        <w:spacing w:after="0" w:line="98" w:lineRule="exact"/>
        <w:rPr>
          <w:sz w:val="20"/>
          <w:szCs w:val="20"/>
          <w:color w:val="auto"/>
        </w:rPr>
      </w:pPr>
    </w:p>
    <w:p>
      <w:pPr>
        <w:ind w:left="400" w:hanging="161"/>
        <w:spacing w:after="0"/>
        <w:tabs>
          <w:tab w:leader="none" w:pos="400" w:val="left"/>
        </w:tabs>
        <w:numPr>
          <w:ilvl w:val="0"/>
          <w:numId w:val="24"/>
        </w:numPr>
        <w:rPr>
          <w:rFonts w:ascii="Times New Roman" w:cs="Times New Roman" w:eastAsia="Times New Roman" w:hAnsi="Times New Roman"/>
          <w:sz w:val="15"/>
          <w:szCs w:val="15"/>
          <w:color w:val="112B19"/>
        </w:rPr>
      </w:pPr>
      <w:r>
        <w:rPr>
          <w:rFonts w:ascii="Arial" w:cs="Arial" w:eastAsia="Arial" w:hAnsi="Arial"/>
          <w:sz w:val="15"/>
          <w:szCs w:val="15"/>
          <w:color w:val="050A35"/>
        </w:rPr>
        <w:t>reviewing and approving corporate goals and objectives relevant to the Chief Executive Officer's compensation, evaluating the Chief Executive Officer's performance in light of those goals and objectives, and determining the Chief Executive Officer's compensation based on that evaluation;</w:t>
      </w:r>
    </w:p>
    <w:p>
      <w:pPr>
        <w:spacing w:after="0" w:line="237" w:lineRule="exact"/>
        <w:rPr>
          <w:rFonts w:ascii="Times New Roman" w:cs="Times New Roman" w:eastAsia="Times New Roman" w:hAnsi="Times New Roman"/>
          <w:sz w:val="15"/>
          <w:szCs w:val="15"/>
          <w:color w:val="112B19"/>
        </w:rPr>
      </w:pPr>
    </w:p>
    <w:p>
      <w:pPr>
        <w:ind w:left="400" w:right="340" w:hanging="161"/>
        <w:spacing w:after="0" w:line="263" w:lineRule="auto"/>
        <w:tabs>
          <w:tab w:leader="none" w:pos="400" w:val="left"/>
        </w:tabs>
        <w:numPr>
          <w:ilvl w:val="0"/>
          <w:numId w:val="24"/>
        </w:numPr>
        <w:rPr>
          <w:rFonts w:ascii="Times New Roman" w:cs="Times New Roman" w:eastAsia="Times New Roman" w:hAnsi="Times New Roman"/>
          <w:sz w:val="15"/>
          <w:szCs w:val="15"/>
          <w:color w:val="112B19"/>
        </w:rPr>
      </w:pPr>
      <w:r>
        <w:rPr>
          <w:rFonts w:ascii="Arial" w:cs="Arial" w:eastAsia="Arial" w:hAnsi="Arial"/>
          <w:sz w:val="15"/>
          <w:szCs w:val="15"/>
          <w:color w:val="050A35"/>
        </w:rPr>
        <w:t>evaluating the performance of our other executive officers and reviewing and approving the compensation of our other executive officers;</w:t>
      </w:r>
    </w:p>
    <w:p>
      <w:pPr>
        <w:spacing w:after="0" w:line="53" w:lineRule="exact"/>
        <w:rPr>
          <w:rFonts w:ascii="Times New Roman" w:cs="Times New Roman" w:eastAsia="Times New Roman" w:hAnsi="Times New Roman"/>
          <w:sz w:val="15"/>
          <w:szCs w:val="15"/>
          <w:color w:val="112B19"/>
        </w:rPr>
      </w:pPr>
    </w:p>
    <w:p>
      <w:pPr>
        <w:ind w:left="400" w:hanging="161"/>
        <w:spacing w:after="0"/>
        <w:tabs>
          <w:tab w:leader="none" w:pos="400" w:val="left"/>
        </w:tabs>
        <w:numPr>
          <w:ilvl w:val="0"/>
          <w:numId w:val="24"/>
        </w:numPr>
        <w:rPr>
          <w:rFonts w:ascii="Times New Roman" w:cs="Times New Roman" w:eastAsia="Times New Roman" w:hAnsi="Times New Roman"/>
          <w:sz w:val="15"/>
          <w:szCs w:val="15"/>
          <w:color w:val="112B19"/>
        </w:rPr>
      </w:pPr>
      <w:r>
        <w:rPr>
          <w:rFonts w:ascii="Arial" w:cs="Arial" w:eastAsia="Arial" w:hAnsi="Arial"/>
          <w:sz w:val="15"/>
          <w:szCs w:val="15"/>
          <w:color w:val="050A35"/>
        </w:rPr>
        <w:t>reviewing and approving the compensation of our non-employee directors;</w:t>
      </w:r>
    </w:p>
    <w:p>
      <w:pPr>
        <w:spacing w:after="0" w:line="96" w:lineRule="exact"/>
        <w:rPr>
          <w:rFonts w:ascii="Times New Roman" w:cs="Times New Roman" w:eastAsia="Times New Roman" w:hAnsi="Times New Roman"/>
          <w:sz w:val="15"/>
          <w:szCs w:val="15"/>
          <w:color w:val="112B19"/>
        </w:rPr>
      </w:pPr>
    </w:p>
    <w:p>
      <w:pPr>
        <w:ind w:left="400" w:right="680" w:hanging="161"/>
        <w:spacing w:after="0" w:line="244" w:lineRule="auto"/>
        <w:tabs>
          <w:tab w:leader="none" w:pos="400" w:val="left"/>
        </w:tabs>
        <w:numPr>
          <w:ilvl w:val="0"/>
          <w:numId w:val="24"/>
        </w:numPr>
        <w:rPr>
          <w:rFonts w:ascii="Times New Roman" w:cs="Times New Roman" w:eastAsia="Times New Roman" w:hAnsi="Times New Roman"/>
          <w:sz w:val="15"/>
          <w:szCs w:val="15"/>
          <w:color w:val="112B19"/>
        </w:rPr>
      </w:pPr>
      <w:r>
        <w:rPr>
          <w:rFonts w:ascii="Arial" w:cs="Arial" w:eastAsia="Arial" w:hAnsi="Arial"/>
          <w:sz w:val="15"/>
          <w:szCs w:val="15"/>
          <w:color w:val="050A35"/>
        </w:rPr>
        <w:t>reviewing and approving employment and severance arrangements, change in control arrangements or provisions affecting compensation and benefits, and any special or supplemental compensation and benefits as they affect our executive officers; and</w:t>
      </w:r>
    </w:p>
    <w:p>
      <w:pPr>
        <w:spacing w:after="0" w:line="67" w:lineRule="exact"/>
        <w:rPr>
          <w:rFonts w:ascii="Times New Roman" w:cs="Times New Roman" w:eastAsia="Times New Roman" w:hAnsi="Times New Roman"/>
          <w:sz w:val="15"/>
          <w:szCs w:val="15"/>
          <w:color w:val="112B19"/>
        </w:rPr>
      </w:pPr>
    </w:p>
    <w:p>
      <w:pPr>
        <w:ind w:left="400" w:hanging="161"/>
        <w:spacing w:after="0"/>
        <w:tabs>
          <w:tab w:leader="none" w:pos="400" w:val="left"/>
        </w:tabs>
        <w:numPr>
          <w:ilvl w:val="0"/>
          <w:numId w:val="24"/>
        </w:numPr>
        <w:rPr>
          <w:rFonts w:ascii="Times New Roman" w:cs="Times New Roman" w:eastAsia="Times New Roman" w:hAnsi="Times New Roman"/>
          <w:sz w:val="15"/>
          <w:szCs w:val="15"/>
          <w:color w:val="112B19"/>
        </w:rPr>
      </w:pPr>
      <w:r>
        <w:rPr>
          <w:rFonts w:ascii="Arial" w:cs="Arial" w:eastAsia="Arial" w:hAnsi="Arial"/>
          <w:sz w:val="15"/>
          <w:szCs w:val="15"/>
          <w:color w:val="050A35"/>
        </w:rPr>
        <w:t>oversight of our incentive and equity-based compensation plans, policies and programs.</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5"/>
          <w:szCs w:val="15"/>
          <w:color w:val="050A35"/>
        </w:rPr>
        <w:t>A copy of the Compensation Committee charter is available at:</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5"/>
          <w:szCs w:val="15"/>
          <w:color w:val="auto"/>
        </w:rPr>
        <w:t>https://ir.ridgepostcapital.com/governance-documents.</w:t>
      </w:r>
    </w:p>
    <w:p>
      <w:pPr>
        <w:spacing w:after="0" w:line="200" w:lineRule="exact"/>
        <w:rPr>
          <w:sz w:val="20"/>
          <w:szCs w:val="20"/>
          <w:color w:val="auto"/>
        </w:rPr>
      </w:pPr>
    </w:p>
    <w:p>
      <w:pPr>
        <w:sectPr>
          <w:pgSz w:w="11900" w:h="16838" w:orient="portrait"/>
          <w:cols w:equalWidth="0" w:num="2">
            <w:col w:w="2340" w:space="100"/>
            <w:col w:w="6900"/>
          </w:cols>
          <w:pgMar w:left="1240" w:top="775" w:right="1319" w:bottom="1440" w:gutter="0" w:footer="0" w:header="0"/>
          <w:type w:val="continuous"/>
        </w:sectPr>
      </w:pPr>
    </w:p>
    <w:p>
      <w:pPr>
        <w:spacing w:after="0" w:line="256" w:lineRule="exact"/>
        <w:rPr>
          <w:sz w:val="20"/>
          <w:szCs w:val="20"/>
          <w:color w:val="auto"/>
        </w:rPr>
      </w:pPr>
    </w:p>
    <w:p>
      <w:pPr>
        <w:ind w:left="480" w:hanging="474"/>
        <w:spacing w:after="0"/>
        <w:tabs>
          <w:tab w:leader="none" w:pos="480" w:val="left"/>
        </w:tabs>
        <w:numPr>
          <w:ilvl w:val="0"/>
          <w:numId w:val="25"/>
        </w:numPr>
        <w:rPr>
          <w:rFonts w:ascii="Arial" w:cs="Arial" w:eastAsia="Arial" w:hAnsi="Arial"/>
          <w:sz w:val="14"/>
          <w:szCs w:val="14"/>
          <w:b w:val="1"/>
          <w:bCs w:val="1"/>
          <w:color w:val="050A35"/>
        </w:rPr>
      </w:pPr>
      <w:r>
        <w:rPr>
          <w:rFonts w:ascii="Arial" w:cs="Arial" w:eastAsia="Arial" w:hAnsi="Arial"/>
          <w:sz w:val="14"/>
          <w:szCs w:val="14"/>
          <w:color w:val="050A35"/>
        </w:rPr>
        <w:t>RIDGEPOST CAPITAL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473710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40"/>
          </w:cols>
          <w:pgMar w:left="1240" w:top="775" w:right="1319" w:bottom="1440" w:gutter="0" w:footer="0" w:header="0"/>
          <w:type w:val="continuous"/>
        </w:sectPr>
      </w:pPr>
    </w:p>
    <w:bookmarkStart w:id="14" w:name="page15"/>
    <w:bookmarkEnd w:id="14"/>
    <w:p>
      <w:pPr>
        <w:jc w:val="right"/>
        <w:ind w:right="660"/>
        <w:spacing w:after="0"/>
        <w:rPr>
          <w:sz w:val="20"/>
          <w:szCs w:val="20"/>
          <w:color w:val="auto"/>
        </w:rPr>
      </w:pPr>
      <w:r>
        <w:rPr>
          <w:rFonts w:ascii="Arial" w:cs="Arial" w:eastAsia="Arial" w:hAnsi="Arial"/>
          <w:sz w:val="13"/>
          <w:szCs w:val="13"/>
          <w:color w:val="050A3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247650</wp:posOffset>
            </wp:positionV>
            <wp:extent cx="596646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6460" cy="163195"/>
                    </a:xfrm>
                    <a:prstGeom prst="rect">
                      <a:avLst/>
                    </a:prstGeom>
                    <a:noFill/>
                  </pic:spPr>
                </pic:pic>
              </a:graphicData>
            </a:graphic>
          </wp:anchor>
        </w:drawing>
      </w:r>
    </w:p>
    <w:p>
      <w:pPr>
        <w:spacing w:after="0" w:line="383"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FFFFFF"/>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38100</wp:posOffset>
            </wp:positionV>
            <wp:extent cx="5966460" cy="17227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6460" cy="172275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sectPr>
      </w:pPr>
    </w:p>
    <w:p>
      <w:pPr>
        <w:spacing w:after="0" w:line="67"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050A35"/>
        </w:rPr>
        <w:t>Members:</w:t>
      </w:r>
    </w:p>
    <w:p>
      <w:pPr>
        <w:ind w:left="740"/>
        <w:spacing w:after="0" w:line="233" w:lineRule="auto"/>
        <w:rPr>
          <w:sz w:val="20"/>
          <w:szCs w:val="20"/>
          <w:color w:val="auto"/>
        </w:rPr>
      </w:pPr>
      <w:r>
        <w:rPr>
          <w:rFonts w:ascii="Arial" w:cs="Arial" w:eastAsia="Arial" w:hAnsi="Arial"/>
          <w:sz w:val="15"/>
          <w:szCs w:val="15"/>
          <w:color w:val="050A35"/>
        </w:rPr>
        <w:t>Scott Gwilliam (Chair)</w:t>
      </w:r>
    </w:p>
    <w:p>
      <w:pPr>
        <w:ind w:left="740"/>
        <w:spacing w:after="0" w:line="225" w:lineRule="auto"/>
        <w:rPr>
          <w:sz w:val="20"/>
          <w:szCs w:val="20"/>
          <w:color w:val="auto"/>
        </w:rPr>
      </w:pPr>
      <w:r>
        <w:rPr>
          <w:rFonts w:ascii="Arial" w:cs="Arial" w:eastAsia="Arial" w:hAnsi="Arial"/>
          <w:sz w:val="15"/>
          <w:szCs w:val="15"/>
          <w:color w:val="050A35"/>
        </w:rPr>
        <w:t>Tracey Benford</w:t>
      </w:r>
    </w:p>
    <w:p>
      <w:pPr>
        <w:ind w:left="740"/>
        <w:spacing w:after="0"/>
        <w:rPr>
          <w:sz w:val="20"/>
          <w:szCs w:val="20"/>
          <w:color w:val="auto"/>
        </w:rPr>
      </w:pPr>
      <w:r>
        <w:rPr>
          <w:rFonts w:ascii="Arial" w:cs="Arial" w:eastAsia="Arial" w:hAnsi="Arial"/>
          <w:sz w:val="15"/>
          <w:szCs w:val="15"/>
          <w:color w:val="050A35"/>
        </w:rPr>
        <w:t>Robert Stewart, Jr.</w:t>
      </w:r>
    </w:p>
    <w:p>
      <w:pPr>
        <w:spacing w:after="0" w:line="137" w:lineRule="exact"/>
        <w:rPr>
          <w:sz w:val="20"/>
          <w:szCs w:val="20"/>
          <w:color w:val="auto"/>
        </w:rPr>
      </w:pPr>
    </w:p>
    <w:p>
      <w:pPr>
        <w:ind w:left="800" w:right="160"/>
        <w:spacing w:after="0" w:line="223" w:lineRule="auto"/>
        <w:rPr>
          <w:sz w:val="20"/>
          <w:szCs w:val="20"/>
          <w:color w:val="auto"/>
        </w:rPr>
      </w:pPr>
      <w:r>
        <w:rPr>
          <w:rFonts w:ascii="Arial" w:cs="Arial" w:eastAsia="Arial" w:hAnsi="Arial"/>
          <w:sz w:val="13"/>
          <w:szCs w:val="13"/>
          <w:color w:val="050A35"/>
        </w:rPr>
        <w:t>Our Board of Directors has determined that each member of the Nominating and Corporate Governance Committee is an independent director under the independence standards of the NYSE and SEC rules.</w:t>
      </w:r>
    </w:p>
    <w:p>
      <w:pPr>
        <w:spacing w:after="0" w:line="214"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050A35"/>
        </w:rPr>
        <w:t>Meetings in 2025:</w:t>
      </w:r>
    </w:p>
    <w:p>
      <w:pPr>
        <w:spacing w:after="0" w:line="99" w:lineRule="exact"/>
        <w:rPr>
          <w:sz w:val="20"/>
          <w:szCs w:val="20"/>
          <w:color w:val="auto"/>
        </w:rPr>
      </w:pPr>
    </w:p>
    <w:p>
      <w:pPr>
        <w:ind w:left="1060" w:hanging="174"/>
        <w:spacing w:after="0" w:line="233" w:lineRule="auto"/>
        <w:tabs>
          <w:tab w:leader="none" w:pos="1060" w:val="left"/>
        </w:tabs>
        <w:numPr>
          <w:ilvl w:val="0"/>
          <w:numId w:val="26"/>
        </w:numPr>
        <w:rPr>
          <w:rFonts w:ascii="Times New Roman" w:cs="Times New Roman" w:eastAsia="Times New Roman" w:hAnsi="Times New Roman"/>
          <w:sz w:val="13"/>
          <w:szCs w:val="13"/>
          <w:color w:val="050A35"/>
        </w:rPr>
      </w:pPr>
      <w:r>
        <w:rPr>
          <w:rFonts w:ascii="Arial" w:cs="Arial" w:eastAsia="Arial" w:hAnsi="Arial"/>
          <w:sz w:val="13"/>
          <w:szCs w:val="13"/>
          <w:color w:val="050A35"/>
        </w:rPr>
        <w:t>In 2025, the Nominating and Corporate Governance Committee held 4 meetings.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050A35"/>
        </w:rPr>
        <w:t>The Nominating and Corporate Governance Committee, among other things, is responsible for:</w:t>
      </w:r>
    </w:p>
    <w:p>
      <w:pPr>
        <w:spacing w:after="0" w:line="98" w:lineRule="exact"/>
        <w:rPr>
          <w:sz w:val="20"/>
          <w:szCs w:val="20"/>
          <w:color w:val="auto"/>
        </w:rPr>
      </w:pPr>
    </w:p>
    <w:p>
      <w:pPr>
        <w:ind w:left="400" w:right="760" w:hanging="161"/>
        <w:spacing w:after="0" w:line="244" w:lineRule="auto"/>
        <w:tabs>
          <w:tab w:leader="none" w:pos="400" w:val="left"/>
        </w:tabs>
        <w:numPr>
          <w:ilvl w:val="0"/>
          <w:numId w:val="27"/>
        </w:numPr>
        <w:rPr>
          <w:rFonts w:ascii="Times New Roman" w:cs="Times New Roman" w:eastAsia="Times New Roman" w:hAnsi="Times New Roman"/>
          <w:sz w:val="15"/>
          <w:szCs w:val="15"/>
          <w:color w:val="112B19"/>
        </w:rPr>
      </w:pPr>
      <w:r>
        <w:rPr>
          <w:rFonts w:ascii="Arial" w:cs="Arial" w:eastAsia="Arial" w:hAnsi="Arial"/>
          <w:sz w:val="15"/>
          <w:szCs w:val="15"/>
          <w:color w:val="050A35"/>
        </w:rPr>
        <w:t>identifying individuals qualified to become members of our Board of Directors, consistent with criteria established by our Board of Directors, and vetting individuals suggested for membership on our Board of Directors by stockholders of the Company;</w:t>
      </w:r>
    </w:p>
    <w:p>
      <w:pPr>
        <w:spacing w:after="0" w:line="67" w:lineRule="exact"/>
        <w:rPr>
          <w:rFonts w:ascii="Times New Roman" w:cs="Times New Roman" w:eastAsia="Times New Roman" w:hAnsi="Times New Roman"/>
          <w:sz w:val="15"/>
          <w:szCs w:val="15"/>
          <w:color w:val="112B19"/>
        </w:rPr>
      </w:pPr>
    </w:p>
    <w:p>
      <w:pPr>
        <w:ind w:left="400" w:right="660" w:hanging="161"/>
        <w:spacing w:after="0" w:line="263" w:lineRule="auto"/>
        <w:tabs>
          <w:tab w:leader="none" w:pos="400" w:val="left"/>
        </w:tabs>
        <w:numPr>
          <w:ilvl w:val="0"/>
          <w:numId w:val="27"/>
        </w:numPr>
        <w:rPr>
          <w:rFonts w:ascii="Times New Roman" w:cs="Times New Roman" w:eastAsia="Times New Roman" w:hAnsi="Times New Roman"/>
          <w:sz w:val="15"/>
          <w:szCs w:val="15"/>
          <w:color w:val="112B19"/>
        </w:rPr>
      </w:pPr>
      <w:r>
        <w:rPr>
          <w:rFonts w:ascii="Arial" w:cs="Arial" w:eastAsia="Arial" w:hAnsi="Arial"/>
          <w:sz w:val="15"/>
          <w:szCs w:val="15"/>
          <w:color w:val="050A35"/>
        </w:rPr>
        <w:t>assisting our Board of Directors in determining and monitoring the independence of each director and prospective director;</w:t>
      </w:r>
    </w:p>
    <w:p>
      <w:pPr>
        <w:spacing w:after="0" w:line="53" w:lineRule="exact"/>
        <w:rPr>
          <w:rFonts w:ascii="Times New Roman" w:cs="Times New Roman" w:eastAsia="Times New Roman" w:hAnsi="Times New Roman"/>
          <w:sz w:val="15"/>
          <w:szCs w:val="15"/>
          <w:color w:val="112B19"/>
        </w:rPr>
      </w:pPr>
    </w:p>
    <w:p>
      <w:pPr>
        <w:ind w:left="400" w:right="860" w:hanging="161"/>
        <w:spacing w:after="0" w:line="263" w:lineRule="auto"/>
        <w:tabs>
          <w:tab w:leader="none" w:pos="400" w:val="left"/>
        </w:tabs>
        <w:numPr>
          <w:ilvl w:val="0"/>
          <w:numId w:val="27"/>
        </w:numPr>
        <w:rPr>
          <w:rFonts w:ascii="Times New Roman" w:cs="Times New Roman" w:eastAsia="Times New Roman" w:hAnsi="Times New Roman"/>
          <w:sz w:val="15"/>
          <w:szCs w:val="15"/>
          <w:color w:val="112B19"/>
        </w:rPr>
      </w:pPr>
      <w:r>
        <w:rPr>
          <w:rFonts w:ascii="Arial" w:cs="Arial" w:eastAsia="Arial" w:hAnsi="Arial"/>
          <w:sz w:val="15"/>
          <w:szCs w:val="15"/>
          <w:color w:val="050A35"/>
        </w:rPr>
        <w:t>reviewing the succession planning for the Company’s Chief Executive Officer and other senior executive officers; and</w:t>
      </w:r>
    </w:p>
    <w:p>
      <w:pPr>
        <w:spacing w:after="0" w:line="53" w:lineRule="exact"/>
        <w:rPr>
          <w:rFonts w:ascii="Times New Roman" w:cs="Times New Roman" w:eastAsia="Times New Roman" w:hAnsi="Times New Roman"/>
          <w:sz w:val="15"/>
          <w:szCs w:val="15"/>
          <w:color w:val="112B19"/>
        </w:rPr>
      </w:pPr>
    </w:p>
    <w:p>
      <w:pPr>
        <w:ind w:left="400" w:right="760" w:hanging="161"/>
        <w:spacing w:after="0" w:line="263" w:lineRule="auto"/>
        <w:tabs>
          <w:tab w:leader="none" w:pos="400" w:val="left"/>
        </w:tabs>
        <w:numPr>
          <w:ilvl w:val="0"/>
          <w:numId w:val="27"/>
        </w:numPr>
        <w:rPr>
          <w:rFonts w:ascii="Times New Roman" w:cs="Times New Roman" w:eastAsia="Times New Roman" w:hAnsi="Times New Roman"/>
          <w:sz w:val="15"/>
          <w:szCs w:val="15"/>
          <w:color w:val="112B19"/>
        </w:rPr>
      </w:pPr>
      <w:r>
        <w:rPr>
          <w:rFonts w:ascii="Arial" w:cs="Arial" w:eastAsia="Arial" w:hAnsi="Arial"/>
          <w:sz w:val="15"/>
          <w:szCs w:val="15"/>
          <w:color w:val="050A35"/>
        </w:rPr>
        <w:t>assessing and making recommendations to our Board of Directors concerning overall corporate governance.</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5"/>
          <w:szCs w:val="15"/>
          <w:color w:val="050A35"/>
        </w:rPr>
        <w:t>A copy of the Nominating and Corporate Governance Committee charter is available at:</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5"/>
          <w:szCs w:val="15"/>
          <w:u w:val="single" w:color="auto"/>
          <w:color w:val="050A35"/>
        </w:rPr>
        <w:t>https://ir.ridgepostcapital.com/governance-documents</w:t>
      </w:r>
      <w:r>
        <w:rPr>
          <w:rFonts w:ascii="Arial" w:cs="Arial" w:eastAsia="Arial" w:hAnsi="Arial"/>
          <w:sz w:val="15"/>
          <w:szCs w:val="15"/>
          <w:color w:val="050A35"/>
        </w:rPr>
        <w:t>.</w:t>
      </w:r>
    </w:p>
    <w:p>
      <w:pPr>
        <w:spacing w:after="0" w:line="394" w:lineRule="exact"/>
        <w:rPr>
          <w:sz w:val="20"/>
          <w:szCs w:val="20"/>
          <w:color w:val="auto"/>
        </w:rPr>
      </w:pPr>
    </w:p>
    <w:p>
      <w:pPr>
        <w:sectPr>
          <w:pgSz w:w="11900" w:h="16838" w:orient="portrait"/>
          <w:cols w:equalWidth="0" w:num="2">
            <w:col w:w="2980" w:space="120"/>
            <w:col w:w="7620"/>
          </w:cols>
          <w:pgMar w:left="580" w:top="775" w:right="599" w:bottom="1440" w:gutter="0" w:footer="0" w:header="0"/>
          <w:type w:val="continuous"/>
        </w:sectPr>
      </w:pPr>
    </w:p>
    <w:p>
      <w:pPr>
        <w:spacing w:after="0" w:line="115" w:lineRule="exact"/>
        <w:rPr>
          <w:sz w:val="20"/>
          <w:szCs w:val="20"/>
          <w:color w:val="auto"/>
        </w:rPr>
      </w:pPr>
    </w:p>
    <w:p>
      <w:pPr>
        <w:ind w:left="660"/>
        <w:spacing w:after="0"/>
        <w:rPr>
          <w:sz w:val="20"/>
          <w:szCs w:val="20"/>
          <w:color w:val="auto"/>
        </w:rPr>
      </w:pPr>
      <w:r>
        <w:rPr>
          <w:rFonts w:ascii="Arial" w:cs="Arial" w:eastAsia="Arial" w:hAnsi="Arial"/>
          <w:sz w:val="22"/>
          <w:szCs w:val="22"/>
          <w:color w:val="050A35"/>
        </w:rPr>
        <w:t>Compensation Committee Interlocks and Insider Participation</w:t>
      </w:r>
    </w:p>
    <w:p>
      <w:pPr>
        <w:spacing w:after="0" w:line="131" w:lineRule="exact"/>
        <w:rPr>
          <w:sz w:val="20"/>
          <w:szCs w:val="20"/>
          <w:color w:val="auto"/>
        </w:rPr>
      </w:pPr>
    </w:p>
    <w:p>
      <w:pPr>
        <w:ind w:left="660" w:right="680"/>
        <w:spacing w:after="0" w:line="234" w:lineRule="auto"/>
        <w:rPr>
          <w:sz w:val="20"/>
          <w:szCs w:val="20"/>
          <w:color w:val="auto"/>
        </w:rPr>
      </w:pPr>
      <w:r>
        <w:rPr>
          <w:rFonts w:ascii="Arial" w:cs="Arial" w:eastAsia="Arial" w:hAnsi="Arial"/>
          <w:sz w:val="15"/>
          <w:szCs w:val="15"/>
          <w:color w:val="050A35"/>
        </w:rPr>
        <w:t>Each of Ms. Benford, Mr. Barnes, Mr. Blewitt and Mr. Stewart served on the Compensation Committee during fiscal 2025. No member of the Compensation Committee was, at any time during fiscal 2025 or at any other time, an officer or employee of the Company, and, other than as disclosed in the section titled "Certain Relationships and Related Person Transactions", none of them had any relationship with the Company requiring disclosure under Item 404 of Regulation S-K under the Exchange Act. No executive officer of the Company has served on the Board of Directors or Compensation Committee of any other entity that has or has had one or more executive officers who served as a member of the Compensation Committee during fiscal 2025.</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22"/>
          <w:szCs w:val="22"/>
          <w:color w:val="050A35"/>
        </w:rPr>
        <w:t>Meetings and Attendance</w:t>
      </w:r>
    </w:p>
    <w:p>
      <w:pPr>
        <w:spacing w:after="0" w:line="131" w:lineRule="exact"/>
        <w:rPr>
          <w:sz w:val="20"/>
          <w:szCs w:val="20"/>
          <w:color w:val="auto"/>
        </w:rPr>
      </w:pPr>
    </w:p>
    <w:p>
      <w:pPr>
        <w:ind w:left="660" w:right="840"/>
        <w:spacing w:after="0" w:line="238" w:lineRule="auto"/>
        <w:rPr>
          <w:sz w:val="20"/>
          <w:szCs w:val="20"/>
          <w:color w:val="auto"/>
        </w:rPr>
      </w:pPr>
      <w:r>
        <w:rPr>
          <w:rFonts w:ascii="Arial" w:cs="Arial" w:eastAsia="Arial" w:hAnsi="Arial"/>
          <w:sz w:val="15"/>
          <w:szCs w:val="15"/>
          <w:color w:val="050A35"/>
        </w:rPr>
        <w:t>Our Board of Directors held 5 meetings in 2025. Each of the directors attended at least 75% of the aggregate number of meetings of the Board of Directors held in 2025 and meetings held by each committee of the Board of Directors on which such director served during the period. In addition, directors are expected to attend our annual meeting of stockholders each year and all of our directors attended our 2025 annual meeting.</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22"/>
          <w:szCs w:val="22"/>
          <w:color w:val="050A35"/>
        </w:rPr>
        <w:t>Director Time Commitments and Service on Other Public Company Boards.</w:t>
      </w:r>
    </w:p>
    <w:p>
      <w:pPr>
        <w:spacing w:after="0" w:line="131" w:lineRule="exact"/>
        <w:rPr>
          <w:sz w:val="20"/>
          <w:szCs w:val="20"/>
          <w:color w:val="auto"/>
        </w:rPr>
      </w:pPr>
    </w:p>
    <w:p>
      <w:pPr>
        <w:ind w:left="660" w:right="820"/>
        <w:spacing w:after="0" w:line="233" w:lineRule="auto"/>
        <w:rPr>
          <w:sz w:val="20"/>
          <w:szCs w:val="20"/>
          <w:color w:val="auto"/>
        </w:rPr>
      </w:pPr>
      <w:r>
        <w:rPr>
          <w:rFonts w:ascii="Arial" w:cs="Arial" w:eastAsia="Arial" w:hAnsi="Arial"/>
          <w:sz w:val="15"/>
          <w:szCs w:val="15"/>
          <w:color w:val="050A35"/>
        </w:rPr>
        <w:t>Serving on our Board of Directors requires significant time and attention. Directors are expected to spend the time needed and meet as often as necessary to discharge their responsibilities. Directors should not serve on more than four public company boards (including our Board of Directors), other than a director who serves as our Chief Executive Officer, who should not serve on more than three public company boards (including our Board of Directors). Due to the demanding nature of service on the Audit Committee, the members of the Audit Committee may not serve on the audit committees of the boards of directors of more than two additional public companies at the same time as they are serving on the Audit Committee. Service on boards of other organizations should follow the Company’s conflict of interest policies.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2"/>
          <w:szCs w:val="22"/>
          <w:color w:val="050A35"/>
        </w:rPr>
        <w:t>Corporate Governance Guidelines</w:t>
      </w:r>
    </w:p>
    <w:p>
      <w:pPr>
        <w:spacing w:after="0" w:line="131" w:lineRule="exact"/>
        <w:rPr>
          <w:sz w:val="20"/>
          <w:szCs w:val="20"/>
          <w:color w:val="auto"/>
        </w:rPr>
      </w:pPr>
    </w:p>
    <w:p>
      <w:pPr>
        <w:ind w:left="660" w:right="840"/>
        <w:spacing w:after="0" w:line="244" w:lineRule="auto"/>
        <w:rPr>
          <w:sz w:val="20"/>
          <w:szCs w:val="20"/>
          <w:color w:val="auto"/>
        </w:rPr>
      </w:pPr>
      <w:r>
        <w:rPr>
          <w:rFonts w:ascii="Arial" w:cs="Arial" w:eastAsia="Arial" w:hAnsi="Arial"/>
          <w:sz w:val="15"/>
          <w:szCs w:val="15"/>
          <w:color w:val="050A35"/>
        </w:rPr>
        <w:t xml:space="preserve">As part of its ongoing commitment to good corporate governance, our Board of Directors has codified its corporate governance practices into a set of Corporate Governance Guidelines. These Corporate Governance Guidelines are available at: </w:t>
      </w:r>
      <w:r>
        <w:rPr>
          <w:rFonts w:ascii="Arial" w:cs="Arial" w:eastAsia="Arial" w:hAnsi="Arial"/>
          <w:sz w:val="15"/>
          <w:szCs w:val="15"/>
          <w:u w:val="single" w:color="auto"/>
          <w:color w:val="050A35"/>
        </w:rPr>
        <w:t>https://ir.ridgepostcapital.com/governance-documents.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22"/>
          <w:szCs w:val="22"/>
          <w:color w:val="050A35"/>
        </w:rPr>
        <w:t>Code of Conduct and Ethics</w:t>
      </w:r>
    </w:p>
    <w:p>
      <w:pPr>
        <w:spacing w:after="0" w:line="131" w:lineRule="exact"/>
        <w:rPr>
          <w:sz w:val="20"/>
          <w:szCs w:val="20"/>
          <w:color w:val="auto"/>
        </w:rPr>
      </w:pPr>
    </w:p>
    <w:p>
      <w:pPr>
        <w:ind w:left="660" w:right="740"/>
        <w:spacing w:after="0" w:line="238" w:lineRule="auto"/>
        <w:rPr>
          <w:sz w:val="20"/>
          <w:szCs w:val="20"/>
          <w:color w:val="auto"/>
        </w:rPr>
      </w:pPr>
      <w:r>
        <w:rPr>
          <w:rFonts w:ascii="Arial" w:cs="Arial" w:eastAsia="Arial" w:hAnsi="Arial"/>
          <w:sz w:val="15"/>
          <w:szCs w:val="15"/>
          <w:color w:val="050A35"/>
        </w:rPr>
        <w:t xml:space="preserve">Our Code of Conduct and Ethics sets forth our standards for ethical conduct required of all our directors and employees, including executive officers, and is available at: </w:t>
      </w:r>
      <w:r>
        <w:rPr>
          <w:rFonts w:ascii="Arial" w:cs="Arial" w:eastAsia="Arial" w:hAnsi="Arial"/>
          <w:sz w:val="15"/>
          <w:szCs w:val="15"/>
          <w:u w:val="single" w:color="auto"/>
          <w:color w:val="050A35"/>
        </w:rPr>
        <w:t>https://ir.ridgepostcapital.com/governance-documents</w:t>
      </w:r>
      <w:r>
        <w:rPr>
          <w:rFonts w:ascii="Arial" w:cs="Arial" w:eastAsia="Arial" w:hAnsi="Arial"/>
          <w:sz w:val="15"/>
          <w:szCs w:val="15"/>
          <w:color w:val="050A35"/>
        </w:rPr>
        <w:t>. We will disclose amendments of our Code of Conduct and Ethics, or waivers of certain provisions, applicable to our principal executive officer, principal financial officer, principal accounting officer or controller, or persons performing similar functions, or our directors, on our website identified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40" w:type="dxa"/>
            <w:vAlign w:val="bottom"/>
          </w:tcPr>
          <w:p>
            <w:pPr>
              <w:ind w:left="6560"/>
              <w:spacing w:after="0"/>
              <w:rPr>
                <w:sz w:val="20"/>
                <w:szCs w:val="20"/>
                <w:color w:val="auto"/>
              </w:rPr>
            </w:pPr>
            <w:r>
              <w:rPr>
                <w:rFonts w:ascii="Arial" w:cs="Arial" w:eastAsia="Arial" w:hAnsi="Arial"/>
                <w:sz w:val="14"/>
                <w:szCs w:val="14"/>
                <w:color w:val="050A35"/>
              </w:rPr>
              <w:t>RIDGEPOST CAPITAL | 2026 Proxy Statement</w:t>
            </w:r>
          </w:p>
        </w:tc>
        <w:tc>
          <w:tcPr>
            <w:tcW w:w="980" w:type="dxa"/>
            <w:vAlign w:val="bottom"/>
          </w:tcPr>
          <w:p>
            <w:pPr>
              <w:jc w:val="right"/>
              <w:ind w:right="588"/>
              <w:spacing w:after="0"/>
              <w:rPr>
                <w:sz w:val="20"/>
                <w:szCs w:val="20"/>
                <w:color w:val="auto"/>
              </w:rPr>
            </w:pPr>
            <w:r>
              <w:rPr>
                <w:rFonts w:ascii="Arial" w:cs="Arial" w:eastAsia="Arial" w:hAnsi="Arial"/>
                <w:sz w:val="14"/>
                <w:szCs w:val="14"/>
                <w:b w:val="1"/>
                <w:bCs w:val="1"/>
                <w:color w:val="050A35"/>
              </w:rPr>
              <w:t>11</w:t>
            </w:r>
          </w:p>
        </w:tc>
      </w:tr>
      <w:tr>
        <w:trPr>
          <w:trHeight w:val="738"/>
        </w:trPr>
        <w:tc>
          <w:tcPr>
            <w:tcW w:w="97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3"/>
          <w:szCs w:val="13"/>
          <w:color w:val="050A3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9664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400"/>
          </w:cols>
          <w:pgMar w:left="1240" w:top="775" w:right="125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right="1300"/>
        <w:spacing w:after="0" w:line="298" w:lineRule="auto"/>
        <w:rPr>
          <w:sz w:val="20"/>
          <w:szCs w:val="20"/>
          <w:color w:val="auto"/>
        </w:rPr>
      </w:pPr>
      <w:r>
        <w:rPr>
          <w:rFonts w:ascii="Arial" w:cs="Arial" w:eastAsia="Arial" w:hAnsi="Arial"/>
          <w:sz w:val="22"/>
          <w:szCs w:val="22"/>
          <w:color w:val="050A35"/>
        </w:rPr>
        <w:t>Insider Trading Policy and Prohibitions and Restrictions on Hedging and Pledging Transactions</w:t>
      </w:r>
    </w:p>
    <w:p>
      <w:pPr>
        <w:spacing w:after="0" w:line="25" w:lineRule="exact"/>
        <w:rPr>
          <w:sz w:val="20"/>
          <w:szCs w:val="20"/>
          <w:color w:val="auto"/>
        </w:rPr>
      </w:pPr>
    </w:p>
    <w:p>
      <w:pPr>
        <w:ind w:right="80"/>
        <w:spacing w:after="0" w:line="233" w:lineRule="auto"/>
        <w:rPr>
          <w:sz w:val="20"/>
          <w:szCs w:val="20"/>
          <w:color w:val="auto"/>
        </w:rPr>
      </w:pPr>
      <w:r>
        <w:rPr>
          <w:rFonts w:ascii="Arial" w:cs="Arial" w:eastAsia="Arial" w:hAnsi="Arial"/>
          <w:sz w:val="15"/>
          <w:szCs w:val="15"/>
          <w:color w:val="050A35"/>
        </w:rPr>
        <w:t>Our Board of Directors has adopted an Insider Trading Policy that governs the purchase, sale and/or other disposition of the Company's securities by all directors, officers, and employees of the Company and its subsidiaries, their respective related persons and controlled entities, as well as the Company itself and that is reasonably designed to promote compliance with insider trading laws, rules and regulations. It is also the policy of the Company to comply with all applicable securities laws when transacting in its own securities. Among other things, all persons subject to our insider trading policy are prohibited from engaging in any of the following types of transactions with respect to the Company’s securities: (i) short term trading, (ii) short sales, (iii) hedging transactions, (iv) trading on margin (including using our securities as collateral for a loan) or pledging, and (v) buying or selling puts or calls or other options or derivative securities.</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050A35"/>
        </w:rPr>
        <w:t>Compensation Recoupment ("Clawback") Arrangements</w:t>
      </w:r>
    </w:p>
    <w:p>
      <w:pPr>
        <w:spacing w:after="0" w:line="131" w:lineRule="exact"/>
        <w:rPr>
          <w:sz w:val="20"/>
          <w:szCs w:val="20"/>
          <w:color w:val="auto"/>
        </w:rPr>
      </w:pPr>
    </w:p>
    <w:p>
      <w:pPr>
        <w:ind w:right="40"/>
        <w:spacing w:after="0" w:line="232" w:lineRule="auto"/>
        <w:rPr>
          <w:sz w:val="20"/>
          <w:szCs w:val="20"/>
          <w:color w:val="auto"/>
        </w:rPr>
      </w:pPr>
      <w:r>
        <w:rPr>
          <w:rFonts w:ascii="Arial" w:cs="Arial" w:eastAsia="Arial" w:hAnsi="Arial"/>
          <w:sz w:val="15"/>
          <w:szCs w:val="15"/>
          <w:color w:val="050A35"/>
        </w:rPr>
        <w:t>We have adopted an Incentive-Based Compensation Clawback Policy, pursuant to which in the event the Company is required to prepare an accounting restatement due to the Company’s material non-compliance with any financial reporting requirement under the federal securities laws, the Company will recover the amount of any incentive-based compensation, as defined in the Policy, received by current and former executive officers during the applicable recovery period (generally the prior three completed fiscal years) that exceeds the amount that otherwise would have been received had it been determined based on the restated financial statements. The recovery of such compensation applies regardless of whether an executive officer engaged in misconduct or otherwise caused or contributed to the requirement for a restatement. The Incentive-Based Compensation Clawback Policy complies with, and will be administered and interpreted consistent with, applicable NYSE rules and Section 10D of the Exchange Act.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050A35"/>
        </w:rPr>
        <w:t>Delinquent Section 16(a) Reports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050A35"/>
        </w:rPr>
        <w:t>Section 16(a) of the Exchange Act requires our directors, executive officers, and any person beneficially owning more than 10% of our common stock to file reports concerning their ownership of our equity securities with the SEC. Based solely on a review of the forms filed electronically with the SEC during 2025 and on written representations that no additional forms were required to be filed, we believe that, during 2025, all of our directors, executive officers, and persons who beneficially owned more than 10% of our common stock timely complied with the Section 16(a) filing requirements, other than: (i) a Form 4 filed by Alexander I. Abell on May 12, 2025 to report the sale of shares of Class A common stock, the exercise of stock options and withholding of shares for the payment of taxes thereunder, (ii) a Form 4 filed by the Thomas P. Danis, Jr. Revocable Living Trust dated March 10, 2003 on August 14, 2025 to report the sale of shares of Class A common stock, (iii) a Form 4 filed by the Jon I. Madorsky Revocable Trust dated December 1, 2008 on August 26, 2025 to report the sale of shares of Class A common stock, (iv) a Form 4 filed by Edwin A. Poston on November 24, 2025 to report the conversion of shares of Class B common stock, and (v) a Form 4 filed by Mel Williams on November 24, 2025 to report the conversion of shares of Class B common stock.</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050A35"/>
        </w:rPr>
        <w:t>Equity Grant Policy and Procedures</w:t>
      </w:r>
    </w:p>
    <w:p>
      <w:pPr>
        <w:spacing w:after="0" w:line="131" w:lineRule="exact"/>
        <w:rPr>
          <w:sz w:val="20"/>
          <w:szCs w:val="20"/>
          <w:color w:val="auto"/>
        </w:rPr>
      </w:pPr>
    </w:p>
    <w:p>
      <w:pPr>
        <w:ind w:right="60"/>
        <w:spacing w:after="0" w:line="234" w:lineRule="auto"/>
        <w:rPr>
          <w:sz w:val="20"/>
          <w:szCs w:val="20"/>
          <w:color w:val="auto"/>
        </w:rPr>
      </w:pPr>
      <w:r>
        <w:rPr>
          <w:rFonts w:ascii="Arial" w:cs="Arial" w:eastAsia="Arial" w:hAnsi="Arial"/>
          <w:sz w:val="15"/>
          <w:szCs w:val="15"/>
          <w:color w:val="050A35"/>
        </w:rPr>
        <w:t>We generally grant annual equity-based awards during the first quarter of our fiscal year, with the Compensation Committee approving grants to executive officers, although such timing may change from year to year. The Compensation Committee also may consider and approve interim or mid-year grants, or grants made on another basis, from time to time based on business needs, changing compensation practices or other factors, in the discretion of the Compensation Committee. The Compensation Committee does not take into account material nonpublic information in determining the timing or terms of equity-based awards, and we have not timed the disclosure of material nonpublic information based on equity grant dates or for the purpose of affecting the value of executive compensation.</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050A35"/>
        </w:rPr>
        <w:t>Communications with the Board of Directors</w:t>
      </w:r>
    </w:p>
    <w:p>
      <w:pPr>
        <w:spacing w:after="0" w:line="131" w:lineRule="exact"/>
        <w:rPr>
          <w:sz w:val="20"/>
          <w:szCs w:val="20"/>
          <w:color w:val="auto"/>
        </w:rPr>
      </w:pPr>
    </w:p>
    <w:p>
      <w:pPr>
        <w:ind w:right="240"/>
        <w:spacing w:after="0" w:line="236" w:lineRule="auto"/>
        <w:rPr>
          <w:sz w:val="20"/>
          <w:szCs w:val="20"/>
          <w:color w:val="auto"/>
        </w:rPr>
      </w:pPr>
      <w:r>
        <w:rPr>
          <w:rFonts w:ascii="Arial" w:cs="Arial" w:eastAsia="Arial" w:hAnsi="Arial"/>
          <w:sz w:val="15"/>
          <w:szCs w:val="15"/>
          <w:color w:val="050A35"/>
        </w:rPr>
        <w:t>You may communicate with our Board of Directors by writing to our Corporate Secretary at Ridgepost Capital, Inc., 2699 Howell Street, Suite 1000, Dallas, Texas 75204. The Corporate Secretary will deliver these communications to the Board of Directors or the specified director, as the case may be, if they relate to appropriate and substantive corporate or Board of Directors matters. Communications that are of a commercial or frivolous nature, or otherwise inappropriate for the Board’s consideration, will not be forwarded to the Board of Directors.</w:t>
      </w:r>
    </w:p>
    <w:p>
      <w:pPr>
        <w:spacing w:after="0" w:line="173" w:lineRule="exact"/>
        <w:rPr>
          <w:sz w:val="20"/>
          <w:szCs w:val="20"/>
          <w:color w:val="auto"/>
        </w:rPr>
      </w:pPr>
    </w:p>
    <w:p>
      <w:pPr>
        <w:ind w:left="480" w:hanging="474"/>
        <w:spacing w:after="0"/>
        <w:tabs>
          <w:tab w:leader="none" w:pos="480" w:val="left"/>
        </w:tabs>
        <w:numPr>
          <w:ilvl w:val="0"/>
          <w:numId w:val="28"/>
        </w:numPr>
        <w:rPr>
          <w:rFonts w:ascii="Arial" w:cs="Arial" w:eastAsia="Arial" w:hAnsi="Arial"/>
          <w:sz w:val="14"/>
          <w:szCs w:val="14"/>
          <w:b w:val="1"/>
          <w:bCs w:val="1"/>
          <w:color w:val="050A35"/>
        </w:rPr>
      </w:pPr>
      <w:r>
        <w:rPr>
          <w:rFonts w:ascii="Arial" w:cs="Arial" w:eastAsia="Arial" w:hAnsi="Arial"/>
          <w:sz w:val="14"/>
          <w:szCs w:val="14"/>
          <w:color w:val="050A35"/>
        </w:rPr>
        <w:t>RIDGEPOST CAPITAL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473710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775" w:right="1259" w:bottom="1440" w:gutter="0" w:footer="0" w:header="0"/>
          <w:type w:val="continuous"/>
        </w:sectPr>
      </w:pPr>
    </w:p>
    <w:bookmarkStart w:id="16" w:name="page17"/>
    <w:bookmarkEnd w:id="16"/>
    <w:p>
      <w:pPr>
        <w:jc w:val="right"/>
        <w:ind w:right="660"/>
        <w:spacing w:after="0"/>
        <w:rPr>
          <w:sz w:val="20"/>
          <w:szCs w:val="20"/>
          <w:color w:val="auto"/>
        </w:rPr>
      </w:pPr>
      <w:r>
        <w:rPr>
          <w:rFonts w:ascii="Arial" w:cs="Arial" w:eastAsia="Arial" w:hAnsi="Arial"/>
          <w:sz w:val="13"/>
          <w:szCs w:val="13"/>
          <w:color w:val="050A35"/>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050A35"/>
        </w:rPr>
        <w:t>Executive Officers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5"/>
          <w:szCs w:val="15"/>
          <w:color w:val="050A35"/>
        </w:rPr>
        <w:t>The names, ages and positions held by the current executive officers of the Company are presented below.</w:t>
      </w:r>
    </w:p>
    <w:p>
      <w:pPr>
        <w:spacing w:after="0" w:line="119"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2140" w:type="dxa"/>
            <w:vAlign w:val="bottom"/>
            <w:tcBorders>
              <w:bottom w:val="single" w:sz="8" w:color="112B19"/>
            </w:tcBorders>
          </w:tcPr>
          <w:p>
            <w:pPr>
              <w:spacing w:after="0"/>
              <w:rPr>
                <w:sz w:val="20"/>
                <w:szCs w:val="20"/>
                <w:color w:val="auto"/>
              </w:rPr>
            </w:pPr>
            <w:r>
              <w:rPr>
                <w:rFonts w:ascii="Arial" w:cs="Arial" w:eastAsia="Arial" w:hAnsi="Arial"/>
                <w:sz w:val="14"/>
                <w:szCs w:val="14"/>
                <w:b w:val="1"/>
                <w:bCs w:val="1"/>
                <w:color w:val="112B19"/>
              </w:rPr>
              <w:t>Executive Officer</w:t>
            </w:r>
          </w:p>
        </w:tc>
        <w:tc>
          <w:tcPr>
            <w:tcW w:w="1100" w:type="dxa"/>
            <w:vAlign w:val="bottom"/>
            <w:tcBorders>
              <w:bottom w:val="single" w:sz="8" w:color="112B19"/>
            </w:tcBorders>
          </w:tcPr>
          <w:p>
            <w:pPr>
              <w:jc w:val="center"/>
              <w:spacing w:after="0"/>
              <w:rPr>
                <w:sz w:val="20"/>
                <w:szCs w:val="20"/>
                <w:color w:val="auto"/>
              </w:rPr>
            </w:pPr>
            <w:r>
              <w:rPr>
                <w:rFonts w:ascii="Arial" w:cs="Arial" w:eastAsia="Arial" w:hAnsi="Arial"/>
                <w:sz w:val="14"/>
                <w:szCs w:val="14"/>
                <w:b w:val="1"/>
                <w:bCs w:val="1"/>
                <w:color w:val="112B19"/>
              </w:rPr>
              <w:t>Age</w:t>
            </w:r>
          </w:p>
        </w:tc>
        <w:tc>
          <w:tcPr>
            <w:tcW w:w="6160" w:type="dxa"/>
            <w:vAlign w:val="bottom"/>
            <w:tcBorders>
              <w:bottom w:val="single" w:sz="8" w:color="112B19"/>
            </w:tcBorders>
          </w:tcPr>
          <w:p>
            <w:pPr>
              <w:ind w:left="360"/>
              <w:spacing w:after="0"/>
              <w:rPr>
                <w:sz w:val="20"/>
                <w:szCs w:val="20"/>
                <w:color w:val="auto"/>
              </w:rPr>
            </w:pPr>
            <w:r>
              <w:rPr>
                <w:rFonts w:ascii="Arial" w:cs="Arial" w:eastAsia="Arial" w:hAnsi="Arial"/>
                <w:sz w:val="14"/>
                <w:szCs w:val="14"/>
                <w:b w:val="1"/>
                <w:bCs w:val="1"/>
                <w:color w:val="112B19"/>
              </w:rPr>
              <w:t>Position</w:t>
            </w:r>
          </w:p>
        </w:tc>
      </w:tr>
      <w:tr>
        <w:trPr>
          <w:trHeight w:val="207"/>
        </w:trPr>
        <w:tc>
          <w:tcPr>
            <w:tcW w:w="2140" w:type="dxa"/>
            <w:vAlign w:val="bottom"/>
          </w:tcPr>
          <w:p>
            <w:pPr>
              <w:ind w:left="80"/>
              <w:spacing w:after="0"/>
              <w:rPr>
                <w:sz w:val="20"/>
                <w:szCs w:val="20"/>
                <w:color w:val="auto"/>
              </w:rPr>
            </w:pPr>
            <w:r>
              <w:rPr>
                <w:rFonts w:ascii="Arial" w:cs="Arial" w:eastAsia="Arial" w:hAnsi="Arial"/>
                <w:sz w:val="14"/>
                <w:szCs w:val="14"/>
                <w:color w:val="auto"/>
              </w:rPr>
              <w:t>Luke A. Sarsfield III</w:t>
            </w:r>
          </w:p>
        </w:tc>
        <w:tc>
          <w:tcPr>
            <w:tcW w:w="1100" w:type="dxa"/>
            <w:vAlign w:val="bottom"/>
          </w:tcPr>
          <w:p>
            <w:pPr>
              <w:jc w:val="center"/>
              <w:spacing w:after="0"/>
              <w:rPr>
                <w:sz w:val="20"/>
                <w:szCs w:val="20"/>
                <w:color w:val="auto"/>
              </w:rPr>
            </w:pPr>
            <w:r>
              <w:rPr>
                <w:rFonts w:ascii="Arial" w:cs="Arial" w:eastAsia="Arial" w:hAnsi="Arial"/>
                <w:sz w:val="14"/>
                <w:szCs w:val="14"/>
                <w:color w:val="auto"/>
              </w:rPr>
              <w:t>52</w:t>
            </w:r>
          </w:p>
        </w:tc>
        <w:tc>
          <w:tcPr>
            <w:tcW w:w="6160" w:type="dxa"/>
            <w:vAlign w:val="bottom"/>
          </w:tcPr>
          <w:p>
            <w:pPr>
              <w:ind w:left="360"/>
              <w:spacing w:after="0"/>
              <w:rPr>
                <w:sz w:val="20"/>
                <w:szCs w:val="20"/>
                <w:color w:val="auto"/>
              </w:rPr>
            </w:pPr>
            <w:r>
              <w:rPr>
                <w:rFonts w:ascii="Arial" w:cs="Arial" w:eastAsia="Arial" w:hAnsi="Arial"/>
                <w:sz w:val="14"/>
                <w:szCs w:val="14"/>
                <w:color w:val="auto"/>
              </w:rPr>
              <w:t>Chief Executive Officer and Chairman of the Board</w:t>
            </w:r>
          </w:p>
        </w:tc>
      </w:tr>
      <w:tr>
        <w:trPr>
          <w:trHeight w:val="220"/>
        </w:trPr>
        <w:tc>
          <w:tcPr>
            <w:tcW w:w="2140" w:type="dxa"/>
            <w:vAlign w:val="bottom"/>
            <w:shd w:val="clear" w:color="auto" w:fill="EDEDED"/>
          </w:tcPr>
          <w:p>
            <w:pPr>
              <w:ind w:left="80"/>
              <w:spacing w:after="0"/>
              <w:rPr>
                <w:sz w:val="20"/>
                <w:szCs w:val="20"/>
                <w:color w:val="auto"/>
              </w:rPr>
            </w:pPr>
            <w:r>
              <w:rPr>
                <w:rFonts w:ascii="Arial" w:cs="Arial" w:eastAsia="Arial" w:hAnsi="Arial"/>
                <w:sz w:val="14"/>
                <w:szCs w:val="14"/>
                <w:color w:val="auto"/>
              </w:rPr>
              <w:t>Amanda Coussens</w:t>
            </w:r>
          </w:p>
        </w:tc>
        <w:tc>
          <w:tcPr>
            <w:tcW w:w="110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45</w:t>
            </w:r>
          </w:p>
        </w:tc>
        <w:tc>
          <w:tcPr>
            <w:tcW w:w="6160" w:type="dxa"/>
            <w:vAlign w:val="bottom"/>
            <w:shd w:val="clear" w:color="auto" w:fill="EDEDED"/>
          </w:tcPr>
          <w:p>
            <w:pPr>
              <w:ind w:left="360"/>
              <w:spacing w:after="0"/>
              <w:rPr>
                <w:sz w:val="20"/>
                <w:szCs w:val="20"/>
                <w:color w:val="auto"/>
              </w:rPr>
            </w:pPr>
            <w:r>
              <w:rPr>
                <w:rFonts w:ascii="Arial" w:cs="Arial" w:eastAsia="Arial" w:hAnsi="Arial"/>
                <w:sz w:val="14"/>
                <w:szCs w:val="14"/>
                <w:color w:val="auto"/>
              </w:rPr>
              <w:t>Executive Vice President and Chief Financial Officer</w:t>
            </w:r>
          </w:p>
        </w:tc>
      </w:tr>
      <w:tr>
        <w:trPr>
          <w:trHeight w:val="212"/>
        </w:trPr>
        <w:tc>
          <w:tcPr>
            <w:tcW w:w="2140" w:type="dxa"/>
            <w:vAlign w:val="bottom"/>
          </w:tcPr>
          <w:p>
            <w:pPr>
              <w:ind w:left="80"/>
              <w:spacing w:after="0"/>
              <w:rPr>
                <w:sz w:val="20"/>
                <w:szCs w:val="20"/>
                <w:color w:val="auto"/>
              </w:rPr>
            </w:pPr>
            <w:r>
              <w:rPr>
                <w:rFonts w:ascii="Arial" w:cs="Arial" w:eastAsia="Arial" w:hAnsi="Arial"/>
                <w:sz w:val="14"/>
                <w:szCs w:val="14"/>
                <w:color w:val="auto"/>
              </w:rPr>
              <w:t>Mark Hood</w:t>
            </w:r>
          </w:p>
        </w:tc>
        <w:tc>
          <w:tcPr>
            <w:tcW w:w="1100" w:type="dxa"/>
            <w:vAlign w:val="bottom"/>
          </w:tcPr>
          <w:p>
            <w:pPr>
              <w:jc w:val="center"/>
              <w:spacing w:after="0"/>
              <w:rPr>
                <w:sz w:val="20"/>
                <w:szCs w:val="20"/>
                <w:color w:val="auto"/>
              </w:rPr>
            </w:pPr>
            <w:r>
              <w:rPr>
                <w:rFonts w:ascii="Arial" w:cs="Arial" w:eastAsia="Arial" w:hAnsi="Arial"/>
                <w:sz w:val="14"/>
                <w:szCs w:val="14"/>
                <w:color w:val="auto"/>
              </w:rPr>
              <w:t>61</w:t>
            </w:r>
          </w:p>
        </w:tc>
        <w:tc>
          <w:tcPr>
            <w:tcW w:w="6160" w:type="dxa"/>
            <w:vAlign w:val="bottom"/>
          </w:tcPr>
          <w:p>
            <w:pPr>
              <w:ind w:left="360"/>
              <w:spacing w:after="0"/>
              <w:rPr>
                <w:sz w:val="20"/>
                <w:szCs w:val="20"/>
                <w:color w:val="auto"/>
              </w:rPr>
            </w:pPr>
            <w:r>
              <w:rPr>
                <w:rFonts w:ascii="Arial" w:cs="Arial" w:eastAsia="Arial" w:hAnsi="Arial"/>
                <w:sz w:val="14"/>
                <w:szCs w:val="14"/>
                <w:color w:val="auto"/>
              </w:rPr>
              <w:t>Executive Vice President and Chief Administrative Officer</w:t>
            </w:r>
          </w:p>
        </w:tc>
      </w:tr>
      <w:tr>
        <w:trPr>
          <w:trHeight w:val="220"/>
        </w:trPr>
        <w:tc>
          <w:tcPr>
            <w:tcW w:w="2140" w:type="dxa"/>
            <w:vAlign w:val="bottom"/>
            <w:shd w:val="clear" w:color="auto" w:fill="EDEDED"/>
          </w:tcPr>
          <w:p>
            <w:pPr>
              <w:ind w:left="80"/>
              <w:spacing w:after="0"/>
              <w:rPr>
                <w:sz w:val="20"/>
                <w:szCs w:val="20"/>
                <w:color w:val="auto"/>
              </w:rPr>
            </w:pPr>
            <w:r>
              <w:rPr>
                <w:rFonts w:ascii="Arial" w:cs="Arial" w:eastAsia="Arial" w:hAnsi="Arial"/>
                <w:sz w:val="14"/>
                <w:szCs w:val="14"/>
                <w:color w:val="auto"/>
              </w:rPr>
              <w:t>Sarita Jairath</w:t>
            </w:r>
          </w:p>
        </w:tc>
        <w:tc>
          <w:tcPr>
            <w:tcW w:w="110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45</w:t>
            </w:r>
          </w:p>
        </w:tc>
        <w:tc>
          <w:tcPr>
            <w:tcW w:w="6160" w:type="dxa"/>
            <w:vAlign w:val="bottom"/>
            <w:shd w:val="clear" w:color="auto" w:fill="EDEDED"/>
          </w:tcPr>
          <w:p>
            <w:pPr>
              <w:ind w:left="360"/>
              <w:spacing w:after="0"/>
              <w:rPr>
                <w:sz w:val="20"/>
                <w:szCs w:val="20"/>
                <w:color w:val="auto"/>
              </w:rPr>
            </w:pPr>
            <w:r>
              <w:rPr>
                <w:rFonts w:ascii="Arial" w:cs="Arial" w:eastAsia="Arial" w:hAnsi="Arial"/>
                <w:sz w:val="14"/>
                <w:szCs w:val="14"/>
                <w:color w:val="auto"/>
              </w:rPr>
              <w:t>Executive Vice President and Global Head of Client Solutions</w:t>
            </w:r>
          </w:p>
        </w:tc>
      </w:tr>
      <w:tr>
        <w:trPr>
          <w:trHeight w:val="212"/>
        </w:trPr>
        <w:tc>
          <w:tcPr>
            <w:tcW w:w="2140" w:type="dxa"/>
            <w:vAlign w:val="bottom"/>
            <w:tcBorders>
              <w:bottom w:val="single" w:sz="8" w:color="112B19"/>
            </w:tcBorders>
          </w:tcPr>
          <w:p>
            <w:pPr>
              <w:ind w:left="80"/>
              <w:spacing w:after="0"/>
              <w:rPr>
                <w:sz w:val="20"/>
                <w:szCs w:val="20"/>
                <w:color w:val="auto"/>
              </w:rPr>
            </w:pPr>
            <w:r>
              <w:rPr>
                <w:rFonts w:ascii="Arial" w:cs="Arial" w:eastAsia="Arial" w:hAnsi="Arial"/>
                <w:sz w:val="14"/>
                <w:szCs w:val="14"/>
                <w:color w:val="auto"/>
              </w:rPr>
              <w:t>Richard J. (Arjay) Jensen</w:t>
            </w:r>
          </w:p>
        </w:tc>
        <w:tc>
          <w:tcPr>
            <w:tcW w:w="1100" w:type="dxa"/>
            <w:vAlign w:val="bottom"/>
            <w:tcBorders>
              <w:bottom w:val="single" w:sz="8" w:color="112B19"/>
            </w:tcBorders>
          </w:tcPr>
          <w:p>
            <w:pPr>
              <w:jc w:val="center"/>
              <w:spacing w:after="0"/>
              <w:rPr>
                <w:sz w:val="20"/>
                <w:szCs w:val="20"/>
                <w:color w:val="auto"/>
              </w:rPr>
            </w:pPr>
            <w:r>
              <w:rPr>
                <w:rFonts w:ascii="Arial" w:cs="Arial" w:eastAsia="Arial" w:hAnsi="Arial"/>
                <w:sz w:val="14"/>
                <w:szCs w:val="14"/>
                <w:color w:val="auto"/>
              </w:rPr>
              <w:t>54</w:t>
            </w:r>
          </w:p>
        </w:tc>
        <w:tc>
          <w:tcPr>
            <w:tcW w:w="6160" w:type="dxa"/>
            <w:vAlign w:val="bottom"/>
            <w:tcBorders>
              <w:bottom w:val="single" w:sz="8" w:color="112B19"/>
            </w:tcBorders>
          </w:tcPr>
          <w:p>
            <w:pPr>
              <w:ind w:left="360"/>
              <w:spacing w:after="0"/>
              <w:rPr>
                <w:sz w:val="20"/>
                <w:szCs w:val="20"/>
                <w:color w:val="auto"/>
              </w:rPr>
            </w:pPr>
            <w:r>
              <w:rPr>
                <w:rFonts w:ascii="Arial" w:cs="Arial" w:eastAsia="Arial" w:hAnsi="Arial"/>
                <w:sz w:val="14"/>
                <w:szCs w:val="14"/>
                <w:color w:val="auto"/>
              </w:rPr>
              <w:t>Executive Vice President and Head of M&amp;A and Strategy</w:t>
            </w:r>
          </w:p>
        </w:tc>
      </w:tr>
    </w:tbl>
    <w:p>
      <w:pPr>
        <w:spacing w:after="0" w:line="104" w:lineRule="exact"/>
        <w:rPr>
          <w:sz w:val="20"/>
          <w:szCs w:val="20"/>
          <w:color w:val="auto"/>
        </w:rPr>
      </w:pPr>
    </w:p>
    <w:p>
      <w:pPr>
        <w:ind w:left="660" w:right="900"/>
        <w:spacing w:after="0" w:line="264" w:lineRule="auto"/>
        <w:rPr>
          <w:sz w:val="20"/>
          <w:szCs w:val="20"/>
          <w:color w:val="auto"/>
        </w:rPr>
      </w:pPr>
      <w:r>
        <w:rPr>
          <w:rFonts w:ascii="Arial" w:cs="Arial" w:eastAsia="Arial" w:hAnsi="Arial"/>
          <w:sz w:val="15"/>
          <w:szCs w:val="15"/>
          <w:b w:val="1"/>
          <w:bCs w:val="1"/>
          <w:i w:val="1"/>
          <w:iCs w:val="1"/>
          <w:color w:val="112B19"/>
        </w:rPr>
        <w:t>Luke A. Sarsfield III—</w:t>
      </w:r>
      <w:r>
        <w:rPr>
          <w:rFonts w:ascii="Arial" w:cs="Arial" w:eastAsia="Arial" w:hAnsi="Arial"/>
          <w:sz w:val="15"/>
          <w:szCs w:val="15"/>
          <w:color w:val="050A35"/>
        </w:rPr>
        <w:t>see biographical information in “Proposal 1: Election of Directors—Continuing Class III Directors (Term to Expire</w:t>
      </w:r>
      <w:r>
        <w:rPr>
          <w:rFonts w:ascii="Arial" w:cs="Arial" w:eastAsia="Arial" w:hAnsi="Arial"/>
          <w:sz w:val="15"/>
          <w:szCs w:val="15"/>
          <w:b w:val="1"/>
          <w:bCs w:val="1"/>
          <w:i w:val="1"/>
          <w:iCs w:val="1"/>
          <w:color w:val="112B19"/>
        </w:rPr>
        <w:t xml:space="preserve"> </w:t>
      </w:r>
      <w:r>
        <w:rPr>
          <w:rFonts w:ascii="Arial" w:cs="Arial" w:eastAsia="Arial" w:hAnsi="Arial"/>
          <w:sz w:val="15"/>
          <w:szCs w:val="15"/>
          <w:color w:val="050A35"/>
        </w:rPr>
        <w:t>2027)—Luke A. Sarsfield III.”</w:t>
      </w:r>
    </w:p>
    <w:p>
      <w:pPr>
        <w:spacing w:after="0" w:line="53" w:lineRule="exact"/>
        <w:rPr>
          <w:sz w:val="20"/>
          <w:szCs w:val="20"/>
          <w:color w:val="auto"/>
        </w:rPr>
      </w:pPr>
    </w:p>
    <w:p>
      <w:pPr>
        <w:ind w:left="660" w:right="680"/>
        <w:spacing w:after="0" w:line="229" w:lineRule="auto"/>
        <w:rPr>
          <w:sz w:val="20"/>
          <w:szCs w:val="20"/>
          <w:color w:val="auto"/>
        </w:rPr>
      </w:pPr>
      <w:r>
        <w:rPr>
          <w:rFonts w:ascii="Arial" w:cs="Arial" w:eastAsia="Arial" w:hAnsi="Arial"/>
          <w:sz w:val="15"/>
          <w:szCs w:val="15"/>
          <w:b w:val="1"/>
          <w:bCs w:val="1"/>
          <w:i w:val="1"/>
          <w:iCs w:val="1"/>
          <w:color w:val="112B19"/>
        </w:rPr>
        <w:t xml:space="preserve">Amanda Coussens </w:t>
      </w:r>
      <w:r>
        <w:rPr>
          <w:rFonts w:ascii="Arial" w:cs="Arial" w:eastAsia="Arial" w:hAnsi="Arial"/>
          <w:sz w:val="15"/>
          <w:szCs w:val="15"/>
          <w:color w:val="050A35"/>
        </w:rPr>
        <w:t>is the Company’s Executive Vice President and Chief Financial Officer. Prior to becoming the Company’s Chief</w:t>
      </w:r>
      <w:r>
        <w:rPr>
          <w:rFonts w:ascii="Arial" w:cs="Arial" w:eastAsia="Arial" w:hAnsi="Arial"/>
          <w:sz w:val="15"/>
          <w:szCs w:val="15"/>
          <w:b w:val="1"/>
          <w:bCs w:val="1"/>
          <w:i w:val="1"/>
          <w:iCs w:val="1"/>
          <w:color w:val="112B19"/>
        </w:rPr>
        <w:t xml:space="preserve"> </w:t>
      </w:r>
      <w:r>
        <w:rPr>
          <w:rFonts w:ascii="Arial" w:cs="Arial" w:eastAsia="Arial" w:hAnsi="Arial"/>
          <w:sz w:val="15"/>
          <w:szCs w:val="15"/>
          <w:color w:val="050A35"/>
        </w:rPr>
        <w:t>Financial Officer in January 2021, Ms. Coussens served as Chief Financial Officer and Chief Compliance Officer of PetroCap LLC from October 2017 to December 2020; as a contract Chief Financial Officer for Aduro Advisors LLC from March 2016 to November 2017; and as Chief Financial Officer of White Deer Energy LLC from June 2014 to March 2016. Prior to this time, Ms. Coussens served as the SEC Reporting Director for a publicly traded asset manager, The Edelman Financial Group, Director of Accounting for a large family office and Controller for Tudor, Pickering, Holt &amp; Co. Ms. Coussens started her career as an audit manager at Grant Thornton for publicly traded companies in the financial institutions and services, energy and hospitality industries. She is a licensed CPA in Texas. Ms. Coussens is an Independent Director for Granite Ridge Resources, (NYSE: GRNT), a publicly traded energy company, and serves as the Chairwoman of the Audit Committee and member of the Conflicts, Environmental, Social and Governance and Compensation Committees. She is also a Board Member of the Texas Chapter of the Private Equity CFO Association. She is a member of several leadership communities, including the Young President’s Organization (YPO) and the CNBC CFO Council. Ms. Coussens holds a BBA, Summa Cum Laude, in Accounting from University of Houston-Downtown, and is a licensed CPA in the state of Texas.</w:t>
      </w:r>
    </w:p>
    <w:p>
      <w:pPr>
        <w:spacing w:after="0" w:line="77" w:lineRule="exact"/>
        <w:rPr>
          <w:sz w:val="20"/>
          <w:szCs w:val="20"/>
          <w:color w:val="auto"/>
        </w:rPr>
      </w:pPr>
    </w:p>
    <w:p>
      <w:pPr>
        <w:ind w:left="660" w:right="660"/>
        <w:spacing w:after="0" w:line="230" w:lineRule="auto"/>
        <w:rPr>
          <w:sz w:val="20"/>
          <w:szCs w:val="20"/>
          <w:color w:val="auto"/>
        </w:rPr>
      </w:pPr>
      <w:r>
        <w:rPr>
          <w:rFonts w:ascii="Arial" w:cs="Arial" w:eastAsia="Arial" w:hAnsi="Arial"/>
          <w:sz w:val="15"/>
          <w:szCs w:val="15"/>
          <w:b w:val="1"/>
          <w:bCs w:val="1"/>
          <w:i w:val="1"/>
          <w:iCs w:val="1"/>
          <w:color w:val="112B19"/>
        </w:rPr>
        <w:t xml:space="preserve">Mark Hood </w:t>
      </w:r>
      <w:r>
        <w:rPr>
          <w:rFonts w:ascii="Arial" w:cs="Arial" w:eastAsia="Arial" w:hAnsi="Arial"/>
          <w:sz w:val="15"/>
          <w:szCs w:val="15"/>
          <w:color w:val="050A35"/>
        </w:rPr>
        <w:t>is the Company’s Executive Vice President and Chief Administrative Officer, a position he has served in since February 2024.</w:t>
      </w:r>
      <w:r>
        <w:rPr>
          <w:rFonts w:ascii="Arial" w:cs="Arial" w:eastAsia="Arial" w:hAnsi="Arial"/>
          <w:sz w:val="15"/>
          <w:szCs w:val="15"/>
          <w:b w:val="1"/>
          <w:bCs w:val="1"/>
          <w:i w:val="1"/>
          <w:iCs w:val="1"/>
          <w:color w:val="112B19"/>
        </w:rPr>
        <w:t xml:space="preserve"> </w:t>
      </w:r>
      <w:r>
        <w:rPr>
          <w:rFonts w:ascii="Arial" w:cs="Arial" w:eastAsia="Arial" w:hAnsi="Arial"/>
          <w:sz w:val="15"/>
          <w:szCs w:val="15"/>
          <w:color w:val="050A35"/>
        </w:rPr>
        <w:t>Prior to that, he served as the Company’s Executive Vice President of Operations and Director of Investor Relations from February 2023 until February 2024, and as Director of Investor Relations from October 2021 until February 2023. Prior to joining Ridgepost, Mr. Hood was chief operating officer at Bespoke Partners, a leading executive search firm serving the private equity industry, from January 2021 to August 2021. Before that, Mr. Hood worked at GlobalScape, Inc. (NYSE American: GSB), a software company, serving as chief operating officer from January 2020 until August 2020, as Executive Vice President of Operations from May 2019 until December 2019 and as Vice President of Operations from August 2018 until May 2019. Prior to GlobalScape, Mr. Hood served in various roles at Crossroads Systems, Inc., a data software and hardware firm, from January 2013 until August 2018, including most recently as Executive Vice President from August 2017 until August 2018. Mr. Hood holds MS in Technology Commercialization from The University of Texas at Austin, McCombs School of Business and a BA in Marketing from Sam Houston State University. On March 17, 2026, Mr. Hood notified the Company that he will be retiring as the Company's Executive Vice President and Chief Administrative Officer effective as of May 31, 2026.</w:t>
      </w:r>
    </w:p>
    <w:p>
      <w:pPr>
        <w:spacing w:after="0" w:line="72" w:lineRule="exact"/>
        <w:rPr>
          <w:sz w:val="20"/>
          <w:szCs w:val="20"/>
          <w:color w:val="auto"/>
        </w:rPr>
      </w:pPr>
    </w:p>
    <w:p>
      <w:pPr>
        <w:ind w:left="660" w:right="820"/>
        <w:spacing w:after="0" w:line="229" w:lineRule="auto"/>
        <w:rPr>
          <w:sz w:val="20"/>
          <w:szCs w:val="20"/>
          <w:color w:val="auto"/>
        </w:rPr>
      </w:pPr>
      <w:r>
        <w:rPr>
          <w:rFonts w:ascii="Arial" w:cs="Arial" w:eastAsia="Arial" w:hAnsi="Arial"/>
          <w:sz w:val="15"/>
          <w:szCs w:val="15"/>
          <w:b w:val="1"/>
          <w:bCs w:val="1"/>
          <w:i w:val="1"/>
          <w:iCs w:val="1"/>
          <w:color w:val="112B19"/>
        </w:rPr>
        <w:t xml:space="preserve">Sarita Jairath </w:t>
      </w:r>
      <w:r>
        <w:rPr>
          <w:rFonts w:ascii="Arial" w:cs="Arial" w:eastAsia="Arial" w:hAnsi="Arial"/>
          <w:sz w:val="15"/>
          <w:szCs w:val="15"/>
          <w:color w:val="050A35"/>
        </w:rPr>
        <w:t>is the Company's Executive Vice President and Global Head of Client Solutions, a position she has served in since</w:t>
      </w:r>
      <w:r>
        <w:rPr>
          <w:rFonts w:ascii="Arial" w:cs="Arial" w:eastAsia="Arial" w:hAnsi="Arial"/>
          <w:sz w:val="15"/>
          <w:szCs w:val="15"/>
          <w:b w:val="1"/>
          <w:bCs w:val="1"/>
          <w:i w:val="1"/>
          <w:iCs w:val="1"/>
          <w:color w:val="112B19"/>
        </w:rPr>
        <w:t xml:space="preserve"> </w:t>
      </w:r>
      <w:r>
        <w:rPr>
          <w:rFonts w:ascii="Arial" w:cs="Arial" w:eastAsia="Arial" w:hAnsi="Arial"/>
          <w:sz w:val="15"/>
          <w:szCs w:val="15"/>
          <w:color w:val="050A35"/>
        </w:rPr>
        <w:t>September 2024. She is responsible for the strategy and execution of Ridgepost’s organic growth opportunities by deepening and expanding global investor relationships, product development, and augmenting the market positioning of Ridgepost and its affiliated managers. Ms. Jairath joined Ridgepost from Blackstone, where she was served in multiple roles from 2019 to 2024. She served as a Managing Director within Blackstone’s Real Estate Institutional Client Solutions team. In her role, she led capital raising and investor relations efforts for Blackstone Real Estate Debt Strategies. Additionally, she was Global Co-Head of Blackstone’s Diverse Professionals Network and served on the Firmwide DEI Executive Committee. Prior to joining Blackstone, Sarita worked at Seix Investment Advisors, where she was a Managing Director overseeing investor relations and marketing activities for the firm’s Leveraged Finance platform. Before joining Seix, she was an Executive Director at J.P. Morgan Private Bank, overseeing Credit Manager Research. Prior to J.P. Morgan, Sarita worked at Goldman Sachs as a Vice President within the Capital Markets group of the Investment Management Division. Ms. Jairath currently serves on the Pediatric Council for Hospital for Special Surgery. Ms. Jairath holds a MBA from Columbia Business School and a BBA in Finance and Marketing from Emory University.</w:t>
      </w:r>
    </w:p>
    <w:p>
      <w:pPr>
        <w:spacing w:after="0" w:line="77" w:lineRule="exact"/>
        <w:rPr>
          <w:sz w:val="20"/>
          <w:szCs w:val="20"/>
          <w:color w:val="auto"/>
        </w:rPr>
      </w:pPr>
    </w:p>
    <w:p>
      <w:pPr>
        <w:ind w:left="660" w:right="700"/>
        <w:spacing w:after="0" w:line="234" w:lineRule="auto"/>
        <w:rPr>
          <w:sz w:val="20"/>
          <w:szCs w:val="20"/>
          <w:color w:val="auto"/>
        </w:rPr>
      </w:pPr>
      <w:r>
        <w:rPr>
          <w:rFonts w:ascii="Arial" w:cs="Arial" w:eastAsia="Arial" w:hAnsi="Arial"/>
          <w:sz w:val="15"/>
          <w:szCs w:val="15"/>
          <w:b w:val="1"/>
          <w:bCs w:val="1"/>
          <w:i w:val="1"/>
          <w:iCs w:val="1"/>
          <w:color w:val="112B19"/>
        </w:rPr>
        <w:t xml:space="preserve">Richard J. (Arjay) Jensen </w:t>
      </w:r>
      <w:r>
        <w:rPr>
          <w:rFonts w:ascii="Arial" w:cs="Arial" w:eastAsia="Arial" w:hAnsi="Arial"/>
          <w:sz w:val="15"/>
          <w:szCs w:val="15"/>
          <w:color w:val="050A35"/>
        </w:rPr>
        <w:t>is the Company’s Executive Vice President and Head of M&amp;A and Strategy, a position he has served in since</w:t>
      </w:r>
      <w:r>
        <w:rPr>
          <w:rFonts w:ascii="Arial" w:cs="Arial" w:eastAsia="Arial" w:hAnsi="Arial"/>
          <w:sz w:val="15"/>
          <w:szCs w:val="15"/>
          <w:b w:val="1"/>
          <w:bCs w:val="1"/>
          <w:i w:val="1"/>
          <w:iCs w:val="1"/>
          <w:color w:val="112B19"/>
        </w:rPr>
        <w:t xml:space="preserve"> </w:t>
      </w:r>
      <w:r>
        <w:rPr>
          <w:rFonts w:ascii="Arial" w:cs="Arial" w:eastAsia="Arial" w:hAnsi="Arial"/>
          <w:sz w:val="15"/>
          <w:szCs w:val="15"/>
          <w:color w:val="050A35"/>
        </w:rPr>
        <w:t>February 2024. Prior to joining Ridgepost, Mr. Jensen held a variety of roles in investment banking, focusing on M&amp;A and other strategic and corporate finance transactions for financial services companies, including serving as managing director at Goldman, Sachs &amp; Co. on the Financial Institutions Group’s M&amp;A team from 2021 to 2023, as managing director at Guggenheim Securities in the Financial Institutions Group of from 2014 until 2021 and as managing director of Financial Advisory at Perella Weinberg Partners from 2009 to 2014. Mr. Jensen holds a MBA from Duke University, where he was a Fuqua Scholar, and a BA in Economics from the University of Michigan.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40" w:type="dxa"/>
            <w:vAlign w:val="bottom"/>
          </w:tcPr>
          <w:p>
            <w:pPr>
              <w:ind w:left="6560"/>
              <w:spacing w:after="0"/>
              <w:rPr>
                <w:sz w:val="20"/>
                <w:szCs w:val="20"/>
                <w:color w:val="auto"/>
              </w:rPr>
            </w:pPr>
            <w:r>
              <w:rPr>
                <w:rFonts w:ascii="Arial" w:cs="Arial" w:eastAsia="Arial" w:hAnsi="Arial"/>
                <w:sz w:val="14"/>
                <w:szCs w:val="14"/>
                <w:color w:val="050A35"/>
              </w:rPr>
              <w:t>RIDGEPOST CAPITAL | 2026 Proxy Statement</w:t>
            </w:r>
          </w:p>
        </w:tc>
        <w:tc>
          <w:tcPr>
            <w:tcW w:w="980" w:type="dxa"/>
            <w:vAlign w:val="bottom"/>
          </w:tcPr>
          <w:p>
            <w:pPr>
              <w:jc w:val="right"/>
              <w:ind w:right="588"/>
              <w:spacing w:after="0"/>
              <w:rPr>
                <w:sz w:val="20"/>
                <w:szCs w:val="20"/>
                <w:color w:val="auto"/>
              </w:rPr>
            </w:pPr>
            <w:r>
              <w:rPr>
                <w:rFonts w:ascii="Arial" w:cs="Arial" w:eastAsia="Arial" w:hAnsi="Arial"/>
                <w:sz w:val="14"/>
                <w:szCs w:val="14"/>
                <w:b w:val="1"/>
                <w:bCs w:val="1"/>
                <w:color w:val="050A35"/>
              </w:rPr>
              <w:t>13</w:t>
            </w:r>
          </w:p>
        </w:tc>
      </w:tr>
      <w:tr>
        <w:trPr>
          <w:trHeight w:val="738"/>
        </w:trPr>
        <w:tc>
          <w:tcPr>
            <w:tcW w:w="97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sectPr>
      </w:pPr>
    </w:p>
    <w:bookmarkStart w:id="17" w:name="page18"/>
    <w:bookmarkEnd w:id="17"/>
    <w:p>
      <w:pPr>
        <w:spacing w:after="0"/>
        <w:rPr>
          <w:sz w:val="20"/>
          <w:szCs w:val="20"/>
          <w:color w:val="auto"/>
        </w:rPr>
      </w:pPr>
      <w:r>
        <w:rPr>
          <w:rFonts w:ascii="Arial" w:cs="Arial" w:eastAsia="Arial" w:hAnsi="Arial"/>
          <w:sz w:val="13"/>
          <w:szCs w:val="13"/>
          <w:color w:val="050A35"/>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9664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b w:val="1"/>
          <w:bCs w:val="1"/>
          <w:color w:val="050A35"/>
        </w:rPr>
        <w:t>Director Compensation</w:t>
      </w:r>
    </w:p>
    <w:p>
      <w:pPr>
        <w:spacing w:after="0" w:line="129" w:lineRule="exact"/>
        <w:rPr>
          <w:sz w:val="20"/>
          <w:szCs w:val="20"/>
          <w:color w:val="auto"/>
        </w:rPr>
      </w:pPr>
    </w:p>
    <w:p>
      <w:pPr>
        <w:ind w:right="380"/>
        <w:spacing w:after="0" w:line="264" w:lineRule="auto"/>
        <w:rPr>
          <w:sz w:val="20"/>
          <w:szCs w:val="20"/>
          <w:color w:val="auto"/>
        </w:rPr>
      </w:pPr>
      <w:r>
        <w:rPr>
          <w:rFonts w:ascii="Arial" w:cs="Arial" w:eastAsia="Arial" w:hAnsi="Arial"/>
          <w:sz w:val="15"/>
          <w:szCs w:val="15"/>
          <w:color w:val="050A35"/>
        </w:rPr>
        <w:t>The Compensation Committee has primary responsibility for reviewing the form and amounts of non-employee director compensation arrangements. In considering director compensation, the Compensation Committee is guided by the following principles:</w:t>
      </w:r>
    </w:p>
    <w:p>
      <w:pPr>
        <w:spacing w:after="0" w:line="53" w:lineRule="exact"/>
        <w:rPr>
          <w:sz w:val="20"/>
          <w:szCs w:val="20"/>
          <w:color w:val="auto"/>
        </w:rPr>
      </w:pPr>
    </w:p>
    <w:p>
      <w:pPr>
        <w:ind w:left="180" w:hanging="174"/>
        <w:spacing w:after="0"/>
        <w:tabs>
          <w:tab w:leader="none" w:pos="180" w:val="left"/>
        </w:tabs>
        <w:numPr>
          <w:ilvl w:val="0"/>
          <w:numId w:val="29"/>
        </w:numPr>
        <w:rPr>
          <w:rFonts w:ascii="Times New Roman" w:cs="Times New Roman" w:eastAsia="Times New Roman" w:hAnsi="Times New Roman"/>
          <w:sz w:val="15"/>
          <w:szCs w:val="15"/>
          <w:color w:val="050A35"/>
        </w:rPr>
      </w:pPr>
      <w:r>
        <w:rPr>
          <w:rFonts w:ascii="Arial" w:cs="Arial" w:eastAsia="Arial" w:hAnsi="Arial"/>
          <w:sz w:val="15"/>
          <w:szCs w:val="15"/>
          <w:color w:val="050A35"/>
        </w:rPr>
        <w:t>compensation should fairly pay directors for work required consistent with a company of our size and scope;</w:t>
      </w:r>
    </w:p>
    <w:p>
      <w:pPr>
        <w:spacing w:after="0" w:line="96" w:lineRule="exact"/>
        <w:rPr>
          <w:rFonts w:ascii="Times New Roman" w:cs="Times New Roman" w:eastAsia="Times New Roman" w:hAnsi="Times New Roman"/>
          <w:sz w:val="15"/>
          <w:szCs w:val="15"/>
          <w:color w:val="050A35"/>
        </w:rPr>
      </w:pPr>
    </w:p>
    <w:p>
      <w:pPr>
        <w:ind w:left="180" w:hanging="174"/>
        <w:spacing w:after="0"/>
        <w:tabs>
          <w:tab w:leader="none" w:pos="180" w:val="left"/>
        </w:tabs>
        <w:numPr>
          <w:ilvl w:val="0"/>
          <w:numId w:val="29"/>
        </w:numPr>
        <w:rPr>
          <w:rFonts w:ascii="Times New Roman" w:cs="Times New Roman" w:eastAsia="Times New Roman" w:hAnsi="Times New Roman"/>
          <w:sz w:val="15"/>
          <w:szCs w:val="15"/>
          <w:color w:val="050A35"/>
        </w:rPr>
      </w:pPr>
      <w:r>
        <w:rPr>
          <w:rFonts w:ascii="Arial" w:cs="Arial" w:eastAsia="Arial" w:hAnsi="Arial"/>
          <w:sz w:val="15"/>
          <w:szCs w:val="15"/>
          <w:color w:val="050A35"/>
        </w:rPr>
        <w:t>compensation should align directors' interests with the long-term interests of stockholders; and</w:t>
      </w:r>
    </w:p>
    <w:p>
      <w:pPr>
        <w:spacing w:after="0" w:line="96" w:lineRule="exact"/>
        <w:rPr>
          <w:rFonts w:ascii="Times New Roman" w:cs="Times New Roman" w:eastAsia="Times New Roman" w:hAnsi="Times New Roman"/>
          <w:sz w:val="15"/>
          <w:szCs w:val="15"/>
          <w:color w:val="050A35"/>
        </w:rPr>
      </w:pPr>
    </w:p>
    <w:p>
      <w:pPr>
        <w:ind w:left="180" w:right="660" w:hanging="174"/>
        <w:spacing w:after="0" w:line="263" w:lineRule="auto"/>
        <w:tabs>
          <w:tab w:leader="none" w:pos="180" w:val="left"/>
        </w:tabs>
        <w:numPr>
          <w:ilvl w:val="0"/>
          <w:numId w:val="29"/>
        </w:numPr>
        <w:rPr>
          <w:rFonts w:ascii="Times New Roman" w:cs="Times New Roman" w:eastAsia="Times New Roman" w:hAnsi="Times New Roman"/>
          <w:sz w:val="15"/>
          <w:szCs w:val="15"/>
          <w:color w:val="050A35"/>
        </w:rPr>
      </w:pPr>
      <w:r>
        <w:rPr>
          <w:rFonts w:ascii="Arial" w:cs="Arial" w:eastAsia="Arial" w:hAnsi="Arial"/>
          <w:sz w:val="15"/>
          <w:szCs w:val="15"/>
          <w:color w:val="050A35"/>
        </w:rPr>
        <w:t>the forms and amounts of director compensation should fairly reflect the contributions of the directors to the performance of the Company.</w:t>
      </w:r>
    </w:p>
    <w:p>
      <w:pPr>
        <w:spacing w:after="0" w:line="53" w:lineRule="exact"/>
        <w:rPr>
          <w:sz w:val="20"/>
          <w:szCs w:val="20"/>
          <w:color w:val="auto"/>
        </w:rPr>
      </w:pPr>
    </w:p>
    <w:p>
      <w:pPr>
        <w:ind w:right="20"/>
        <w:spacing w:after="0" w:line="230" w:lineRule="auto"/>
        <w:rPr>
          <w:sz w:val="20"/>
          <w:szCs w:val="20"/>
          <w:color w:val="auto"/>
        </w:rPr>
      </w:pPr>
      <w:r>
        <w:rPr>
          <w:rFonts w:ascii="Arial" w:cs="Arial" w:eastAsia="Arial" w:hAnsi="Arial"/>
          <w:sz w:val="15"/>
          <w:szCs w:val="15"/>
          <w:color w:val="050A35"/>
        </w:rPr>
        <w:t>Arrangements in effect during 2025 provided that each non-employee director receive an award of Ridgepost Capital restricted stock on the date of our annual meeting of stockholders with a value (based on the closing price of our common stock on the grant date) calculated as follows: (i) $185,000 for each non-employee member of the Board; (ii) an additional $50,000 for the lead independent director; and (iii) an additional $15,000 for each Committee Chair (each, a “Director Restricted Stock Award”). Director Restricted Stock Awards vest and become nonforfeitable in full on the earlier of (i) the first anniversary of the grant date and (ii) the date of the Company’s next annual meeting of stockholders that is at least 50 weeks after the grant date. The terms of Director Restricted Stock Awards also provide for (i) cancellation and forfeiture of unvested shares of restricted stock in their entirety upon termination of service as a non-employee director for any reason other than death or disability and (ii) full acceleration of vesting upon death or disability. We also reimburse non-employee directors for all reasonable expenses incurred in connection with attendance at Board and Board committee meetings. Our policy is to not pay director compensation to directors who are also our employees.</w:t>
      </w:r>
    </w:p>
    <w:p>
      <w:pPr>
        <w:spacing w:after="0" w:line="75" w:lineRule="exact"/>
        <w:rPr>
          <w:sz w:val="20"/>
          <w:szCs w:val="20"/>
          <w:color w:val="auto"/>
        </w:rPr>
      </w:pPr>
    </w:p>
    <w:p>
      <w:pPr>
        <w:ind w:right="280"/>
        <w:spacing w:after="0" w:line="264" w:lineRule="auto"/>
        <w:rPr>
          <w:sz w:val="20"/>
          <w:szCs w:val="20"/>
          <w:color w:val="auto"/>
        </w:rPr>
      </w:pPr>
      <w:r>
        <w:rPr>
          <w:rFonts w:ascii="Arial" w:cs="Arial" w:eastAsia="Arial" w:hAnsi="Arial"/>
          <w:sz w:val="15"/>
          <w:szCs w:val="15"/>
          <w:color w:val="050A35"/>
        </w:rPr>
        <w:t>The following table sets forth information regarding the compensation earned or received by each of our non-employee directors during fiscal year 2025.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460" w:type="dxa"/>
            <w:vAlign w:val="bottom"/>
            <w:tcBorders>
              <w:bottom w:val="single" w:sz="8" w:color="112B19"/>
            </w:tcBorders>
          </w:tcPr>
          <w:p>
            <w:pPr>
              <w:spacing w:after="0"/>
              <w:rPr>
                <w:sz w:val="20"/>
                <w:szCs w:val="20"/>
                <w:color w:val="auto"/>
              </w:rPr>
            </w:pPr>
            <w:r>
              <w:rPr>
                <w:rFonts w:ascii="Arial" w:cs="Arial" w:eastAsia="Arial" w:hAnsi="Arial"/>
                <w:sz w:val="14"/>
                <w:szCs w:val="14"/>
                <w:b w:val="1"/>
                <w:bCs w:val="1"/>
                <w:color w:val="112B19"/>
              </w:rPr>
              <w:t>Name</w:t>
            </w:r>
          </w:p>
        </w:tc>
        <w:tc>
          <w:tcPr>
            <w:tcW w:w="3760" w:type="dxa"/>
            <w:vAlign w:val="bottom"/>
            <w:tcBorders>
              <w:bottom w:val="single" w:sz="8" w:color="112B19"/>
            </w:tcBorders>
            <w:gridSpan w:val="2"/>
          </w:tcPr>
          <w:p>
            <w:pPr>
              <w:ind w:left="2000"/>
              <w:spacing w:after="0"/>
              <w:rPr>
                <w:sz w:val="20"/>
                <w:szCs w:val="20"/>
                <w:color w:val="auto"/>
              </w:rPr>
            </w:pPr>
            <w:r>
              <w:rPr>
                <w:rFonts w:ascii="Arial" w:cs="Arial" w:eastAsia="Arial" w:hAnsi="Arial"/>
                <w:sz w:val="14"/>
                <w:szCs w:val="14"/>
                <w:b w:val="1"/>
                <w:bCs w:val="1"/>
                <w:color w:val="112B19"/>
              </w:rPr>
              <w:t xml:space="preserve">Stock Awards ($) </w:t>
            </w:r>
            <w:r>
              <w:rPr>
                <w:rFonts w:ascii="Arial" w:cs="Arial" w:eastAsia="Arial" w:hAnsi="Arial"/>
                <w:sz w:val="19"/>
                <w:szCs w:val="19"/>
                <w:b w:val="1"/>
                <w:bCs w:val="1"/>
                <w:color w:val="112B19"/>
                <w:vertAlign w:val="superscript"/>
              </w:rPr>
              <w:t>(1)</w:t>
            </w:r>
          </w:p>
        </w:tc>
        <w:tc>
          <w:tcPr>
            <w:tcW w:w="740" w:type="dxa"/>
            <w:vAlign w:val="bottom"/>
            <w:tcBorders>
              <w:bottom w:val="single" w:sz="8" w:color="112B19"/>
            </w:tcBorders>
          </w:tcPr>
          <w:p>
            <w:pPr>
              <w:spacing w:after="0"/>
              <w:rPr>
                <w:sz w:val="21"/>
                <w:szCs w:val="21"/>
                <w:color w:val="auto"/>
              </w:rPr>
            </w:pPr>
          </w:p>
        </w:tc>
        <w:tc>
          <w:tcPr>
            <w:tcW w:w="1440" w:type="dxa"/>
            <w:vAlign w:val="bottom"/>
            <w:tcBorders>
              <w:bottom w:val="single" w:sz="8" w:color="112B19"/>
            </w:tcBorders>
          </w:tcPr>
          <w:p>
            <w:pPr>
              <w:jc w:val="right"/>
              <w:ind w:right="808"/>
              <w:spacing w:after="0"/>
              <w:rPr>
                <w:sz w:val="20"/>
                <w:szCs w:val="20"/>
                <w:color w:val="auto"/>
              </w:rPr>
            </w:pPr>
            <w:r>
              <w:rPr>
                <w:rFonts w:ascii="Arial" w:cs="Arial" w:eastAsia="Arial" w:hAnsi="Arial"/>
                <w:sz w:val="14"/>
                <w:szCs w:val="14"/>
                <w:b w:val="1"/>
                <w:bCs w:val="1"/>
                <w:color w:val="112B19"/>
              </w:rPr>
              <w:t>Total</w:t>
            </w:r>
          </w:p>
        </w:tc>
      </w:tr>
      <w:tr>
        <w:trPr>
          <w:trHeight w:val="243"/>
        </w:trPr>
        <w:tc>
          <w:tcPr>
            <w:tcW w:w="346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4"/>
                <w:szCs w:val="14"/>
                <w:color w:val="auto"/>
              </w:rPr>
              <w:t>Travis Barnes</w:t>
            </w:r>
          </w:p>
        </w:tc>
        <w:tc>
          <w:tcPr>
            <w:tcW w:w="2400" w:type="dxa"/>
            <w:vAlign w:val="bottom"/>
            <w:tcBorders>
              <w:bottom w:val="single" w:sz="8" w:color="EDEDED"/>
            </w:tcBorders>
            <w:shd w:val="clear" w:color="auto" w:fill="EDEDED"/>
          </w:tcPr>
          <w:p>
            <w:pPr>
              <w:ind w:left="198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EDEDED"/>
            </w:tcBorders>
            <w:shd w:val="clear" w:color="auto" w:fill="EDEDED"/>
          </w:tcPr>
          <w:p>
            <w:pPr>
              <w:jc w:val="right"/>
              <w:ind w:right="428"/>
              <w:spacing w:after="0"/>
              <w:rPr>
                <w:sz w:val="20"/>
                <w:szCs w:val="20"/>
                <w:color w:val="auto"/>
              </w:rPr>
            </w:pPr>
            <w:r>
              <w:rPr>
                <w:rFonts w:ascii="Arial" w:cs="Arial" w:eastAsia="Arial" w:hAnsi="Arial"/>
                <w:sz w:val="14"/>
                <w:szCs w:val="14"/>
                <w:color w:val="auto"/>
              </w:rPr>
              <w:t>185,001</w:t>
            </w:r>
          </w:p>
        </w:tc>
        <w:tc>
          <w:tcPr>
            <w:tcW w:w="740" w:type="dxa"/>
            <w:vAlign w:val="bottom"/>
            <w:tcBorders>
              <w:bottom w:val="single" w:sz="8" w:color="EDEDED"/>
            </w:tcBorders>
            <w:shd w:val="clear" w:color="auto" w:fill="EDEDED"/>
          </w:tcPr>
          <w:p>
            <w:pPr>
              <w:jc w:val="right"/>
              <w:ind w:right="1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EDEDED"/>
            </w:tcBorders>
            <w:shd w:val="clear" w:color="auto" w:fill="EDEDED"/>
          </w:tcPr>
          <w:p>
            <w:pPr>
              <w:jc w:val="right"/>
              <w:ind w:right="388"/>
              <w:spacing w:after="0"/>
              <w:rPr>
                <w:sz w:val="20"/>
                <w:szCs w:val="20"/>
                <w:color w:val="auto"/>
              </w:rPr>
            </w:pPr>
            <w:r>
              <w:rPr>
                <w:rFonts w:ascii="Arial" w:cs="Arial" w:eastAsia="Arial" w:hAnsi="Arial"/>
                <w:sz w:val="14"/>
                <w:szCs w:val="14"/>
                <w:color w:val="auto"/>
              </w:rPr>
              <w:t>185,001</w:t>
            </w:r>
          </w:p>
        </w:tc>
      </w:tr>
      <w:tr>
        <w:trPr>
          <w:trHeight w:val="235"/>
        </w:trPr>
        <w:tc>
          <w:tcPr>
            <w:tcW w:w="3460" w:type="dxa"/>
            <w:vAlign w:val="bottom"/>
          </w:tcPr>
          <w:p>
            <w:pPr>
              <w:ind w:left="100"/>
              <w:spacing w:after="0"/>
              <w:rPr>
                <w:sz w:val="20"/>
                <w:szCs w:val="20"/>
                <w:color w:val="auto"/>
              </w:rPr>
            </w:pPr>
            <w:r>
              <w:rPr>
                <w:rFonts w:ascii="Arial" w:cs="Arial" w:eastAsia="Arial" w:hAnsi="Arial"/>
                <w:sz w:val="14"/>
                <w:szCs w:val="14"/>
                <w:color w:val="auto"/>
              </w:rPr>
              <w:t>Tracey Benford</w:t>
            </w:r>
          </w:p>
        </w:tc>
        <w:tc>
          <w:tcPr>
            <w:tcW w:w="2400" w:type="dxa"/>
            <w:vAlign w:val="bottom"/>
          </w:tcPr>
          <w:p>
            <w:pPr>
              <w:ind w:left="198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28"/>
              <w:spacing w:after="0"/>
              <w:rPr>
                <w:sz w:val="20"/>
                <w:szCs w:val="20"/>
                <w:color w:val="auto"/>
              </w:rPr>
            </w:pPr>
            <w:r>
              <w:rPr>
                <w:rFonts w:ascii="Arial" w:cs="Arial" w:eastAsia="Arial" w:hAnsi="Arial"/>
                <w:sz w:val="14"/>
                <w:szCs w:val="14"/>
                <w:color w:val="auto"/>
              </w:rPr>
              <w:t>250,001</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250,001</w:t>
            </w:r>
          </w:p>
        </w:tc>
      </w:tr>
      <w:tr>
        <w:trPr>
          <w:trHeight w:val="35"/>
        </w:trPr>
        <w:tc>
          <w:tcPr>
            <w:tcW w:w="346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346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4"/>
                <w:szCs w:val="14"/>
                <w:color w:val="auto"/>
              </w:rPr>
              <w:t>Stephen Blewitt</w:t>
            </w:r>
          </w:p>
        </w:tc>
        <w:tc>
          <w:tcPr>
            <w:tcW w:w="2400" w:type="dxa"/>
            <w:vAlign w:val="bottom"/>
            <w:tcBorders>
              <w:bottom w:val="single" w:sz="8" w:color="EDEDED"/>
            </w:tcBorders>
            <w:shd w:val="clear" w:color="auto" w:fill="EDEDED"/>
          </w:tcPr>
          <w:p>
            <w:pPr>
              <w:ind w:left="198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EDEDED"/>
            </w:tcBorders>
            <w:shd w:val="clear" w:color="auto" w:fill="EDEDED"/>
          </w:tcPr>
          <w:p>
            <w:pPr>
              <w:jc w:val="right"/>
              <w:ind w:right="428"/>
              <w:spacing w:after="0"/>
              <w:rPr>
                <w:sz w:val="20"/>
                <w:szCs w:val="20"/>
                <w:color w:val="auto"/>
              </w:rPr>
            </w:pPr>
            <w:r>
              <w:rPr>
                <w:rFonts w:ascii="Arial" w:cs="Arial" w:eastAsia="Arial" w:hAnsi="Arial"/>
                <w:sz w:val="14"/>
                <w:szCs w:val="14"/>
                <w:color w:val="auto"/>
              </w:rPr>
              <w:t>185,001</w:t>
            </w:r>
          </w:p>
        </w:tc>
        <w:tc>
          <w:tcPr>
            <w:tcW w:w="740" w:type="dxa"/>
            <w:vAlign w:val="bottom"/>
            <w:tcBorders>
              <w:bottom w:val="single" w:sz="8" w:color="EDEDED"/>
            </w:tcBorders>
            <w:shd w:val="clear" w:color="auto" w:fill="EDEDED"/>
          </w:tcPr>
          <w:p>
            <w:pPr>
              <w:jc w:val="right"/>
              <w:ind w:right="1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EDEDED"/>
            </w:tcBorders>
            <w:shd w:val="clear" w:color="auto" w:fill="EDEDED"/>
          </w:tcPr>
          <w:p>
            <w:pPr>
              <w:jc w:val="right"/>
              <w:ind w:right="388"/>
              <w:spacing w:after="0"/>
              <w:rPr>
                <w:sz w:val="20"/>
                <w:szCs w:val="20"/>
                <w:color w:val="auto"/>
              </w:rPr>
            </w:pPr>
            <w:r>
              <w:rPr>
                <w:rFonts w:ascii="Arial" w:cs="Arial" w:eastAsia="Arial" w:hAnsi="Arial"/>
                <w:sz w:val="14"/>
                <w:szCs w:val="14"/>
                <w:color w:val="auto"/>
              </w:rPr>
              <w:t>185,001</w:t>
            </w:r>
          </w:p>
        </w:tc>
      </w:tr>
      <w:tr>
        <w:trPr>
          <w:trHeight w:val="235"/>
        </w:trPr>
        <w:tc>
          <w:tcPr>
            <w:tcW w:w="3460" w:type="dxa"/>
            <w:vAlign w:val="bottom"/>
          </w:tcPr>
          <w:p>
            <w:pPr>
              <w:ind w:left="100"/>
              <w:spacing w:after="0"/>
              <w:rPr>
                <w:sz w:val="20"/>
                <w:szCs w:val="20"/>
                <w:color w:val="auto"/>
              </w:rPr>
            </w:pPr>
            <w:r>
              <w:rPr>
                <w:rFonts w:ascii="Arial" w:cs="Arial" w:eastAsia="Arial" w:hAnsi="Arial"/>
                <w:sz w:val="14"/>
                <w:szCs w:val="14"/>
                <w:color w:val="auto"/>
              </w:rPr>
              <w:t>Jennifer Glassman</w:t>
            </w:r>
          </w:p>
        </w:tc>
        <w:tc>
          <w:tcPr>
            <w:tcW w:w="2400" w:type="dxa"/>
            <w:vAlign w:val="bottom"/>
          </w:tcPr>
          <w:p>
            <w:pPr>
              <w:ind w:left="198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28"/>
              <w:spacing w:after="0"/>
              <w:rPr>
                <w:sz w:val="20"/>
                <w:szCs w:val="20"/>
                <w:color w:val="auto"/>
              </w:rPr>
            </w:pPr>
            <w:r>
              <w:rPr>
                <w:rFonts w:ascii="Arial" w:cs="Arial" w:eastAsia="Arial" w:hAnsi="Arial"/>
                <w:sz w:val="14"/>
                <w:szCs w:val="14"/>
                <w:color w:val="auto"/>
              </w:rPr>
              <w:t>185,001</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185,001</w:t>
            </w:r>
          </w:p>
        </w:tc>
      </w:tr>
      <w:tr>
        <w:trPr>
          <w:trHeight w:val="35"/>
        </w:trPr>
        <w:tc>
          <w:tcPr>
            <w:tcW w:w="346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346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4"/>
                <w:szCs w:val="14"/>
                <w:color w:val="auto"/>
              </w:rPr>
              <w:t>Scott Gwilliam</w:t>
            </w:r>
          </w:p>
        </w:tc>
        <w:tc>
          <w:tcPr>
            <w:tcW w:w="2400" w:type="dxa"/>
            <w:vAlign w:val="bottom"/>
            <w:tcBorders>
              <w:bottom w:val="single" w:sz="8" w:color="EDEDED"/>
            </w:tcBorders>
            <w:shd w:val="clear" w:color="auto" w:fill="EDEDED"/>
          </w:tcPr>
          <w:p>
            <w:pPr>
              <w:ind w:left="198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EDEDED"/>
            </w:tcBorders>
            <w:shd w:val="clear" w:color="auto" w:fill="EDEDED"/>
          </w:tcPr>
          <w:p>
            <w:pPr>
              <w:jc w:val="right"/>
              <w:ind w:right="428"/>
              <w:spacing w:after="0"/>
              <w:rPr>
                <w:sz w:val="20"/>
                <w:szCs w:val="20"/>
                <w:color w:val="auto"/>
              </w:rPr>
            </w:pPr>
            <w:r>
              <w:rPr>
                <w:rFonts w:ascii="Arial" w:cs="Arial" w:eastAsia="Arial" w:hAnsi="Arial"/>
                <w:sz w:val="14"/>
                <w:szCs w:val="14"/>
                <w:color w:val="auto"/>
              </w:rPr>
              <w:t>200,003</w:t>
            </w:r>
          </w:p>
        </w:tc>
        <w:tc>
          <w:tcPr>
            <w:tcW w:w="740" w:type="dxa"/>
            <w:vAlign w:val="bottom"/>
            <w:tcBorders>
              <w:bottom w:val="single" w:sz="8" w:color="EDEDED"/>
            </w:tcBorders>
            <w:shd w:val="clear" w:color="auto" w:fill="EDEDED"/>
          </w:tcPr>
          <w:p>
            <w:pPr>
              <w:jc w:val="right"/>
              <w:ind w:right="1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EDEDED"/>
            </w:tcBorders>
            <w:shd w:val="clear" w:color="auto" w:fill="EDEDED"/>
          </w:tcPr>
          <w:p>
            <w:pPr>
              <w:jc w:val="right"/>
              <w:ind w:right="388"/>
              <w:spacing w:after="0"/>
              <w:rPr>
                <w:sz w:val="20"/>
                <w:szCs w:val="20"/>
                <w:color w:val="auto"/>
              </w:rPr>
            </w:pPr>
            <w:r>
              <w:rPr>
                <w:rFonts w:ascii="Arial" w:cs="Arial" w:eastAsia="Arial" w:hAnsi="Arial"/>
                <w:sz w:val="14"/>
                <w:szCs w:val="14"/>
                <w:color w:val="auto"/>
              </w:rPr>
              <w:t>200,003</w:t>
            </w:r>
          </w:p>
        </w:tc>
      </w:tr>
      <w:tr>
        <w:trPr>
          <w:trHeight w:val="235"/>
        </w:trPr>
        <w:tc>
          <w:tcPr>
            <w:tcW w:w="3460" w:type="dxa"/>
            <w:vAlign w:val="bottom"/>
          </w:tcPr>
          <w:p>
            <w:pPr>
              <w:ind w:left="100"/>
              <w:spacing w:after="0"/>
              <w:rPr>
                <w:sz w:val="20"/>
                <w:szCs w:val="20"/>
                <w:color w:val="auto"/>
              </w:rPr>
            </w:pPr>
            <w:r>
              <w:rPr>
                <w:rFonts w:ascii="Arial" w:cs="Arial" w:eastAsia="Arial" w:hAnsi="Arial"/>
                <w:sz w:val="14"/>
                <w:szCs w:val="14"/>
                <w:color w:val="auto"/>
              </w:rPr>
              <w:t>Robert B. Stewart, Jr.</w:t>
            </w:r>
          </w:p>
        </w:tc>
        <w:tc>
          <w:tcPr>
            <w:tcW w:w="2400" w:type="dxa"/>
            <w:vAlign w:val="bottom"/>
          </w:tcPr>
          <w:p>
            <w:pPr>
              <w:ind w:left="198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28"/>
              <w:spacing w:after="0"/>
              <w:rPr>
                <w:sz w:val="20"/>
                <w:szCs w:val="20"/>
                <w:color w:val="auto"/>
              </w:rPr>
            </w:pPr>
            <w:r>
              <w:rPr>
                <w:rFonts w:ascii="Arial" w:cs="Arial" w:eastAsia="Arial" w:hAnsi="Arial"/>
                <w:sz w:val="14"/>
                <w:szCs w:val="14"/>
                <w:color w:val="auto"/>
              </w:rPr>
              <w:t>200,003</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200,003</w:t>
            </w:r>
          </w:p>
        </w:tc>
      </w:tr>
      <w:tr>
        <w:trPr>
          <w:trHeight w:val="35"/>
        </w:trPr>
        <w:tc>
          <w:tcPr>
            <w:tcW w:w="3460" w:type="dxa"/>
            <w:vAlign w:val="bottom"/>
            <w:tcBorders>
              <w:bottom w:val="single" w:sz="8" w:color="112B19"/>
            </w:tcBorders>
          </w:tcPr>
          <w:p>
            <w:pPr>
              <w:spacing w:after="0"/>
              <w:rPr>
                <w:sz w:val="3"/>
                <w:szCs w:val="3"/>
                <w:color w:val="auto"/>
              </w:rPr>
            </w:pPr>
          </w:p>
        </w:tc>
        <w:tc>
          <w:tcPr>
            <w:tcW w:w="2400" w:type="dxa"/>
            <w:vAlign w:val="bottom"/>
            <w:tcBorders>
              <w:bottom w:val="single" w:sz="8" w:color="112B19"/>
            </w:tcBorders>
          </w:tcPr>
          <w:p>
            <w:pPr>
              <w:spacing w:after="0"/>
              <w:rPr>
                <w:sz w:val="3"/>
                <w:szCs w:val="3"/>
                <w:color w:val="auto"/>
              </w:rPr>
            </w:pPr>
          </w:p>
        </w:tc>
        <w:tc>
          <w:tcPr>
            <w:tcW w:w="1360" w:type="dxa"/>
            <w:vAlign w:val="bottom"/>
            <w:tcBorders>
              <w:bottom w:val="single" w:sz="8" w:color="112B19"/>
            </w:tcBorders>
          </w:tcPr>
          <w:p>
            <w:pPr>
              <w:spacing w:after="0"/>
              <w:rPr>
                <w:sz w:val="3"/>
                <w:szCs w:val="3"/>
                <w:color w:val="auto"/>
              </w:rPr>
            </w:pPr>
          </w:p>
        </w:tc>
        <w:tc>
          <w:tcPr>
            <w:tcW w:w="740" w:type="dxa"/>
            <w:vAlign w:val="bottom"/>
            <w:tcBorders>
              <w:bottom w:val="single" w:sz="8" w:color="112B19"/>
            </w:tcBorders>
          </w:tcPr>
          <w:p>
            <w:pPr>
              <w:spacing w:after="0"/>
              <w:rPr>
                <w:sz w:val="3"/>
                <w:szCs w:val="3"/>
                <w:color w:val="auto"/>
              </w:rPr>
            </w:pPr>
          </w:p>
        </w:tc>
        <w:tc>
          <w:tcPr>
            <w:tcW w:w="1440" w:type="dxa"/>
            <w:vAlign w:val="bottom"/>
            <w:tcBorders>
              <w:bottom w:val="single" w:sz="8" w:color="112B19"/>
            </w:tcBorders>
          </w:tcPr>
          <w:p>
            <w:pPr>
              <w:spacing w:after="0"/>
              <w:rPr>
                <w:sz w:val="3"/>
                <w:szCs w:val="3"/>
                <w:color w:val="auto"/>
              </w:rPr>
            </w:pPr>
          </w:p>
        </w:tc>
      </w:tr>
    </w:tbl>
    <w:p>
      <w:pPr>
        <w:spacing w:after="0" w:line="112" w:lineRule="exact"/>
        <w:rPr>
          <w:sz w:val="20"/>
          <w:szCs w:val="20"/>
          <w:color w:val="auto"/>
        </w:rPr>
      </w:pPr>
    </w:p>
    <w:p>
      <w:pPr>
        <w:ind w:left="320" w:right="100" w:hanging="314"/>
        <w:spacing w:after="0" w:line="252" w:lineRule="auto"/>
        <w:tabs>
          <w:tab w:leader="none" w:pos="320" w:val="left"/>
        </w:tabs>
        <w:numPr>
          <w:ilvl w:val="0"/>
          <w:numId w:val="30"/>
        </w:numPr>
        <w:rPr>
          <w:rFonts w:ascii="Times New Roman" w:cs="Times New Roman" w:eastAsia="Times New Roman" w:hAnsi="Times New Roman"/>
          <w:sz w:val="14"/>
          <w:szCs w:val="14"/>
          <w:color w:val="050A35"/>
        </w:rPr>
      </w:pPr>
      <w:r>
        <w:rPr>
          <w:rFonts w:ascii="Arial" w:cs="Arial" w:eastAsia="Arial" w:hAnsi="Arial"/>
          <w:sz w:val="14"/>
          <w:szCs w:val="14"/>
          <w:color w:val="050A35"/>
        </w:rPr>
        <w:t xml:space="preserve">Reflects the grant date fair value of each of the Director Restricted Stock Awards, computed in accordance with FASB ASC Topic 718, </w:t>
      </w:r>
      <w:r>
        <w:rPr>
          <w:rFonts w:ascii="Arial" w:cs="Arial" w:eastAsia="Arial" w:hAnsi="Arial"/>
          <w:sz w:val="14"/>
          <w:szCs w:val="14"/>
          <w:i w:val="1"/>
          <w:iCs w:val="1"/>
          <w:color w:val="050A35"/>
        </w:rPr>
        <w:t>Compensation - Stock Compensation</w:t>
      </w:r>
      <w:r>
        <w:rPr>
          <w:rFonts w:ascii="Arial" w:cs="Arial" w:eastAsia="Arial" w:hAnsi="Arial"/>
          <w:sz w:val="14"/>
          <w:szCs w:val="14"/>
          <w:color w:val="050A35"/>
        </w:rPr>
        <w:t>, excluding the effect of estimated forfeitures. The grant date fair value of the Director Restricted Stock</w:t>
      </w:r>
      <w:r>
        <w:rPr>
          <w:rFonts w:ascii="Arial" w:cs="Arial" w:eastAsia="Arial" w:hAnsi="Arial"/>
          <w:sz w:val="14"/>
          <w:szCs w:val="14"/>
          <w:i w:val="1"/>
          <w:iCs w:val="1"/>
          <w:color w:val="050A35"/>
        </w:rPr>
        <w:t xml:space="preserve"> </w:t>
      </w:r>
      <w:r>
        <w:rPr>
          <w:rFonts w:ascii="Arial" w:cs="Arial" w:eastAsia="Arial" w:hAnsi="Arial"/>
          <w:sz w:val="14"/>
          <w:szCs w:val="14"/>
          <w:color w:val="050A35"/>
        </w:rPr>
        <w:t>Awards is calculated by multiplying the number of shares of restricted stock by the closing market price of our common stock on the grant date. As of December 31, 2025, our non-employee directors serving as of such date held the following number of shares of restricted stock in the aggregate: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Borders>
              <w:bottom w:val="single" w:sz="8" w:color="112B19"/>
            </w:tcBorders>
          </w:tcPr>
          <w:p>
            <w:pPr>
              <w:spacing w:after="0"/>
              <w:rPr>
                <w:sz w:val="20"/>
                <w:szCs w:val="20"/>
                <w:color w:val="auto"/>
              </w:rPr>
            </w:pPr>
            <w:r>
              <w:rPr>
                <w:rFonts w:ascii="Arial" w:cs="Arial" w:eastAsia="Arial" w:hAnsi="Arial"/>
                <w:sz w:val="14"/>
                <w:szCs w:val="14"/>
                <w:b w:val="1"/>
                <w:bCs w:val="1"/>
                <w:color w:val="112B19"/>
              </w:rPr>
              <w:t>Name</w:t>
            </w:r>
          </w:p>
        </w:tc>
        <w:tc>
          <w:tcPr>
            <w:tcW w:w="5040" w:type="dxa"/>
            <w:vAlign w:val="bottom"/>
            <w:tcBorders>
              <w:bottom w:val="single" w:sz="8" w:color="112B19"/>
            </w:tcBorders>
          </w:tcPr>
          <w:p>
            <w:pPr>
              <w:jc w:val="right"/>
              <w:ind w:right="488"/>
              <w:spacing w:after="0"/>
              <w:rPr>
                <w:sz w:val="20"/>
                <w:szCs w:val="20"/>
                <w:color w:val="auto"/>
              </w:rPr>
            </w:pPr>
            <w:r>
              <w:rPr>
                <w:rFonts w:ascii="Arial" w:cs="Arial" w:eastAsia="Arial" w:hAnsi="Arial"/>
                <w:sz w:val="14"/>
                <w:szCs w:val="14"/>
                <w:b w:val="1"/>
                <w:bCs w:val="1"/>
                <w:color w:val="112B19"/>
              </w:rPr>
              <w:t>Outstanding Shares (#)</w:t>
            </w:r>
          </w:p>
        </w:tc>
      </w:tr>
      <w:tr>
        <w:trPr>
          <w:trHeight w:val="215"/>
        </w:trPr>
        <w:tc>
          <w:tcPr>
            <w:tcW w:w="4360" w:type="dxa"/>
            <w:vAlign w:val="bottom"/>
          </w:tcPr>
          <w:p>
            <w:pPr>
              <w:ind w:left="100"/>
              <w:spacing w:after="0"/>
              <w:rPr>
                <w:sz w:val="20"/>
                <w:szCs w:val="20"/>
                <w:color w:val="auto"/>
              </w:rPr>
            </w:pPr>
            <w:r>
              <w:rPr>
                <w:rFonts w:ascii="Arial" w:cs="Arial" w:eastAsia="Arial" w:hAnsi="Arial"/>
                <w:sz w:val="14"/>
                <w:szCs w:val="14"/>
                <w:color w:val="auto"/>
              </w:rPr>
              <w:t>Travis Barnes</w:t>
            </w:r>
          </w:p>
        </w:tc>
        <w:tc>
          <w:tcPr>
            <w:tcW w:w="5040" w:type="dxa"/>
            <w:vAlign w:val="bottom"/>
          </w:tcPr>
          <w:p>
            <w:pPr>
              <w:jc w:val="right"/>
              <w:ind w:right="508"/>
              <w:spacing w:after="0"/>
              <w:rPr>
                <w:sz w:val="20"/>
                <w:szCs w:val="20"/>
                <w:color w:val="auto"/>
              </w:rPr>
            </w:pPr>
            <w:r>
              <w:rPr>
                <w:rFonts w:ascii="Arial" w:cs="Arial" w:eastAsia="Arial" w:hAnsi="Arial"/>
                <w:sz w:val="14"/>
                <w:szCs w:val="14"/>
                <w:color w:val="auto"/>
              </w:rPr>
              <w:t>19,744</w:t>
            </w:r>
          </w:p>
        </w:tc>
      </w:tr>
      <w:tr>
        <w:trPr>
          <w:trHeight w:val="22"/>
        </w:trPr>
        <w:tc>
          <w:tcPr>
            <w:tcW w:w="43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223"/>
        </w:trPr>
        <w:tc>
          <w:tcPr>
            <w:tcW w:w="436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4"/>
                <w:szCs w:val="14"/>
                <w:color w:val="auto"/>
              </w:rPr>
              <w:t>Tracey Benford</w:t>
            </w:r>
          </w:p>
        </w:tc>
        <w:tc>
          <w:tcPr>
            <w:tcW w:w="5040" w:type="dxa"/>
            <w:vAlign w:val="bottom"/>
            <w:tcBorders>
              <w:bottom w:val="single" w:sz="8" w:color="EDEDED"/>
            </w:tcBorders>
            <w:shd w:val="clear" w:color="auto" w:fill="EDEDED"/>
          </w:tcPr>
          <w:p>
            <w:pPr>
              <w:jc w:val="right"/>
              <w:ind w:right="508"/>
              <w:spacing w:after="0"/>
              <w:rPr>
                <w:sz w:val="20"/>
                <w:szCs w:val="20"/>
                <w:color w:val="auto"/>
              </w:rPr>
            </w:pPr>
            <w:r>
              <w:rPr>
                <w:rFonts w:ascii="Arial" w:cs="Arial" w:eastAsia="Arial" w:hAnsi="Arial"/>
                <w:sz w:val="14"/>
                <w:szCs w:val="14"/>
                <w:color w:val="auto"/>
              </w:rPr>
              <w:t>26,681</w:t>
            </w:r>
          </w:p>
        </w:tc>
      </w:tr>
      <w:tr>
        <w:trPr>
          <w:trHeight w:val="222"/>
        </w:trPr>
        <w:tc>
          <w:tcPr>
            <w:tcW w:w="4360" w:type="dxa"/>
            <w:vAlign w:val="bottom"/>
          </w:tcPr>
          <w:p>
            <w:pPr>
              <w:ind w:left="100"/>
              <w:spacing w:after="0"/>
              <w:rPr>
                <w:sz w:val="20"/>
                <w:szCs w:val="20"/>
                <w:color w:val="auto"/>
              </w:rPr>
            </w:pPr>
            <w:r>
              <w:rPr>
                <w:rFonts w:ascii="Arial" w:cs="Arial" w:eastAsia="Arial" w:hAnsi="Arial"/>
                <w:sz w:val="14"/>
                <w:szCs w:val="14"/>
                <w:color w:val="auto"/>
              </w:rPr>
              <w:t>Stephen Blewitt</w:t>
            </w:r>
          </w:p>
        </w:tc>
        <w:tc>
          <w:tcPr>
            <w:tcW w:w="5040" w:type="dxa"/>
            <w:vAlign w:val="bottom"/>
          </w:tcPr>
          <w:p>
            <w:pPr>
              <w:jc w:val="right"/>
              <w:ind w:right="508"/>
              <w:spacing w:after="0"/>
              <w:rPr>
                <w:sz w:val="20"/>
                <w:szCs w:val="20"/>
                <w:color w:val="auto"/>
              </w:rPr>
            </w:pPr>
            <w:r>
              <w:rPr>
                <w:rFonts w:ascii="Arial" w:cs="Arial" w:eastAsia="Arial" w:hAnsi="Arial"/>
                <w:sz w:val="14"/>
                <w:szCs w:val="14"/>
                <w:color w:val="auto"/>
              </w:rPr>
              <w:t>19,744</w:t>
            </w:r>
          </w:p>
        </w:tc>
      </w:tr>
      <w:tr>
        <w:trPr>
          <w:trHeight w:val="22"/>
        </w:trPr>
        <w:tc>
          <w:tcPr>
            <w:tcW w:w="43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223"/>
        </w:trPr>
        <w:tc>
          <w:tcPr>
            <w:tcW w:w="436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4"/>
                <w:szCs w:val="14"/>
                <w:color w:val="auto"/>
              </w:rPr>
              <w:t>Jennifer Glassman</w:t>
            </w:r>
          </w:p>
        </w:tc>
        <w:tc>
          <w:tcPr>
            <w:tcW w:w="5040" w:type="dxa"/>
            <w:vAlign w:val="bottom"/>
            <w:tcBorders>
              <w:bottom w:val="single" w:sz="8" w:color="EDEDED"/>
            </w:tcBorders>
            <w:shd w:val="clear" w:color="auto" w:fill="EDEDED"/>
          </w:tcPr>
          <w:p>
            <w:pPr>
              <w:jc w:val="right"/>
              <w:ind w:right="508"/>
              <w:spacing w:after="0"/>
              <w:rPr>
                <w:sz w:val="20"/>
                <w:szCs w:val="20"/>
                <w:color w:val="auto"/>
              </w:rPr>
            </w:pPr>
            <w:r>
              <w:rPr>
                <w:rFonts w:ascii="Arial" w:cs="Arial" w:eastAsia="Arial" w:hAnsi="Arial"/>
                <w:sz w:val="14"/>
                <w:szCs w:val="14"/>
                <w:color w:val="auto"/>
              </w:rPr>
              <w:t>19,744</w:t>
            </w:r>
          </w:p>
        </w:tc>
      </w:tr>
      <w:tr>
        <w:trPr>
          <w:trHeight w:val="221"/>
        </w:trPr>
        <w:tc>
          <w:tcPr>
            <w:tcW w:w="4360" w:type="dxa"/>
            <w:vAlign w:val="bottom"/>
          </w:tcPr>
          <w:p>
            <w:pPr>
              <w:ind w:left="100"/>
              <w:spacing w:after="0"/>
              <w:rPr>
                <w:sz w:val="20"/>
                <w:szCs w:val="20"/>
                <w:color w:val="auto"/>
              </w:rPr>
            </w:pPr>
            <w:r>
              <w:rPr>
                <w:rFonts w:ascii="Arial" w:cs="Arial" w:eastAsia="Arial" w:hAnsi="Arial"/>
                <w:sz w:val="14"/>
                <w:szCs w:val="14"/>
                <w:color w:val="auto"/>
              </w:rPr>
              <w:t>Scott Gwilliam</w:t>
            </w:r>
          </w:p>
        </w:tc>
        <w:tc>
          <w:tcPr>
            <w:tcW w:w="5040" w:type="dxa"/>
            <w:vAlign w:val="bottom"/>
          </w:tcPr>
          <w:p>
            <w:pPr>
              <w:jc w:val="right"/>
              <w:ind w:right="508"/>
              <w:spacing w:after="0"/>
              <w:rPr>
                <w:sz w:val="20"/>
                <w:szCs w:val="20"/>
                <w:color w:val="auto"/>
              </w:rPr>
            </w:pPr>
            <w:r>
              <w:rPr>
                <w:rFonts w:ascii="Arial" w:cs="Arial" w:eastAsia="Arial" w:hAnsi="Arial"/>
                <w:sz w:val="14"/>
                <w:szCs w:val="14"/>
                <w:color w:val="auto"/>
              </w:rPr>
              <w:t>21,345</w:t>
            </w:r>
          </w:p>
        </w:tc>
      </w:tr>
      <w:tr>
        <w:trPr>
          <w:trHeight w:val="22"/>
        </w:trPr>
        <w:tc>
          <w:tcPr>
            <w:tcW w:w="43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223"/>
        </w:trPr>
        <w:tc>
          <w:tcPr>
            <w:tcW w:w="436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4"/>
                <w:szCs w:val="14"/>
                <w:color w:val="auto"/>
              </w:rPr>
              <w:t>Robert B. Stewart, Jr.</w:t>
            </w:r>
          </w:p>
        </w:tc>
        <w:tc>
          <w:tcPr>
            <w:tcW w:w="5040" w:type="dxa"/>
            <w:vAlign w:val="bottom"/>
            <w:tcBorders>
              <w:bottom w:val="single" w:sz="8" w:color="EDEDED"/>
            </w:tcBorders>
            <w:shd w:val="clear" w:color="auto" w:fill="EDEDED"/>
          </w:tcPr>
          <w:p>
            <w:pPr>
              <w:jc w:val="right"/>
              <w:ind w:right="508"/>
              <w:spacing w:after="0"/>
              <w:rPr>
                <w:sz w:val="20"/>
                <w:szCs w:val="20"/>
                <w:color w:val="auto"/>
              </w:rPr>
            </w:pPr>
            <w:r>
              <w:rPr>
                <w:rFonts w:ascii="Arial" w:cs="Arial" w:eastAsia="Arial" w:hAnsi="Arial"/>
                <w:sz w:val="14"/>
                <w:szCs w:val="14"/>
                <w:color w:val="auto"/>
              </w:rPr>
              <w:t>21,345</w:t>
            </w:r>
          </w:p>
        </w:tc>
      </w:tr>
      <w:tr>
        <w:trPr>
          <w:trHeight w:val="20"/>
        </w:trPr>
        <w:tc>
          <w:tcPr>
            <w:tcW w:w="4360" w:type="dxa"/>
            <w:vAlign w:val="bottom"/>
            <w:shd w:val="clear" w:color="auto" w:fill="112B19"/>
          </w:tcPr>
          <w:p>
            <w:pPr>
              <w:spacing w:after="0" w:line="20" w:lineRule="exact"/>
              <w:rPr>
                <w:sz w:val="1"/>
                <w:szCs w:val="1"/>
                <w:color w:val="auto"/>
              </w:rPr>
            </w:pPr>
          </w:p>
        </w:tc>
        <w:tc>
          <w:tcPr>
            <w:tcW w:w="5040" w:type="dxa"/>
            <w:vAlign w:val="bottom"/>
            <w:shd w:val="clear" w:color="auto" w:fill="112B19"/>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480" w:hanging="474"/>
        <w:spacing w:after="0"/>
        <w:tabs>
          <w:tab w:leader="none" w:pos="480" w:val="left"/>
        </w:tabs>
        <w:numPr>
          <w:ilvl w:val="0"/>
          <w:numId w:val="31"/>
        </w:numPr>
        <w:rPr>
          <w:rFonts w:ascii="Arial" w:cs="Arial" w:eastAsia="Arial" w:hAnsi="Arial"/>
          <w:sz w:val="14"/>
          <w:szCs w:val="14"/>
          <w:b w:val="1"/>
          <w:bCs w:val="1"/>
          <w:color w:val="050A35"/>
        </w:rPr>
      </w:pPr>
      <w:r>
        <w:rPr>
          <w:rFonts w:ascii="Arial" w:cs="Arial" w:eastAsia="Arial" w:hAnsi="Arial"/>
          <w:sz w:val="14"/>
          <w:szCs w:val="14"/>
          <w:color w:val="050A35"/>
        </w:rPr>
        <w:t>RIDGEPOST CAPITAL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473710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775" w:right="1259" w:bottom="1440" w:gutter="0" w:footer="0" w:header="0"/>
        </w:sectPr>
      </w:pPr>
    </w:p>
    <w:bookmarkStart w:id="18" w:name="page19"/>
    <w:bookmarkEnd w:id="18"/>
    <w:p>
      <w:pPr>
        <w:jc w:val="right"/>
        <w:ind w:right="660"/>
        <w:spacing w:after="0"/>
        <w:rPr>
          <w:sz w:val="20"/>
          <w:szCs w:val="20"/>
          <w:color w:val="auto"/>
        </w:rPr>
      </w:pPr>
      <w:r>
        <w:rPr>
          <w:rFonts w:ascii="Arial" w:cs="Arial" w:eastAsia="Arial" w:hAnsi="Arial"/>
          <w:sz w:val="13"/>
          <w:szCs w:val="13"/>
          <w:color w:val="050A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050A35"/>
        </w:rPr>
        <w:t>Executive Compensation</w:t>
      </w:r>
    </w:p>
    <w:p>
      <w:pPr>
        <w:spacing w:after="0" w:line="339" w:lineRule="exact"/>
        <w:rPr>
          <w:sz w:val="20"/>
          <w:szCs w:val="20"/>
          <w:color w:val="auto"/>
        </w:rPr>
      </w:pPr>
    </w:p>
    <w:p>
      <w:pPr>
        <w:ind w:left="660"/>
        <w:spacing w:after="0"/>
        <w:rPr>
          <w:sz w:val="20"/>
          <w:szCs w:val="20"/>
          <w:color w:val="auto"/>
        </w:rPr>
      </w:pPr>
      <w:r>
        <w:rPr>
          <w:rFonts w:ascii="Arial" w:cs="Arial" w:eastAsia="Arial" w:hAnsi="Arial"/>
          <w:sz w:val="22"/>
          <w:szCs w:val="22"/>
          <w:color w:val="112B19"/>
        </w:rPr>
        <w:t>Compensation Discussion and Analysis</w:t>
      </w:r>
    </w:p>
    <w:p>
      <w:pPr>
        <w:spacing w:after="0" w:line="131" w:lineRule="exact"/>
        <w:rPr>
          <w:sz w:val="20"/>
          <w:szCs w:val="20"/>
          <w:color w:val="auto"/>
        </w:rPr>
      </w:pPr>
    </w:p>
    <w:p>
      <w:pPr>
        <w:ind w:left="660" w:right="660"/>
        <w:spacing w:after="0" w:line="264" w:lineRule="auto"/>
        <w:rPr>
          <w:sz w:val="20"/>
          <w:szCs w:val="20"/>
          <w:color w:val="auto"/>
        </w:rPr>
      </w:pPr>
      <w:r>
        <w:rPr>
          <w:rFonts w:ascii="Arial" w:cs="Arial" w:eastAsia="Arial" w:hAnsi="Arial"/>
          <w:sz w:val="15"/>
          <w:szCs w:val="15"/>
          <w:color w:val="050A35"/>
        </w:rPr>
        <w:t>Our executive officers whose compensation is discussed in this compensation discussion and analysis (this "CD&amp;A") and to whom we refer to as our named executive officers in this CD&amp;A ("NEOs") are:</w:t>
      </w:r>
    </w:p>
    <w:p>
      <w:pPr>
        <w:sectPr>
          <w:pgSz w:w="11900" w:h="16838" w:orient="portrait"/>
          <w:cols w:equalWidth="0" w:num="1">
            <w:col w:w="10720"/>
          </w:cols>
          <w:pgMar w:left="580" w:top="775" w:right="599" w:bottom="1440" w:gutter="0" w:footer="0" w:header="0"/>
        </w:sectPr>
      </w:pPr>
    </w:p>
    <w:p>
      <w:pPr>
        <w:spacing w:after="0" w:line="118"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050A35"/>
        </w:rPr>
        <w:t>Named Executive Officer</w:t>
      </w:r>
    </w:p>
    <w:p>
      <w:pPr>
        <w:ind w:left="2040"/>
        <w:spacing w:after="0" w:line="233" w:lineRule="auto"/>
        <w:rPr>
          <w:sz w:val="20"/>
          <w:szCs w:val="20"/>
          <w:color w:val="auto"/>
        </w:rPr>
      </w:pPr>
      <w:r>
        <w:rPr>
          <w:rFonts w:ascii="Arial" w:cs="Arial" w:eastAsia="Arial" w:hAnsi="Arial"/>
          <w:sz w:val="15"/>
          <w:szCs w:val="15"/>
          <w:color w:val="050A35"/>
        </w:rPr>
        <w:t>Luke Sarsfield</w:t>
      </w:r>
    </w:p>
    <w:p>
      <w:pPr>
        <w:ind w:left="2040"/>
        <w:spacing w:after="0" w:line="225" w:lineRule="auto"/>
        <w:rPr>
          <w:sz w:val="20"/>
          <w:szCs w:val="20"/>
          <w:color w:val="auto"/>
        </w:rPr>
      </w:pPr>
      <w:r>
        <w:rPr>
          <w:rFonts w:ascii="Arial" w:cs="Arial" w:eastAsia="Arial" w:hAnsi="Arial"/>
          <w:sz w:val="15"/>
          <w:szCs w:val="15"/>
          <w:color w:val="050A35"/>
        </w:rPr>
        <w:t>Amanda Coussens</w:t>
      </w:r>
    </w:p>
    <w:p>
      <w:pPr>
        <w:ind w:left="2040"/>
        <w:spacing w:after="0" w:line="225" w:lineRule="auto"/>
        <w:rPr>
          <w:sz w:val="20"/>
          <w:szCs w:val="20"/>
          <w:color w:val="auto"/>
        </w:rPr>
      </w:pPr>
      <w:r>
        <w:rPr>
          <w:rFonts w:ascii="Arial" w:cs="Arial" w:eastAsia="Arial" w:hAnsi="Arial"/>
          <w:sz w:val="15"/>
          <w:szCs w:val="15"/>
          <w:color w:val="050A35"/>
        </w:rPr>
        <w:t>Mark Hood</w:t>
      </w:r>
    </w:p>
    <w:p>
      <w:pPr>
        <w:ind w:left="2040"/>
        <w:spacing w:after="0" w:line="226" w:lineRule="auto"/>
        <w:rPr>
          <w:sz w:val="20"/>
          <w:szCs w:val="20"/>
          <w:color w:val="auto"/>
        </w:rPr>
      </w:pPr>
      <w:r>
        <w:rPr>
          <w:rFonts w:ascii="Arial" w:cs="Arial" w:eastAsia="Arial" w:hAnsi="Arial"/>
          <w:sz w:val="15"/>
          <w:szCs w:val="15"/>
          <w:color w:val="050A35"/>
        </w:rPr>
        <w:t>Sarita Jairath</w:t>
      </w:r>
    </w:p>
    <w:p>
      <w:pPr>
        <w:ind w:left="2040"/>
        <w:spacing w:after="0"/>
        <w:rPr>
          <w:sz w:val="20"/>
          <w:szCs w:val="20"/>
          <w:color w:val="auto"/>
        </w:rPr>
      </w:pPr>
      <w:r>
        <w:rPr>
          <w:rFonts w:ascii="Arial" w:cs="Arial" w:eastAsia="Arial" w:hAnsi="Arial"/>
          <w:sz w:val="15"/>
          <w:szCs w:val="15"/>
          <w:color w:val="050A35"/>
        </w:rPr>
        <w:t>Richard J. (Arjay) Jensen</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050A35"/>
        </w:rPr>
        <w:t>Position</w:t>
      </w:r>
    </w:p>
    <w:p>
      <w:pPr>
        <w:spacing w:after="0" w:line="233" w:lineRule="auto"/>
        <w:rPr>
          <w:sz w:val="20"/>
          <w:szCs w:val="20"/>
          <w:color w:val="auto"/>
        </w:rPr>
      </w:pPr>
      <w:r>
        <w:rPr>
          <w:rFonts w:ascii="Arial" w:cs="Arial" w:eastAsia="Arial" w:hAnsi="Arial"/>
          <w:sz w:val="15"/>
          <w:szCs w:val="15"/>
          <w:color w:val="050A35"/>
        </w:rPr>
        <w:t>Chief Executive Officer and Chairman of the Board</w:t>
      </w:r>
    </w:p>
    <w:p>
      <w:pPr>
        <w:spacing w:after="0" w:line="225" w:lineRule="auto"/>
        <w:rPr>
          <w:sz w:val="20"/>
          <w:szCs w:val="20"/>
          <w:color w:val="auto"/>
        </w:rPr>
      </w:pPr>
      <w:r>
        <w:rPr>
          <w:rFonts w:ascii="Arial" w:cs="Arial" w:eastAsia="Arial" w:hAnsi="Arial"/>
          <w:sz w:val="15"/>
          <w:szCs w:val="15"/>
          <w:color w:val="050A35"/>
        </w:rPr>
        <w:t>Executive Vice President and Chief Financial Officer</w:t>
      </w:r>
    </w:p>
    <w:p>
      <w:pPr>
        <w:spacing w:after="0" w:line="225" w:lineRule="auto"/>
        <w:rPr>
          <w:sz w:val="20"/>
          <w:szCs w:val="20"/>
          <w:color w:val="auto"/>
        </w:rPr>
      </w:pPr>
      <w:r>
        <w:rPr>
          <w:rFonts w:ascii="Arial" w:cs="Arial" w:eastAsia="Arial" w:hAnsi="Arial"/>
          <w:sz w:val="15"/>
          <w:szCs w:val="15"/>
          <w:color w:val="050A35"/>
        </w:rPr>
        <w:t>Executive Vice President and Chief Administrative Officer*</w:t>
      </w:r>
    </w:p>
    <w:p>
      <w:pPr>
        <w:spacing w:after="0" w:line="226" w:lineRule="auto"/>
        <w:rPr>
          <w:sz w:val="20"/>
          <w:szCs w:val="20"/>
          <w:color w:val="auto"/>
        </w:rPr>
      </w:pPr>
      <w:r>
        <w:rPr>
          <w:rFonts w:ascii="Arial" w:cs="Arial" w:eastAsia="Arial" w:hAnsi="Arial"/>
          <w:sz w:val="15"/>
          <w:szCs w:val="15"/>
          <w:color w:val="050A35"/>
        </w:rPr>
        <w:t>Executive Vice President and Global Head of Client Solutions</w:t>
      </w:r>
    </w:p>
    <w:p>
      <w:pPr>
        <w:spacing w:after="0"/>
        <w:rPr>
          <w:sz w:val="20"/>
          <w:szCs w:val="20"/>
          <w:color w:val="auto"/>
        </w:rPr>
      </w:pPr>
      <w:r>
        <w:rPr>
          <w:rFonts w:ascii="Arial" w:cs="Arial" w:eastAsia="Arial" w:hAnsi="Arial"/>
          <w:sz w:val="15"/>
          <w:szCs w:val="15"/>
          <w:color w:val="050A35"/>
        </w:rPr>
        <w:t>Executive Vice President and Head of M&amp;A and Strategy</w:t>
      </w:r>
    </w:p>
    <w:p>
      <w:pPr>
        <w:spacing w:after="0" w:line="200" w:lineRule="exact"/>
        <w:rPr>
          <w:sz w:val="20"/>
          <w:szCs w:val="20"/>
          <w:color w:val="auto"/>
        </w:rPr>
      </w:pPr>
    </w:p>
    <w:p>
      <w:pPr>
        <w:sectPr>
          <w:pgSz w:w="11900" w:h="16838" w:orient="portrait"/>
          <w:cols w:equalWidth="0" w:num="2">
            <w:col w:w="3840" w:space="220"/>
            <w:col w:w="6660"/>
          </w:cols>
          <w:pgMar w:left="580" w:top="775" w:right="599" w:bottom="1440" w:gutter="0" w:footer="0" w:header="0"/>
          <w:type w:val="continuous"/>
        </w:sectPr>
      </w:pPr>
    </w:p>
    <w:p>
      <w:pPr>
        <w:spacing w:after="0" w:line="46" w:lineRule="exact"/>
        <w:rPr>
          <w:sz w:val="20"/>
          <w:szCs w:val="20"/>
          <w:color w:val="auto"/>
        </w:rPr>
      </w:pPr>
    </w:p>
    <w:p>
      <w:pPr>
        <w:ind w:left="660" w:right="1400" w:firstLine="6"/>
        <w:spacing w:after="0" w:line="264" w:lineRule="auto"/>
        <w:tabs>
          <w:tab w:leader="none" w:pos="762" w:val="left"/>
        </w:tabs>
        <w:numPr>
          <w:ilvl w:val="0"/>
          <w:numId w:val="32"/>
        </w:numPr>
        <w:rPr>
          <w:rFonts w:ascii="Arial" w:cs="Arial" w:eastAsia="Arial" w:hAnsi="Arial"/>
          <w:sz w:val="15"/>
          <w:szCs w:val="15"/>
          <w:color w:val="050A35"/>
        </w:rPr>
      </w:pPr>
      <w:r>
        <w:rPr>
          <w:rFonts w:ascii="Arial" w:cs="Arial" w:eastAsia="Arial" w:hAnsi="Arial"/>
          <w:sz w:val="15"/>
          <w:szCs w:val="15"/>
          <w:color w:val="050A35"/>
        </w:rPr>
        <w:t>In March 2026, Mr. Hood notified the Company that he would be retiring as the Company's Executive Vice President and Chief Administrative Officer effective as of May 31, 2026.</w:t>
      </w:r>
    </w:p>
    <w:p>
      <w:pPr>
        <w:spacing w:after="0" w:line="161" w:lineRule="exact"/>
        <w:rPr>
          <w:sz w:val="20"/>
          <w:szCs w:val="20"/>
          <w:color w:val="auto"/>
        </w:rPr>
      </w:pPr>
    </w:p>
    <w:p>
      <w:pPr>
        <w:jc w:val="both"/>
        <w:ind w:left="660" w:right="1080"/>
        <w:spacing w:after="0" w:line="244" w:lineRule="auto"/>
        <w:rPr>
          <w:sz w:val="20"/>
          <w:szCs w:val="20"/>
          <w:color w:val="auto"/>
        </w:rPr>
      </w:pPr>
      <w:r>
        <w:rPr>
          <w:rFonts w:ascii="Arial" w:cs="Arial" w:eastAsia="Arial" w:hAnsi="Arial"/>
          <w:sz w:val="15"/>
          <w:szCs w:val="15"/>
          <w:color w:val="050A35"/>
        </w:rPr>
        <w:t>While the principal purpose of this CD&amp;A is to review the compensation of our NEOs, many of the programs discussed apply to other members of senior management. This CD&amp;A should be read together with the compensation tables and related disclosures set forth below.</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Philosophy and Objectives</w:t>
      </w:r>
    </w:p>
    <w:p>
      <w:pPr>
        <w:spacing w:after="0" w:line="106" w:lineRule="exact"/>
        <w:rPr>
          <w:sz w:val="20"/>
          <w:szCs w:val="20"/>
          <w:color w:val="auto"/>
        </w:rPr>
      </w:pPr>
    </w:p>
    <w:p>
      <w:pPr>
        <w:ind w:left="660" w:right="720"/>
        <w:spacing w:after="0" w:line="244" w:lineRule="auto"/>
        <w:rPr>
          <w:sz w:val="20"/>
          <w:szCs w:val="20"/>
          <w:color w:val="auto"/>
        </w:rPr>
      </w:pPr>
      <w:r>
        <w:rPr>
          <w:rFonts w:ascii="Arial" w:cs="Arial" w:eastAsia="Arial" w:hAnsi="Arial"/>
          <w:sz w:val="15"/>
          <w:szCs w:val="15"/>
          <w:color w:val="050A35"/>
        </w:rPr>
        <w:t>Our executive compensation program is designed to increase long-term stockholder value by attracting, retaining, motivating and rewarding leaders with the competence, character, experience and ambition necessary to enable Ridgepost Capital to meet its growth and profitability objectives.</w:t>
      </w:r>
    </w:p>
    <w:p>
      <w:pPr>
        <w:spacing w:after="0" w:line="68" w:lineRule="exact"/>
        <w:rPr>
          <w:sz w:val="20"/>
          <w:szCs w:val="20"/>
          <w:color w:val="auto"/>
        </w:rPr>
      </w:pPr>
    </w:p>
    <w:p>
      <w:pPr>
        <w:ind w:left="660" w:right="680"/>
        <w:spacing w:after="0" w:line="234" w:lineRule="auto"/>
        <w:rPr>
          <w:sz w:val="20"/>
          <w:szCs w:val="20"/>
          <w:color w:val="auto"/>
        </w:rPr>
      </w:pPr>
      <w:r>
        <w:rPr>
          <w:rFonts w:ascii="Arial" w:cs="Arial" w:eastAsia="Arial" w:hAnsi="Arial"/>
          <w:sz w:val="15"/>
          <w:szCs w:val="15"/>
          <w:color w:val="050A35"/>
        </w:rPr>
        <w:t>Although Ridgepost Capital is a publicly traded company, our businesses operate a broad and diverse portfolio of private asset management strategies that we believe will be best managed if we successfully attract and retain senior executives with client-focused and growth-oriented backgrounds, attitudes and aspirations. When working to recruit and retain our executive officers and other senior leaders, we compete not only with other public companies, but also with privately held asset management and advisory firms, private equity and venture capital firms, and other financial institutions. We structure our executive compensation program so that we can compete in this varied marketplace for talent, with an emphasis on variable, contingent compensation and equity-based and carried interest components.</w:t>
      </w:r>
    </w:p>
    <w:p>
      <w:pPr>
        <w:spacing w:after="0" w:line="71" w:lineRule="exact"/>
        <w:rPr>
          <w:sz w:val="20"/>
          <w:szCs w:val="20"/>
          <w:color w:val="auto"/>
        </w:rPr>
      </w:pPr>
    </w:p>
    <w:p>
      <w:pPr>
        <w:ind w:left="660" w:right="760"/>
        <w:spacing w:after="0" w:line="238" w:lineRule="auto"/>
        <w:rPr>
          <w:sz w:val="20"/>
          <w:szCs w:val="20"/>
          <w:color w:val="auto"/>
        </w:rPr>
      </w:pPr>
      <w:r>
        <w:rPr>
          <w:rFonts w:ascii="Arial" w:cs="Arial" w:eastAsia="Arial" w:hAnsi="Arial"/>
          <w:sz w:val="15"/>
          <w:szCs w:val="15"/>
          <w:color w:val="050A35"/>
        </w:rPr>
        <w:t>Our compensation program is designed to recognize and reward both Company and individual performance. A significant portion of total compensation is delivered through equity ownership and carried interest awards, creating a direct link between the compensation realized by our NEOs, shareholder value, and returns generated for our clients. The primary objectives of our executive compensation are as follows:</w:t>
      </w:r>
    </w:p>
    <w:p>
      <w:pPr>
        <w:spacing w:after="0" w:line="72" w:lineRule="exact"/>
        <w:rPr>
          <w:sz w:val="20"/>
          <w:szCs w:val="20"/>
          <w:color w:val="auto"/>
        </w:rPr>
      </w:pPr>
    </w:p>
    <w:p>
      <w:pPr>
        <w:ind w:left="920" w:right="780" w:hanging="254"/>
        <w:spacing w:after="0" w:line="263" w:lineRule="auto"/>
        <w:tabs>
          <w:tab w:leader="none" w:pos="920" w:val="left"/>
        </w:tabs>
        <w:numPr>
          <w:ilvl w:val="0"/>
          <w:numId w:val="33"/>
        </w:numPr>
        <w:rPr>
          <w:rFonts w:ascii="Times New Roman" w:cs="Times New Roman" w:eastAsia="Times New Roman" w:hAnsi="Times New Roman"/>
          <w:sz w:val="15"/>
          <w:szCs w:val="15"/>
          <w:color w:val="112B19"/>
        </w:rPr>
      </w:pPr>
      <w:r>
        <w:rPr>
          <w:rFonts w:ascii="Arial" w:cs="Arial" w:eastAsia="Arial" w:hAnsi="Arial"/>
          <w:sz w:val="15"/>
          <w:szCs w:val="15"/>
          <w:u w:val="single" w:color="auto"/>
          <w:color w:val="050A35"/>
        </w:rPr>
        <w:t>Attract and Retain Talent.</w:t>
      </w:r>
      <w:r>
        <w:rPr>
          <w:rFonts w:ascii="Arial" w:cs="Arial" w:eastAsia="Arial" w:hAnsi="Arial"/>
          <w:sz w:val="15"/>
          <w:szCs w:val="15"/>
          <w:color w:val="050A35"/>
        </w:rPr>
        <w:t xml:space="preserve"> Provide market-competitive compensation opportunities that enable us to recruit and retain high-performing executives who demonstrate a strong, performance-oriented mindset.</w:t>
      </w:r>
    </w:p>
    <w:p>
      <w:pPr>
        <w:spacing w:after="0" w:line="53" w:lineRule="exact"/>
        <w:rPr>
          <w:rFonts w:ascii="Times New Roman" w:cs="Times New Roman" w:eastAsia="Times New Roman" w:hAnsi="Times New Roman"/>
          <w:sz w:val="15"/>
          <w:szCs w:val="15"/>
          <w:color w:val="112B19"/>
        </w:rPr>
      </w:pPr>
    </w:p>
    <w:p>
      <w:pPr>
        <w:ind w:left="920" w:right="840" w:hanging="254"/>
        <w:spacing w:after="0" w:line="263" w:lineRule="auto"/>
        <w:tabs>
          <w:tab w:leader="none" w:pos="920" w:val="left"/>
        </w:tabs>
        <w:numPr>
          <w:ilvl w:val="0"/>
          <w:numId w:val="33"/>
        </w:numPr>
        <w:rPr>
          <w:rFonts w:ascii="Times New Roman" w:cs="Times New Roman" w:eastAsia="Times New Roman" w:hAnsi="Times New Roman"/>
          <w:sz w:val="15"/>
          <w:szCs w:val="15"/>
          <w:color w:val="112B19"/>
        </w:rPr>
      </w:pPr>
      <w:r>
        <w:rPr>
          <w:rFonts w:ascii="Arial" w:cs="Arial" w:eastAsia="Arial" w:hAnsi="Arial"/>
          <w:sz w:val="15"/>
          <w:szCs w:val="15"/>
          <w:u w:val="single" w:color="auto"/>
          <w:color w:val="050A35"/>
        </w:rPr>
        <w:t>Emphasize Pay for Performance.</w:t>
      </w:r>
      <w:r>
        <w:rPr>
          <w:rFonts w:ascii="Arial" w:cs="Arial" w:eastAsia="Arial" w:hAnsi="Arial"/>
          <w:sz w:val="15"/>
          <w:szCs w:val="15"/>
          <w:color w:val="050A35"/>
        </w:rPr>
        <w:t xml:space="preserve"> Ensure that a significant majority of each executive’s total compensation opportunity is “at risk” and performance-based, with payouts tied to the Company’s short-term and long-term financial and strategic goals.</w:t>
      </w:r>
    </w:p>
    <w:p>
      <w:pPr>
        <w:spacing w:after="0" w:line="53" w:lineRule="exact"/>
        <w:rPr>
          <w:rFonts w:ascii="Times New Roman" w:cs="Times New Roman" w:eastAsia="Times New Roman" w:hAnsi="Times New Roman"/>
          <w:sz w:val="15"/>
          <w:szCs w:val="15"/>
          <w:color w:val="112B19"/>
        </w:rPr>
      </w:pPr>
    </w:p>
    <w:p>
      <w:pPr>
        <w:ind w:left="920" w:right="860" w:hanging="254"/>
        <w:spacing w:after="0" w:line="244" w:lineRule="auto"/>
        <w:tabs>
          <w:tab w:leader="none" w:pos="920" w:val="left"/>
        </w:tabs>
        <w:numPr>
          <w:ilvl w:val="0"/>
          <w:numId w:val="33"/>
        </w:numPr>
        <w:rPr>
          <w:rFonts w:ascii="Times New Roman" w:cs="Times New Roman" w:eastAsia="Times New Roman" w:hAnsi="Times New Roman"/>
          <w:sz w:val="15"/>
          <w:szCs w:val="15"/>
          <w:color w:val="112B19"/>
        </w:rPr>
      </w:pPr>
      <w:r>
        <w:rPr>
          <w:rFonts w:ascii="Arial" w:cs="Arial" w:eastAsia="Arial" w:hAnsi="Arial"/>
          <w:sz w:val="15"/>
          <w:szCs w:val="15"/>
          <w:u w:val="single" w:color="auto"/>
          <w:color w:val="050A35"/>
        </w:rPr>
        <w:t>Align Management and Stockholder Interests.</w:t>
      </w:r>
      <w:r>
        <w:rPr>
          <w:rFonts w:ascii="Arial" w:cs="Arial" w:eastAsia="Arial" w:hAnsi="Arial"/>
          <w:sz w:val="15"/>
          <w:szCs w:val="15"/>
          <w:color w:val="050A35"/>
        </w:rPr>
        <w:t xml:space="preserve"> Deliver a substantial portion of total compensation in equity-based and carried interest awards that vest over time, reinforce long-term value creation and closely align the interests of management with those of our stockholders and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40" w:type="dxa"/>
            <w:vAlign w:val="bottom"/>
          </w:tcPr>
          <w:p>
            <w:pPr>
              <w:ind w:left="6560"/>
              <w:spacing w:after="0"/>
              <w:rPr>
                <w:sz w:val="20"/>
                <w:szCs w:val="20"/>
                <w:color w:val="auto"/>
              </w:rPr>
            </w:pPr>
            <w:r>
              <w:rPr>
                <w:rFonts w:ascii="Arial" w:cs="Arial" w:eastAsia="Arial" w:hAnsi="Arial"/>
                <w:sz w:val="14"/>
                <w:szCs w:val="14"/>
                <w:color w:val="050A35"/>
              </w:rPr>
              <w:t>RIDGEPOST CAPITAL | 2026 Proxy Statement</w:t>
            </w:r>
          </w:p>
        </w:tc>
        <w:tc>
          <w:tcPr>
            <w:tcW w:w="980" w:type="dxa"/>
            <w:vAlign w:val="bottom"/>
          </w:tcPr>
          <w:p>
            <w:pPr>
              <w:jc w:val="right"/>
              <w:ind w:right="588"/>
              <w:spacing w:after="0"/>
              <w:rPr>
                <w:sz w:val="20"/>
                <w:szCs w:val="20"/>
                <w:color w:val="auto"/>
              </w:rPr>
            </w:pPr>
            <w:r>
              <w:rPr>
                <w:rFonts w:ascii="Arial" w:cs="Arial" w:eastAsia="Arial" w:hAnsi="Arial"/>
                <w:sz w:val="14"/>
                <w:szCs w:val="14"/>
                <w:b w:val="1"/>
                <w:bCs w:val="1"/>
                <w:color w:val="050A35"/>
              </w:rPr>
              <w:t>15</w:t>
            </w:r>
          </w:p>
        </w:tc>
      </w:tr>
      <w:tr>
        <w:trPr>
          <w:trHeight w:val="738"/>
        </w:trPr>
        <w:tc>
          <w:tcPr>
            <w:tcW w:w="97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3"/>
          <w:szCs w:val="13"/>
          <w:color w:val="050A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9664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380"/>
          </w:cols>
          <w:pgMar w:left="1240" w:top="775"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050A35"/>
        </w:rPr>
        <w:t>We maintain the following compensation practices that reflect our pay-for-performance compensation philosophy:</w:t>
      </w:r>
    </w:p>
    <w:p>
      <w:pPr>
        <w:sectPr>
          <w:pgSz w:w="11900" w:h="16838" w:orient="portrait"/>
          <w:cols w:equalWidth="0" w:num="1">
            <w:col w:w="9380"/>
          </w:cols>
          <w:pgMar w:left="1240" w:top="775" w:right="1279" w:bottom="1440" w:gutter="0" w:footer="0" w:header="0"/>
          <w:type w:val="continuous"/>
        </w:sectPr>
      </w:pPr>
    </w:p>
    <w:p>
      <w:pPr>
        <w:spacing w:after="0" w:line="163" w:lineRule="exact"/>
        <w:rPr>
          <w:sz w:val="20"/>
          <w:szCs w:val="20"/>
          <w:color w:val="auto"/>
        </w:rPr>
      </w:pPr>
    </w:p>
    <w:p>
      <w:pPr>
        <w:jc w:val="center"/>
        <w:ind w:left="80"/>
        <w:spacing w:after="0"/>
        <w:rPr>
          <w:sz w:val="20"/>
          <w:szCs w:val="20"/>
          <w:color w:val="auto"/>
        </w:rPr>
      </w:pPr>
      <w:r>
        <w:rPr>
          <w:rFonts w:ascii="Arial" w:cs="Arial" w:eastAsia="Arial" w:hAnsi="Arial"/>
          <w:sz w:val="15"/>
          <w:szCs w:val="15"/>
          <w:b w:val="1"/>
          <w:bCs w:val="1"/>
          <w:color w:val="050A35"/>
        </w:rPr>
        <w:t>What We Do</w:t>
      </w:r>
    </w:p>
    <w:p>
      <w:pPr>
        <w:spacing w:after="0" w:line="100" w:lineRule="exact"/>
        <w:rPr>
          <w:sz w:val="20"/>
          <w:szCs w:val="20"/>
          <w:color w:val="auto"/>
        </w:rPr>
      </w:pPr>
    </w:p>
    <w:p>
      <w:pPr>
        <w:ind w:right="100" w:firstLine="6"/>
        <w:spacing w:after="0" w:line="283" w:lineRule="auto"/>
        <w:tabs>
          <w:tab w:leader="none" w:pos="161" w:val="left"/>
        </w:tabs>
        <w:numPr>
          <w:ilvl w:val="0"/>
          <w:numId w:val="34"/>
        </w:numPr>
        <w:rPr>
          <w:rFonts w:ascii="MS PGothic" w:cs="MS PGothic" w:eastAsia="MS PGothic" w:hAnsi="MS PGothic"/>
          <w:sz w:val="14"/>
          <w:szCs w:val="14"/>
          <w:color w:val="auto"/>
        </w:rPr>
      </w:pPr>
      <w:r>
        <w:rPr>
          <w:rFonts w:ascii="Arial" w:cs="Arial" w:eastAsia="Arial" w:hAnsi="Arial"/>
          <w:sz w:val="15"/>
          <w:szCs w:val="15"/>
          <w:color w:val="050A35"/>
        </w:rPr>
        <w:t>Pay for performance - structure a substantial portion of pay to be “at risk” and based on Company and individual performance</w:t>
      </w:r>
    </w:p>
    <w:p>
      <w:pPr>
        <w:spacing w:after="0" w:line="38" w:lineRule="exact"/>
        <w:rPr>
          <w:rFonts w:ascii="MS PGothic" w:cs="MS PGothic" w:eastAsia="MS PGothic" w:hAnsi="MS PGothic"/>
          <w:sz w:val="14"/>
          <w:szCs w:val="14"/>
          <w:color w:val="auto"/>
        </w:rPr>
      </w:pPr>
    </w:p>
    <w:p>
      <w:pPr>
        <w:ind w:left="160" w:hanging="154"/>
        <w:spacing w:after="0"/>
        <w:tabs>
          <w:tab w:leader="none" w:pos="160" w:val="left"/>
        </w:tabs>
        <w:numPr>
          <w:ilvl w:val="0"/>
          <w:numId w:val="34"/>
        </w:numPr>
        <w:rPr>
          <w:rFonts w:ascii="MS PGothic" w:cs="MS PGothic" w:eastAsia="MS PGothic" w:hAnsi="MS PGothic"/>
          <w:sz w:val="14"/>
          <w:szCs w:val="14"/>
          <w:color w:val="auto"/>
        </w:rPr>
      </w:pPr>
      <w:r>
        <w:rPr>
          <w:rFonts w:ascii="Arial" w:cs="Arial" w:eastAsia="Arial" w:hAnsi="Arial"/>
          <w:sz w:val="15"/>
          <w:szCs w:val="15"/>
          <w:color w:val="050A35"/>
        </w:rPr>
        <w:t>Annually assess risk within the executive compensation program</w:t>
      </w:r>
    </w:p>
    <w:p>
      <w:pPr>
        <w:spacing w:after="0" w:line="111" w:lineRule="exact"/>
        <w:rPr>
          <w:rFonts w:ascii="MS PGothic" w:cs="MS PGothic" w:eastAsia="MS PGothic" w:hAnsi="MS PGothic"/>
          <w:sz w:val="14"/>
          <w:szCs w:val="14"/>
          <w:color w:val="auto"/>
        </w:rPr>
      </w:pPr>
    </w:p>
    <w:p>
      <w:pPr>
        <w:ind w:right="160" w:firstLine="6"/>
        <w:spacing w:after="0" w:line="283" w:lineRule="auto"/>
        <w:tabs>
          <w:tab w:leader="none" w:pos="161" w:val="left"/>
        </w:tabs>
        <w:numPr>
          <w:ilvl w:val="0"/>
          <w:numId w:val="34"/>
        </w:numPr>
        <w:rPr>
          <w:rFonts w:ascii="MS PGothic" w:cs="MS PGothic" w:eastAsia="MS PGothic" w:hAnsi="MS PGothic"/>
          <w:sz w:val="14"/>
          <w:szCs w:val="14"/>
          <w:color w:val="auto"/>
        </w:rPr>
      </w:pPr>
      <w:r>
        <w:rPr>
          <w:rFonts w:ascii="Arial" w:cs="Arial" w:eastAsia="Arial" w:hAnsi="Arial"/>
          <w:sz w:val="15"/>
          <w:szCs w:val="15"/>
          <w:color w:val="050A35"/>
        </w:rPr>
        <w:t>Ensure the independence of the members of the Compensation Committee (for purposes of this CD&amp;A, the “Committee”)</w:t>
      </w:r>
    </w:p>
    <w:p>
      <w:pPr>
        <w:spacing w:after="0" w:line="38" w:lineRule="exact"/>
        <w:rPr>
          <w:rFonts w:ascii="MS PGothic" w:cs="MS PGothic" w:eastAsia="MS PGothic" w:hAnsi="MS PGothic"/>
          <w:sz w:val="14"/>
          <w:szCs w:val="14"/>
          <w:color w:val="auto"/>
        </w:rPr>
      </w:pPr>
    </w:p>
    <w:p>
      <w:pPr>
        <w:ind w:firstLine="6"/>
        <w:spacing w:after="0" w:line="283" w:lineRule="auto"/>
        <w:tabs>
          <w:tab w:leader="none" w:pos="164" w:val="left"/>
        </w:tabs>
        <w:numPr>
          <w:ilvl w:val="0"/>
          <w:numId w:val="34"/>
        </w:numPr>
        <w:rPr>
          <w:rFonts w:ascii="MS PGothic" w:cs="MS PGothic" w:eastAsia="MS PGothic" w:hAnsi="MS PGothic"/>
          <w:sz w:val="14"/>
          <w:szCs w:val="14"/>
          <w:color w:val="auto"/>
        </w:rPr>
      </w:pPr>
      <w:r>
        <w:rPr>
          <w:rFonts w:ascii="Arial" w:cs="Arial" w:eastAsia="Arial" w:hAnsi="Arial"/>
          <w:sz w:val="15"/>
          <w:szCs w:val="15"/>
          <w:color w:val="050A35"/>
        </w:rPr>
        <w:t>Prohibit hedging, pledging and other speculative transactions with respect to our securities</w:t>
      </w:r>
    </w:p>
    <w:p>
      <w:pPr>
        <w:spacing w:after="0" w:line="38" w:lineRule="exact"/>
        <w:rPr>
          <w:rFonts w:ascii="MS PGothic" w:cs="MS PGothic" w:eastAsia="MS PGothic" w:hAnsi="MS PGothic"/>
          <w:sz w:val="14"/>
          <w:szCs w:val="14"/>
          <w:color w:val="auto"/>
        </w:rPr>
      </w:pPr>
    </w:p>
    <w:p>
      <w:pPr>
        <w:ind w:right="180" w:firstLine="6"/>
        <w:spacing w:after="0" w:line="244" w:lineRule="auto"/>
        <w:tabs>
          <w:tab w:leader="none" w:pos="161" w:val="left"/>
        </w:tabs>
        <w:numPr>
          <w:ilvl w:val="0"/>
          <w:numId w:val="34"/>
        </w:numPr>
        <w:rPr>
          <w:rFonts w:ascii="MS PGothic" w:cs="MS PGothic" w:eastAsia="MS PGothic" w:hAnsi="MS PGothic"/>
          <w:sz w:val="14"/>
          <w:szCs w:val="14"/>
          <w:color w:val="auto"/>
        </w:rPr>
      </w:pPr>
      <w:r>
        <w:rPr>
          <w:rFonts w:ascii="Arial" w:cs="Arial" w:eastAsia="Arial" w:hAnsi="Arial"/>
          <w:sz w:val="15"/>
          <w:szCs w:val="15"/>
          <w:color w:val="050A35"/>
        </w:rPr>
        <w:t>Maintain a clawback policy regarding recovery of erroneously awarded compensation in the event of an accounting restatement and can require forfeiture of equity and carried interest awards in certain other circumstances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050A35"/>
        </w:rPr>
        <w:t>What We Don't Do</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050A35"/>
        </w:rPr>
        <w:t>x No guaranteed base salary increases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050A35"/>
        </w:rPr>
        <w:t>x No tax gross ups for NEOs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050A35"/>
        </w:rPr>
        <w:t>x No excessive perquisites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050A35"/>
        </w:rPr>
        <w:t>x No repricing of underwater options without stockholder approval</w:t>
      </w:r>
    </w:p>
    <w:p>
      <w:pPr>
        <w:spacing w:after="0" w:line="1282" w:lineRule="exact"/>
        <w:rPr>
          <w:sz w:val="20"/>
          <w:szCs w:val="20"/>
          <w:color w:val="auto"/>
        </w:rPr>
      </w:pPr>
    </w:p>
    <w:p>
      <w:pPr>
        <w:sectPr>
          <w:pgSz w:w="11900" w:h="16838" w:orient="portrait"/>
          <w:cols w:equalWidth="0" w:num="2">
            <w:col w:w="4620" w:space="80"/>
            <w:col w:w="4680"/>
          </w:cols>
          <w:pgMar w:left="1240" w:top="775" w:right="127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Compensation-Setting Process</w:t>
      </w:r>
    </w:p>
    <w:p>
      <w:pPr>
        <w:spacing w:after="0" w:line="106" w:lineRule="exact"/>
        <w:rPr>
          <w:sz w:val="20"/>
          <w:szCs w:val="20"/>
          <w:color w:val="auto"/>
        </w:rPr>
      </w:pPr>
    </w:p>
    <w:p>
      <w:pPr>
        <w:spacing w:after="0" w:line="234" w:lineRule="auto"/>
        <w:rPr>
          <w:sz w:val="20"/>
          <w:szCs w:val="20"/>
          <w:color w:val="auto"/>
        </w:rPr>
      </w:pPr>
      <w:r>
        <w:rPr>
          <w:rFonts w:ascii="Arial" w:cs="Arial" w:eastAsia="Arial" w:hAnsi="Arial"/>
          <w:sz w:val="15"/>
          <w:szCs w:val="15"/>
          <w:color w:val="050A35"/>
        </w:rPr>
        <w:t>When establishing initial compensation packages upon an executive’s hire or promotion, we follow a flexible approach and make decisions based on a variety of factors particular to a given executive’s situation, including our firsthand experience with the competition for recruiting and retaining executives, negotiation and discussion with the individual executive, comparative market data, internal equity considerations, the location of the executive, compensation levels available to the individual in alternative opportunities, and other factors we deem relevant at the time. Each individual component of a given NEO’s compensation is evaluated independently and in relation to the package as a whole. Prior earning histories and outstanding long-term compensation holdings are also considered.</w:t>
      </w:r>
    </w:p>
    <w:p>
      <w:pPr>
        <w:spacing w:after="0" w:line="71" w:lineRule="exact"/>
        <w:rPr>
          <w:sz w:val="20"/>
          <w:szCs w:val="20"/>
          <w:color w:val="auto"/>
        </w:rPr>
      </w:pPr>
    </w:p>
    <w:p>
      <w:pPr>
        <w:ind w:right="40"/>
        <w:spacing w:after="0" w:line="234" w:lineRule="auto"/>
        <w:rPr>
          <w:sz w:val="20"/>
          <w:szCs w:val="20"/>
          <w:color w:val="auto"/>
        </w:rPr>
      </w:pPr>
      <w:r>
        <w:rPr>
          <w:rFonts w:ascii="Arial" w:cs="Arial" w:eastAsia="Arial" w:hAnsi="Arial"/>
          <w:sz w:val="15"/>
          <w:szCs w:val="15"/>
          <w:color w:val="050A35"/>
        </w:rPr>
        <w:t>We do not follow a strictly arithmetic approach to establishing compensation levels and measuring and rewarding performance, as we believe these approaches often fail to adequately take into account the multiple factors that contribute to success at the individual executive and business level. In any given period, we may have multiple objectives, and these objectives, and their relative importance, often change as the competitive and strategic landscapes shift, even within a given compensation cycle. As a result, formulaic approaches often over-compensate or under-compensate a given performance level. Accordingly, we have historically avoided the use of strict formulas in our compensation practices and rely primarily on a discretionary approach.</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050A35"/>
        </w:rPr>
        <w:t>In its annual review of each NEO’s pay package, prior to making specific decisions related to any particular element of compensation, the</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050A35"/>
        </w:rPr>
        <w:t>Committee typically considers the following factors:</w:t>
      </w:r>
    </w:p>
    <w:p>
      <w:pPr>
        <w:spacing w:after="0" w:line="84" w:lineRule="exact"/>
        <w:rPr>
          <w:sz w:val="20"/>
          <w:szCs w:val="20"/>
          <w:color w:val="auto"/>
        </w:rPr>
      </w:pPr>
    </w:p>
    <w:p>
      <w:pPr>
        <w:ind w:left="180" w:hanging="174"/>
        <w:spacing w:after="0"/>
        <w:tabs>
          <w:tab w:leader="none" w:pos="180" w:val="left"/>
        </w:tabs>
        <w:numPr>
          <w:ilvl w:val="0"/>
          <w:numId w:val="35"/>
        </w:numPr>
        <w:rPr>
          <w:rFonts w:ascii="Times New Roman" w:cs="Times New Roman" w:eastAsia="Times New Roman" w:hAnsi="Times New Roman"/>
          <w:sz w:val="15"/>
          <w:szCs w:val="15"/>
          <w:color w:val="050A35"/>
        </w:rPr>
      </w:pPr>
      <w:r>
        <w:rPr>
          <w:rFonts w:ascii="Arial" w:cs="Arial" w:eastAsia="Arial" w:hAnsi="Arial"/>
          <w:sz w:val="15"/>
          <w:szCs w:val="15"/>
          <w:color w:val="050A35"/>
        </w:rPr>
        <w:t>historical compensation levels for each of our NEOs, evaluating the NEO's total near-term and long-term compensation in aggregate;</w:t>
      </w:r>
    </w:p>
    <w:p>
      <w:pPr>
        <w:spacing w:after="0" w:line="96" w:lineRule="exact"/>
        <w:rPr>
          <w:rFonts w:ascii="Times New Roman" w:cs="Times New Roman" w:eastAsia="Times New Roman" w:hAnsi="Times New Roman"/>
          <w:sz w:val="15"/>
          <w:szCs w:val="15"/>
          <w:color w:val="050A35"/>
        </w:rPr>
      </w:pPr>
    </w:p>
    <w:p>
      <w:pPr>
        <w:ind w:left="180" w:hanging="174"/>
        <w:spacing w:after="0"/>
        <w:tabs>
          <w:tab w:leader="none" w:pos="180" w:val="left"/>
        </w:tabs>
        <w:numPr>
          <w:ilvl w:val="0"/>
          <w:numId w:val="35"/>
        </w:numPr>
        <w:rPr>
          <w:rFonts w:ascii="Times New Roman" w:cs="Times New Roman" w:eastAsia="Times New Roman" w:hAnsi="Times New Roman"/>
          <w:sz w:val="15"/>
          <w:szCs w:val="15"/>
          <w:color w:val="050A35"/>
        </w:rPr>
      </w:pPr>
      <w:r>
        <w:rPr>
          <w:rFonts w:ascii="Arial" w:cs="Arial" w:eastAsia="Arial" w:hAnsi="Arial"/>
          <w:sz w:val="15"/>
          <w:szCs w:val="15"/>
          <w:color w:val="050A35"/>
        </w:rPr>
        <w:t>our historical and projected future performance against Company business plans and financial and operational objectives;</w:t>
      </w:r>
    </w:p>
    <w:p>
      <w:pPr>
        <w:spacing w:after="0" w:line="96" w:lineRule="exact"/>
        <w:rPr>
          <w:rFonts w:ascii="Times New Roman" w:cs="Times New Roman" w:eastAsia="Times New Roman" w:hAnsi="Times New Roman"/>
          <w:sz w:val="15"/>
          <w:szCs w:val="15"/>
          <w:color w:val="050A35"/>
        </w:rPr>
      </w:pPr>
    </w:p>
    <w:p>
      <w:pPr>
        <w:ind w:left="180" w:right="340" w:hanging="174"/>
        <w:spacing w:after="0" w:line="263" w:lineRule="auto"/>
        <w:tabs>
          <w:tab w:leader="none" w:pos="180" w:val="left"/>
        </w:tabs>
        <w:numPr>
          <w:ilvl w:val="0"/>
          <w:numId w:val="35"/>
        </w:numPr>
        <w:rPr>
          <w:rFonts w:ascii="Times New Roman" w:cs="Times New Roman" w:eastAsia="Times New Roman" w:hAnsi="Times New Roman"/>
          <w:sz w:val="15"/>
          <w:szCs w:val="15"/>
          <w:color w:val="050A35"/>
        </w:rPr>
      </w:pPr>
      <w:r>
        <w:rPr>
          <w:rFonts w:ascii="Arial" w:cs="Arial" w:eastAsia="Arial" w:hAnsi="Arial"/>
          <w:sz w:val="15"/>
          <w:szCs w:val="15"/>
          <w:color w:val="050A35"/>
        </w:rPr>
        <w:t>each individual NEO's performance against the expectations of the Committee, our Board and our Chief Executive Officer (for other NEOs);</w:t>
      </w:r>
    </w:p>
    <w:p>
      <w:pPr>
        <w:spacing w:after="0" w:line="53" w:lineRule="exact"/>
        <w:rPr>
          <w:rFonts w:ascii="Times New Roman" w:cs="Times New Roman" w:eastAsia="Times New Roman" w:hAnsi="Times New Roman"/>
          <w:sz w:val="15"/>
          <w:szCs w:val="15"/>
          <w:color w:val="050A35"/>
        </w:rPr>
      </w:pPr>
    </w:p>
    <w:p>
      <w:pPr>
        <w:ind w:left="180" w:hanging="174"/>
        <w:spacing w:after="0"/>
        <w:tabs>
          <w:tab w:leader="none" w:pos="180" w:val="left"/>
        </w:tabs>
        <w:numPr>
          <w:ilvl w:val="0"/>
          <w:numId w:val="35"/>
        </w:numPr>
        <w:rPr>
          <w:rFonts w:ascii="Times New Roman" w:cs="Times New Roman" w:eastAsia="Times New Roman" w:hAnsi="Times New Roman"/>
          <w:sz w:val="15"/>
          <w:szCs w:val="15"/>
          <w:color w:val="050A35"/>
        </w:rPr>
      </w:pPr>
      <w:r>
        <w:rPr>
          <w:rFonts w:ascii="Arial" w:cs="Arial" w:eastAsia="Arial" w:hAnsi="Arial"/>
          <w:sz w:val="15"/>
          <w:szCs w:val="15"/>
          <w:color w:val="050A35"/>
        </w:rPr>
        <w:t>the compensation practices among our competitors and broad-based compensation surveys;</w:t>
      </w:r>
    </w:p>
    <w:p>
      <w:pPr>
        <w:spacing w:after="0" w:line="96" w:lineRule="exact"/>
        <w:rPr>
          <w:rFonts w:ascii="Times New Roman" w:cs="Times New Roman" w:eastAsia="Times New Roman" w:hAnsi="Times New Roman"/>
          <w:sz w:val="15"/>
          <w:szCs w:val="15"/>
          <w:color w:val="050A35"/>
        </w:rPr>
      </w:pPr>
    </w:p>
    <w:p>
      <w:pPr>
        <w:ind w:left="180" w:hanging="174"/>
        <w:spacing w:after="0"/>
        <w:tabs>
          <w:tab w:leader="none" w:pos="180" w:val="left"/>
        </w:tabs>
        <w:numPr>
          <w:ilvl w:val="0"/>
          <w:numId w:val="35"/>
        </w:numPr>
        <w:rPr>
          <w:rFonts w:ascii="Times New Roman" w:cs="Times New Roman" w:eastAsia="Times New Roman" w:hAnsi="Times New Roman"/>
          <w:sz w:val="15"/>
          <w:szCs w:val="15"/>
          <w:color w:val="050A35"/>
        </w:rPr>
      </w:pPr>
      <w:r>
        <w:rPr>
          <w:rFonts w:ascii="Arial" w:cs="Arial" w:eastAsia="Arial" w:hAnsi="Arial"/>
          <w:sz w:val="15"/>
          <w:szCs w:val="15"/>
          <w:color w:val="050A35"/>
        </w:rPr>
        <w:t>the recommendations provided by our Chief Executive Officer with respect to the compensation of our other NEOs; and</w:t>
      </w:r>
    </w:p>
    <w:p>
      <w:pPr>
        <w:spacing w:after="0" w:line="96" w:lineRule="exact"/>
        <w:rPr>
          <w:rFonts w:ascii="Times New Roman" w:cs="Times New Roman" w:eastAsia="Times New Roman" w:hAnsi="Times New Roman"/>
          <w:sz w:val="15"/>
          <w:szCs w:val="15"/>
          <w:color w:val="050A35"/>
        </w:rPr>
      </w:pPr>
    </w:p>
    <w:p>
      <w:pPr>
        <w:ind w:left="180" w:hanging="174"/>
        <w:spacing w:after="0"/>
        <w:tabs>
          <w:tab w:leader="none" w:pos="180" w:val="left"/>
        </w:tabs>
        <w:numPr>
          <w:ilvl w:val="0"/>
          <w:numId w:val="35"/>
        </w:numPr>
        <w:rPr>
          <w:rFonts w:ascii="Times New Roman" w:cs="Times New Roman" w:eastAsia="Times New Roman" w:hAnsi="Times New Roman"/>
          <w:sz w:val="15"/>
          <w:szCs w:val="15"/>
          <w:color w:val="050A35"/>
        </w:rPr>
      </w:pPr>
      <w:r>
        <w:rPr>
          <w:rFonts w:ascii="Arial" w:cs="Arial" w:eastAsia="Arial" w:hAnsi="Arial"/>
          <w:sz w:val="15"/>
          <w:szCs w:val="15"/>
          <w:color w:val="050A35"/>
        </w:rPr>
        <w:t>the competitive state of the labor market generally, including any need to strengthen the retentiveness of our compensation packages.</w:t>
      </w:r>
    </w:p>
    <w:p>
      <w:pPr>
        <w:spacing w:after="0" w:line="97" w:lineRule="exact"/>
        <w:rPr>
          <w:sz w:val="20"/>
          <w:szCs w:val="20"/>
          <w:color w:val="auto"/>
        </w:rPr>
      </w:pPr>
    </w:p>
    <w:p>
      <w:pPr>
        <w:ind w:right="40"/>
        <w:spacing w:after="0" w:line="236" w:lineRule="auto"/>
        <w:rPr>
          <w:sz w:val="20"/>
          <w:szCs w:val="20"/>
          <w:color w:val="auto"/>
        </w:rPr>
      </w:pPr>
      <w:r>
        <w:rPr>
          <w:rFonts w:ascii="Arial" w:cs="Arial" w:eastAsia="Arial" w:hAnsi="Arial"/>
          <w:sz w:val="15"/>
          <w:szCs w:val="15"/>
          <w:color w:val="050A35"/>
        </w:rPr>
        <w:t>For purposes of comparing our executive compensation program against the competitive market, the Committee evaluates the compensation of our NEOs against those in similar positions at comparable companies. The Committee does not use a single method or measure in making its compensation decisions, nor does it position compensation levels based upon a specific level relative to a peer group or other companies. Nonetheless, the pay practices at comparable companies are an important factor that the Committee considers in assessing the reasonableness of compensation and ensuring that our compensation practices are competitive in the marketplace.</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i w:val="1"/>
          <w:iCs w:val="1"/>
          <w:color w:val="112B19"/>
        </w:rPr>
        <w:t>Roles and Responsibilities</w:t>
      </w:r>
    </w:p>
    <w:p>
      <w:pPr>
        <w:spacing w:after="0" w:line="98" w:lineRule="exact"/>
        <w:rPr>
          <w:sz w:val="20"/>
          <w:szCs w:val="20"/>
          <w:color w:val="auto"/>
        </w:rPr>
      </w:pPr>
    </w:p>
    <w:p>
      <w:pPr>
        <w:jc w:val="both"/>
        <w:ind w:right="560"/>
        <w:spacing w:after="0" w:line="244" w:lineRule="auto"/>
        <w:rPr>
          <w:sz w:val="20"/>
          <w:szCs w:val="20"/>
          <w:color w:val="auto"/>
        </w:rPr>
      </w:pPr>
      <w:r>
        <w:rPr>
          <w:rFonts w:ascii="Arial" w:cs="Arial" w:eastAsia="Arial" w:hAnsi="Arial"/>
          <w:sz w:val="15"/>
          <w:szCs w:val="15"/>
          <w:color w:val="050A35"/>
        </w:rPr>
        <w:t>The Committee has primary responsibility for establishing the compensation of our NEOs. For each of our NEOs, all compensation decisions referred to throughout this CD&amp;A have been made by the Committee, based in part on recommendations from our Chief Executive Officer (except with respect to his own compensation).</w:t>
      </w:r>
    </w:p>
    <w:p>
      <w:pPr>
        <w:spacing w:after="0" w:line="171" w:lineRule="exact"/>
        <w:rPr>
          <w:sz w:val="20"/>
          <w:szCs w:val="20"/>
          <w:color w:val="auto"/>
        </w:rPr>
      </w:pPr>
    </w:p>
    <w:p>
      <w:pPr>
        <w:ind w:left="480" w:hanging="474"/>
        <w:spacing w:after="0"/>
        <w:tabs>
          <w:tab w:leader="none" w:pos="480" w:val="left"/>
        </w:tabs>
        <w:numPr>
          <w:ilvl w:val="0"/>
          <w:numId w:val="36"/>
        </w:numPr>
        <w:rPr>
          <w:rFonts w:ascii="Arial" w:cs="Arial" w:eastAsia="Arial" w:hAnsi="Arial"/>
          <w:sz w:val="14"/>
          <w:szCs w:val="14"/>
          <w:b w:val="1"/>
          <w:bCs w:val="1"/>
          <w:color w:val="050A35"/>
        </w:rPr>
      </w:pPr>
      <w:r>
        <w:rPr>
          <w:rFonts w:ascii="Arial" w:cs="Arial" w:eastAsia="Arial" w:hAnsi="Arial"/>
          <w:sz w:val="14"/>
          <w:szCs w:val="14"/>
          <w:color w:val="050A35"/>
        </w:rPr>
        <w:t>RIDGEPOST CAPITAL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473710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775" w:right="1279" w:bottom="1440" w:gutter="0" w:footer="0" w:header="0"/>
          <w:type w:val="continuous"/>
        </w:sectPr>
      </w:pPr>
    </w:p>
    <w:bookmarkStart w:id="20" w:name="page21"/>
    <w:bookmarkEnd w:id="20"/>
    <w:p>
      <w:pPr>
        <w:jc w:val="right"/>
        <w:ind w:right="660"/>
        <w:spacing w:after="0"/>
        <w:rPr>
          <w:sz w:val="20"/>
          <w:szCs w:val="20"/>
          <w:color w:val="auto"/>
        </w:rPr>
      </w:pPr>
      <w:r>
        <w:rPr>
          <w:rFonts w:ascii="Arial" w:cs="Arial" w:eastAsia="Arial" w:hAnsi="Arial"/>
          <w:sz w:val="13"/>
          <w:szCs w:val="13"/>
          <w:color w:val="050A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9" w:lineRule="exact"/>
        <w:rPr>
          <w:sz w:val="20"/>
          <w:szCs w:val="20"/>
          <w:color w:val="auto"/>
        </w:rPr>
      </w:pPr>
    </w:p>
    <w:p>
      <w:pPr>
        <w:ind w:left="660" w:right="700"/>
        <w:spacing w:after="0" w:line="232" w:lineRule="auto"/>
        <w:rPr>
          <w:sz w:val="20"/>
          <w:szCs w:val="20"/>
          <w:color w:val="auto"/>
        </w:rPr>
      </w:pPr>
      <w:r>
        <w:rPr>
          <w:rFonts w:ascii="Arial" w:cs="Arial" w:eastAsia="Arial" w:hAnsi="Arial"/>
          <w:sz w:val="15"/>
          <w:szCs w:val="15"/>
          <w:color w:val="050A35"/>
        </w:rPr>
        <w:t>Our Chief Executive Officer participates in structuring Company-wide compensation programs and in establishing appropriate bonus and equity pools. In early 2025, Mr. Sarsfield met with the Committee and reviewed projections for aggregate 2025 compensation, including salary levels, target bonus levels and target equity and carried interest award values. In late 2025 and early 2026, Mr. Sarsfield met with the Committee and discussed his views of corporate and individual executive officer performance for 2025 for Mses. Coussens and Jairath and Messrs. Hood and Jensen, and his recommendations for annual bonuses and equity and carried interest awards for those NEOs. Following these discussions, the Committee met in executive session to discuss their views of corporate and individual performance for 2025 for Mr. Sarsfield and Mr. Sarsfield’s recommendations for the other NEOs. After consideration of the recommendations and their own evaluations, the Committee ultimately approved annual bonus and equity and carried interest award amounts for each NEO.</w:t>
      </w:r>
    </w:p>
    <w:p>
      <w:pPr>
        <w:spacing w:after="0" w:line="70" w:lineRule="exact"/>
        <w:rPr>
          <w:sz w:val="20"/>
          <w:szCs w:val="20"/>
          <w:color w:val="auto"/>
        </w:rPr>
      </w:pPr>
    </w:p>
    <w:p>
      <w:pPr>
        <w:ind w:left="660" w:right="740"/>
        <w:spacing w:after="0" w:line="238" w:lineRule="auto"/>
        <w:rPr>
          <w:sz w:val="20"/>
          <w:szCs w:val="20"/>
          <w:color w:val="auto"/>
        </w:rPr>
      </w:pPr>
      <w:r>
        <w:rPr>
          <w:rFonts w:ascii="Arial" w:cs="Arial" w:eastAsia="Arial" w:hAnsi="Arial"/>
          <w:sz w:val="15"/>
          <w:szCs w:val="15"/>
          <w:color w:val="050A35"/>
        </w:rPr>
        <w:t>In establishing a given executive officer’s compensation package, each individual component is evaluated independently and in relation to the package as a whole. Prior earning histories, outstanding carried interest holdings and applicable executive employment agreement terms are also reviewed and taken into account. Each individual executive’s situation is evaluated on a case-by-case basis each year, considering a variety of relevant factors at that time.</w:t>
      </w:r>
    </w:p>
    <w:p>
      <w:pPr>
        <w:spacing w:after="0" w:line="72" w:lineRule="exact"/>
        <w:rPr>
          <w:sz w:val="20"/>
          <w:szCs w:val="20"/>
          <w:color w:val="auto"/>
        </w:rPr>
      </w:pPr>
    </w:p>
    <w:p>
      <w:pPr>
        <w:jc w:val="both"/>
        <w:ind w:left="660" w:right="940"/>
        <w:spacing w:after="0" w:line="244" w:lineRule="auto"/>
        <w:rPr>
          <w:sz w:val="20"/>
          <w:szCs w:val="20"/>
          <w:color w:val="auto"/>
        </w:rPr>
      </w:pPr>
      <w:r>
        <w:rPr>
          <w:rFonts w:ascii="Arial" w:cs="Arial" w:eastAsia="Arial" w:hAnsi="Arial"/>
          <w:sz w:val="15"/>
          <w:szCs w:val="15"/>
          <w:color w:val="050A35"/>
        </w:rPr>
        <w:t>In addition, in 2025, the Committee engaged Johnson Associates, Inc. (“JA”) to provide comparative market data in connection with the Committee’s own analysis of its compensation practices, but neither JA nor any other compensation consultant had any material role in determining or recommending the amount or form of executive compensation for 2025.</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Compensation Elements</w:t>
      </w:r>
    </w:p>
    <w:p>
      <w:pPr>
        <w:spacing w:after="0" w:line="106" w:lineRule="exact"/>
        <w:rPr>
          <w:sz w:val="20"/>
          <w:szCs w:val="20"/>
          <w:color w:val="auto"/>
        </w:rPr>
      </w:pPr>
    </w:p>
    <w:p>
      <w:pPr>
        <w:ind w:left="660" w:right="700"/>
        <w:spacing w:after="0" w:line="238" w:lineRule="auto"/>
        <w:rPr>
          <w:sz w:val="20"/>
          <w:szCs w:val="20"/>
          <w:color w:val="auto"/>
        </w:rPr>
      </w:pPr>
      <w:r>
        <w:rPr>
          <w:rFonts w:ascii="Arial" w:cs="Arial" w:eastAsia="Arial" w:hAnsi="Arial"/>
          <w:sz w:val="15"/>
          <w:szCs w:val="15"/>
          <w:color w:val="050A35"/>
        </w:rPr>
        <w:t>The compensation packages for our NEOs have primarily consisted of an annual base salary, annual bonuses, and long-term incentives in the form of equity and carried interest awards. We believe this structure provides an appropriate balance between fixed and variable (at-risk) compensation and between short-term and long-term incentives, with a strong emphasis on sustained growth and enhanced stockholder value.</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5"/>
          <w:szCs w:val="15"/>
          <w:i w:val="1"/>
          <w:iCs w:val="1"/>
          <w:color w:val="112B19"/>
        </w:rPr>
        <w:t>Base Salary</w:t>
      </w:r>
    </w:p>
    <w:p>
      <w:pPr>
        <w:spacing w:after="0" w:line="98" w:lineRule="exact"/>
        <w:rPr>
          <w:sz w:val="20"/>
          <w:szCs w:val="20"/>
          <w:color w:val="auto"/>
        </w:rPr>
      </w:pPr>
    </w:p>
    <w:p>
      <w:pPr>
        <w:ind w:left="660" w:right="780"/>
        <w:spacing w:after="0" w:line="232" w:lineRule="auto"/>
        <w:rPr>
          <w:sz w:val="20"/>
          <w:szCs w:val="20"/>
          <w:color w:val="auto"/>
        </w:rPr>
      </w:pPr>
      <w:r>
        <w:rPr>
          <w:rFonts w:ascii="Arial" w:cs="Arial" w:eastAsia="Arial" w:hAnsi="Arial"/>
          <w:sz w:val="15"/>
          <w:szCs w:val="15"/>
          <w:color w:val="050A35"/>
        </w:rPr>
        <w:t>Base salary is a fixed component of compensation for each of our NEOs and has as its purpose to provide competitive compensation to attract and retain executive talent and to serve as a secure base of guaranteed cash for services rendered. We typically negotiate a new executive officer’s starting salary based on prior compensation levels for the particular position within the Company, the location of the executive, salary levels of other executives within the Company, salary levels available to the individual in alternative opportunities, reference to select compensation survey information and the extent to which the Company desires to secure the executive’s services. Once established, salaries can increase based on a number of factors, including the assumption of additional responsibilities, internal equity, periodic market checks and other factors that demonstrate a NEO’s increased value to the Company. None of the base salaries of our NEOs were adjusted during 2025.</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15"/>
          <w:szCs w:val="15"/>
          <w:i w:val="1"/>
          <w:iCs w:val="1"/>
          <w:color w:val="112B19"/>
        </w:rPr>
        <w:t>Annual Incentive Bonus</w:t>
      </w:r>
    </w:p>
    <w:p>
      <w:pPr>
        <w:spacing w:after="0" w:line="98" w:lineRule="exact"/>
        <w:rPr>
          <w:sz w:val="20"/>
          <w:szCs w:val="20"/>
          <w:color w:val="auto"/>
        </w:rPr>
      </w:pPr>
    </w:p>
    <w:p>
      <w:pPr>
        <w:ind w:left="660" w:right="720"/>
        <w:spacing w:after="0" w:line="231" w:lineRule="auto"/>
        <w:rPr>
          <w:sz w:val="20"/>
          <w:szCs w:val="20"/>
          <w:color w:val="auto"/>
        </w:rPr>
      </w:pPr>
      <w:r>
        <w:rPr>
          <w:rFonts w:ascii="Arial" w:cs="Arial" w:eastAsia="Arial" w:hAnsi="Arial"/>
          <w:sz w:val="15"/>
          <w:szCs w:val="15"/>
          <w:color w:val="050A35"/>
        </w:rPr>
        <w:t>Our annual incentive bonus program provides an important incentive tool to achieve the Company’s annual objectives. We generally pay bonuses shortly after year-end following finalization of the financial results for the year in question. The target annual bonus payable to each of our NEOs is set forth in their respective employment agreements. The determination of actual bonus amounts is based on an assessment of factors that vary from year to year, including a discretionary assessment of Company and individual performance. In determining individual annual bonus amounts, the Committee considers a variety of factors regarding the Company’s overall performance, such as growth in revenue, earnings and profitability over the prior year, performance against the Company’s plan, and achievement of strategic objectives by the Company, as well as an individual’s performance and contribution to the Company. The Committee does not quantify the weight given to any specific element or otherwise follow a formulaic calculation; however, Company performance tends to be the dominant driver of the ultimate bonus amount.</w:t>
      </w:r>
    </w:p>
    <w:p>
      <w:pPr>
        <w:spacing w:after="0" w:line="72" w:lineRule="exact"/>
        <w:rPr>
          <w:sz w:val="20"/>
          <w:szCs w:val="20"/>
          <w:color w:val="auto"/>
        </w:rPr>
      </w:pPr>
    </w:p>
    <w:p>
      <w:pPr>
        <w:ind w:left="660" w:right="700"/>
        <w:spacing w:after="0" w:line="230" w:lineRule="auto"/>
        <w:rPr>
          <w:sz w:val="20"/>
          <w:szCs w:val="20"/>
          <w:color w:val="auto"/>
        </w:rPr>
      </w:pPr>
      <w:r>
        <w:rPr>
          <w:rFonts w:ascii="Arial" w:cs="Arial" w:eastAsia="Arial" w:hAnsi="Arial"/>
          <w:sz w:val="15"/>
          <w:szCs w:val="15"/>
          <w:color w:val="050A35"/>
        </w:rPr>
        <w:t>For 2025 bonuses specifically, the Committee considered a variety of factors, including, among others, successful business plan execution and year-over-year growth in, and performance against the Company’s plan with respect to, fee-related earnings, fee-paying assets under management, fee-related revenue, and adjusted net income per share; successful completion of enhanced audit procedures and development of and execution on our risk management plan; execution of strategic initiatives, including further development of the Company’s business development function and client relationships, increased cross-platform collaboration and leveraging of technology and data, ongoing product innovation across geographies and asset classes, realization of operational efficiencies, and improved M&amp;A origination, tracking and execution, including the closing of our acquisition of Qualitas Funds and the integration of Qualitas with the Company’s business; and corporate governance and control improvements. While these were the primary factors considered in setting bonus award amounts, the Committee also considered each NEO’s role and responsibilities, the relative contributions made by each NEO during the year, and the relative size of the bonuses paid to the other NEOs. Based on a holistic assessment of these factors, the Committee awarded annual incentive bonuses for 2025 as set forth below.</w:t>
      </w:r>
    </w:p>
    <w:p>
      <w:pPr>
        <w:spacing w:after="0" w:line="72" w:lineRule="exact"/>
        <w:rPr>
          <w:sz w:val="20"/>
          <w:szCs w:val="20"/>
          <w:color w:val="auto"/>
        </w:rPr>
      </w:pPr>
    </w:p>
    <w:p>
      <w:pPr>
        <w:ind w:left="660" w:right="740"/>
        <w:spacing w:after="0" w:line="264" w:lineRule="auto"/>
        <w:rPr>
          <w:sz w:val="20"/>
          <w:szCs w:val="20"/>
          <w:color w:val="auto"/>
        </w:rPr>
      </w:pPr>
      <w:r>
        <w:rPr>
          <w:rFonts w:ascii="Arial" w:cs="Arial" w:eastAsia="Arial" w:hAnsi="Arial"/>
          <w:sz w:val="15"/>
          <w:szCs w:val="15"/>
          <w:color w:val="050A35"/>
        </w:rPr>
        <w:t>Annual incentive bonuses are paid in cash, although in the first quarter of each year, we offer our NEOs and certain other employees the right to elect to receive restricted stock units (“RSUs”) in lieu of a portion of their cash bonus for that year, with the total aggregate value of</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40" w:type="dxa"/>
            <w:vAlign w:val="bottom"/>
          </w:tcPr>
          <w:p>
            <w:pPr>
              <w:ind w:left="6560"/>
              <w:spacing w:after="0"/>
              <w:rPr>
                <w:sz w:val="20"/>
                <w:szCs w:val="20"/>
                <w:color w:val="auto"/>
              </w:rPr>
            </w:pPr>
            <w:r>
              <w:rPr>
                <w:rFonts w:ascii="Arial" w:cs="Arial" w:eastAsia="Arial" w:hAnsi="Arial"/>
                <w:sz w:val="14"/>
                <w:szCs w:val="14"/>
                <w:color w:val="050A35"/>
              </w:rPr>
              <w:t>RIDGEPOST CAPITAL | 2026 Proxy Statement</w:t>
            </w:r>
          </w:p>
        </w:tc>
        <w:tc>
          <w:tcPr>
            <w:tcW w:w="980" w:type="dxa"/>
            <w:vAlign w:val="bottom"/>
          </w:tcPr>
          <w:p>
            <w:pPr>
              <w:jc w:val="right"/>
              <w:ind w:right="588"/>
              <w:spacing w:after="0"/>
              <w:rPr>
                <w:sz w:val="20"/>
                <w:szCs w:val="20"/>
                <w:color w:val="auto"/>
              </w:rPr>
            </w:pPr>
            <w:r>
              <w:rPr>
                <w:rFonts w:ascii="Arial" w:cs="Arial" w:eastAsia="Arial" w:hAnsi="Arial"/>
                <w:sz w:val="14"/>
                <w:szCs w:val="14"/>
                <w:b w:val="1"/>
                <w:bCs w:val="1"/>
                <w:color w:val="050A35"/>
              </w:rPr>
              <w:t>17</w:t>
            </w:r>
          </w:p>
        </w:tc>
      </w:tr>
      <w:tr>
        <w:trPr>
          <w:trHeight w:val="738"/>
        </w:trPr>
        <w:tc>
          <w:tcPr>
            <w:tcW w:w="97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sectPr>
      </w:pPr>
    </w:p>
    <w:bookmarkStart w:id="21" w:name="page22"/>
    <w:bookmarkEnd w:id="21"/>
    <w:p>
      <w:pPr>
        <w:spacing w:after="0"/>
        <w:rPr>
          <w:sz w:val="20"/>
          <w:szCs w:val="20"/>
          <w:color w:val="auto"/>
        </w:rPr>
      </w:pPr>
      <w:r>
        <w:rPr>
          <w:rFonts w:ascii="Arial" w:cs="Arial" w:eastAsia="Arial" w:hAnsi="Arial"/>
          <w:sz w:val="13"/>
          <w:szCs w:val="13"/>
          <w:color w:val="050A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9664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9"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050A35"/>
        </w:rPr>
        <w:t>cash foregone not to exceed $5,000,000. The RSUs elected to be received have a value (based on the closing price of our common stock on the grant date) equal to 1.15 times the amount of cash bonus foregone, and the RSUs vest fully on the first anniversary of the grant date.</w:t>
      </w:r>
    </w:p>
    <w:p>
      <w:pPr>
        <w:spacing w:after="0" w:line="240" w:lineRule="exact"/>
        <w:rPr>
          <w:sz w:val="20"/>
          <w:szCs w:val="20"/>
          <w:color w:val="auto"/>
        </w:rPr>
      </w:pPr>
    </w:p>
    <w:p>
      <w:pPr>
        <w:ind w:right="460"/>
        <w:spacing w:after="0" w:line="244" w:lineRule="auto"/>
        <w:rPr>
          <w:sz w:val="20"/>
          <w:szCs w:val="20"/>
          <w:color w:val="auto"/>
        </w:rPr>
      </w:pPr>
      <w:r>
        <w:rPr>
          <w:rFonts w:ascii="Arial" w:cs="Arial" w:eastAsia="Arial" w:hAnsi="Arial"/>
          <w:sz w:val="15"/>
          <w:szCs w:val="15"/>
          <w:color w:val="050A35"/>
        </w:rPr>
        <w:t>The following table sets forth the 2025 annual incentive bonus awarded to each of our NEOs; the actual amount paid to each NEO, consisting of the dollar amount paid in cash and the value of RSUs granted; and the target bonus amount set forth in their respective employment agreements.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780" w:type="dxa"/>
            <w:vAlign w:val="bottom"/>
            <w:tcBorders>
              <w:bottom w:val="single" w:sz="8" w:color="112B19"/>
            </w:tcBorders>
          </w:tcPr>
          <w:p>
            <w:pPr>
              <w:spacing w:after="0"/>
              <w:rPr>
                <w:sz w:val="20"/>
                <w:szCs w:val="20"/>
                <w:color w:val="auto"/>
              </w:rPr>
            </w:pPr>
            <w:r>
              <w:rPr>
                <w:rFonts w:ascii="Arial" w:cs="Arial" w:eastAsia="Arial" w:hAnsi="Arial"/>
                <w:sz w:val="14"/>
                <w:szCs w:val="14"/>
                <w:b w:val="1"/>
                <w:bCs w:val="1"/>
                <w:color w:val="112B19"/>
              </w:rPr>
              <w:t>Name</w:t>
            </w:r>
          </w:p>
        </w:tc>
        <w:tc>
          <w:tcPr>
            <w:tcW w:w="2320" w:type="dxa"/>
            <w:vAlign w:val="bottom"/>
            <w:tcBorders>
              <w:bottom w:val="single" w:sz="8" w:color="112B19"/>
            </w:tcBorders>
            <w:gridSpan w:val="2"/>
          </w:tcPr>
          <w:p>
            <w:pPr>
              <w:jc w:val="right"/>
              <w:ind w:right="208"/>
              <w:spacing w:after="0"/>
              <w:rPr>
                <w:sz w:val="20"/>
                <w:szCs w:val="20"/>
                <w:color w:val="auto"/>
              </w:rPr>
            </w:pPr>
            <w:r>
              <w:rPr>
                <w:rFonts w:ascii="Arial" w:cs="Arial" w:eastAsia="Arial" w:hAnsi="Arial"/>
                <w:sz w:val="14"/>
                <w:szCs w:val="14"/>
                <w:b w:val="1"/>
                <w:bCs w:val="1"/>
                <w:color w:val="112B19"/>
              </w:rPr>
              <w:t>Annual Bonus</w:t>
            </w:r>
          </w:p>
        </w:tc>
        <w:tc>
          <w:tcPr>
            <w:tcW w:w="420" w:type="dxa"/>
            <w:vAlign w:val="bottom"/>
            <w:tcBorders>
              <w:bottom w:val="single" w:sz="8" w:color="112B19"/>
            </w:tcBorders>
          </w:tcPr>
          <w:p>
            <w:pPr>
              <w:spacing w:after="0"/>
              <w:rPr>
                <w:sz w:val="19"/>
                <w:szCs w:val="19"/>
                <w:color w:val="auto"/>
              </w:rPr>
            </w:pPr>
          </w:p>
        </w:tc>
        <w:tc>
          <w:tcPr>
            <w:tcW w:w="1000" w:type="dxa"/>
            <w:vAlign w:val="bottom"/>
            <w:tcBorders>
              <w:bottom w:val="single" w:sz="8" w:color="112B19"/>
            </w:tcBorders>
          </w:tcPr>
          <w:p>
            <w:pPr>
              <w:jc w:val="right"/>
              <w:ind w:right="428"/>
              <w:spacing w:after="0"/>
              <w:rPr>
                <w:sz w:val="20"/>
                <w:szCs w:val="20"/>
                <w:color w:val="auto"/>
              </w:rPr>
            </w:pPr>
            <w:r>
              <w:rPr>
                <w:rFonts w:ascii="Arial" w:cs="Arial" w:eastAsia="Arial" w:hAnsi="Arial"/>
                <w:sz w:val="14"/>
                <w:szCs w:val="14"/>
                <w:b w:val="1"/>
                <w:bCs w:val="1"/>
                <w:color w:val="112B19"/>
              </w:rPr>
              <w:t>Cash</w:t>
            </w:r>
          </w:p>
        </w:tc>
        <w:tc>
          <w:tcPr>
            <w:tcW w:w="440" w:type="dxa"/>
            <w:vAlign w:val="bottom"/>
            <w:tcBorders>
              <w:bottom w:val="single" w:sz="8" w:color="112B19"/>
            </w:tcBorders>
          </w:tcPr>
          <w:p>
            <w:pPr>
              <w:spacing w:after="0"/>
              <w:rPr>
                <w:sz w:val="19"/>
                <w:szCs w:val="19"/>
                <w:color w:val="auto"/>
              </w:rPr>
            </w:pPr>
          </w:p>
        </w:tc>
        <w:tc>
          <w:tcPr>
            <w:tcW w:w="880" w:type="dxa"/>
            <w:vAlign w:val="bottom"/>
            <w:tcBorders>
              <w:bottom w:val="single" w:sz="8" w:color="112B19"/>
            </w:tcBorders>
          </w:tcPr>
          <w:p>
            <w:pPr>
              <w:jc w:val="center"/>
              <w:ind w:right="188"/>
              <w:spacing w:after="0"/>
              <w:rPr>
                <w:sz w:val="20"/>
                <w:szCs w:val="20"/>
                <w:color w:val="auto"/>
              </w:rPr>
            </w:pPr>
            <w:r>
              <w:rPr>
                <w:rFonts w:ascii="Arial" w:cs="Arial" w:eastAsia="Arial" w:hAnsi="Arial"/>
                <w:sz w:val="14"/>
                <w:szCs w:val="14"/>
                <w:b w:val="1"/>
                <w:bCs w:val="1"/>
                <w:color w:val="112B19"/>
              </w:rPr>
              <w:t>RSUs</w:t>
            </w:r>
          </w:p>
        </w:tc>
        <w:tc>
          <w:tcPr>
            <w:tcW w:w="480" w:type="dxa"/>
            <w:vAlign w:val="bottom"/>
            <w:tcBorders>
              <w:bottom w:val="single" w:sz="8" w:color="112B19"/>
            </w:tcBorders>
          </w:tcPr>
          <w:p>
            <w:pPr>
              <w:spacing w:after="0"/>
              <w:rPr>
                <w:sz w:val="19"/>
                <w:szCs w:val="19"/>
                <w:color w:val="auto"/>
              </w:rPr>
            </w:pPr>
          </w:p>
        </w:tc>
        <w:tc>
          <w:tcPr>
            <w:tcW w:w="1080" w:type="dxa"/>
            <w:vAlign w:val="bottom"/>
            <w:tcBorders>
              <w:bottom w:val="single" w:sz="8" w:color="112B19"/>
            </w:tcBorders>
          </w:tcPr>
          <w:p>
            <w:pPr>
              <w:jc w:val="right"/>
              <w:ind w:right="428"/>
              <w:spacing w:after="0"/>
              <w:rPr>
                <w:sz w:val="20"/>
                <w:szCs w:val="20"/>
                <w:color w:val="auto"/>
              </w:rPr>
            </w:pPr>
            <w:r>
              <w:rPr>
                <w:rFonts w:ascii="Arial" w:cs="Arial" w:eastAsia="Arial" w:hAnsi="Arial"/>
                <w:sz w:val="14"/>
                <w:szCs w:val="14"/>
                <w:b w:val="1"/>
                <w:bCs w:val="1"/>
                <w:color w:val="112B19"/>
              </w:rPr>
              <w:t>Target</w:t>
            </w:r>
          </w:p>
        </w:tc>
      </w:tr>
      <w:tr>
        <w:trPr>
          <w:trHeight w:val="228"/>
        </w:trPr>
        <w:tc>
          <w:tcPr>
            <w:tcW w:w="2780" w:type="dxa"/>
            <w:vAlign w:val="bottom"/>
          </w:tcPr>
          <w:p>
            <w:pPr>
              <w:ind w:left="100"/>
              <w:spacing w:after="0"/>
              <w:rPr>
                <w:sz w:val="20"/>
                <w:szCs w:val="20"/>
                <w:color w:val="auto"/>
              </w:rPr>
            </w:pPr>
            <w:r>
              <w:rPr>
                <w:rFonts w:ascii="Arial" w:cs="Arial" w:eastAsia="Arial" w:hAnsi="Arial"/>
                <w:sz w:val="14"/>
                <w:szCs w:val="14"/>
                <w:color w:val="auto"/>
              </w:rPr>
              <w:t>Luke Sarsfield</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28"/>
              <w:spacing w:after="0"/>
              <w:rPr>
                <w:sz w:val="20"/>
                <w:szCs w:val="20"/>
                <w:color w:val="auto"/>
              </w:rPr>
            </w:pPr>
            <w:r>
              <w:rPr>
                <w:rFonts w:ascii="Arial" w:cs="Arial" w:eastAsia="Arial" w:hAnsi="Arial"/>
                <w:sz w:val="14"/>
                <w:szCs w:val="14"/>
                <w:color w:val="auto"/>
              </w:rPr>
              <w:t>1,800,000</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1,625,500</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center"/>
              <w:ind w:right="168"/>
              <w:spacing w:after="0"/>
              <w:rPr>
                <w:sz w:val="20"/>
                <w:szCs w:val="20"/>
                <w:color w:val="auto"/>
              </w:rPr>
            </w:pPr>
            <w:r>
              <w:rPr>
                <w:rFonts w:ascii="Arial" w:cs="Arial" w:eastAsia="Arial" w:hAnsi="Arial"/>
                <w:sz w:val="14"/>
                <w:szCs w:val="14"/>
                <w:color w:val="auto"/>
              </w:rPr>
              <w:t>200,676</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1,500,000</w:t>
            </w:r>
          </w:p>
        </w:tc>
      </w:tr>
      <w:tr>
        <w:trPr>
          <w:trHeight w:val="35"/>
        </w:trPr>
        <w:tc>
          <w:tcPr>
            <w:tcW w:w="2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278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4"/>
                <w:szCs w:val="14"/>
                <w:color w:val="auto"/>
              </w:rPr>
              <w:t>Amanda Coussens</w:t>
            </w:r>
          </w:p>
        </w:tc>
        <w:tc>
          <w:tcPr>
            <w:tcW w:w="12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EDEDED"/>
            </w:tcBorders>
            <w:shd w:val="clear" w:color="auto" w:fill="EDEDED"/>
          </w:tcPr>
          <w:p>
            <w:pPr>
              <w:jc w:val="right"/>
              <w:ind w:right="328"/>
              <w:spacing w:after="0"/>
              <w:rPr>
                <w:sz w:val="20"/>
                <w:szCs w:val="20"/>
                <w:color w:val="auto"/>
              </w:rPr>
            </w:pPr>
            <w:r>
              <w:rPr>
                <w:rFonts w:ascii="Arial" w:cs="Arial" w:eastAsia="Arial" w:hAnsi="Arial"/>
                <w:sz w:val="14"/>
                <w:szCs w:val="14"/>
                <w:color w:val="auto"/>
              </w:rPr>
              <w:t>400,000</w:t>
            </w:r>
          </w:p>
        </w:tc>
        <w:tc>
          <w:tcPr>
            <w:tcW w:w="4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DEDED"/>
            </w:tcBorders>
            <w:shd w:val="clear" w:color="auto" w:fill="EDEDED"/>
          </w:tcPr>
          <w:p>
            <w:pPr>
              <w:jc w:val="right"/>
              <w:ind w:right="228"/>
              <w:spacing w:after="0"/>
              <w:rPr>
                <w:sz w:val="20"/>
                <w:szCs w:val="20"/>
                <w:color w:val="auto"/>
              </w:rPr>
            </w:pPr>
            <w:r>
              <w:rPr>
                <w:rFonts w:ascii="Arial" w:cs="Arial" w:eastAsia="Arial" w:hAnsi="Arial"/>
                <w:sz w:val="14"/>
                <w:szCs w:val="14"/>
                <w:color w:val="auto"/>
              </w:rPr>
              <w:t>300,000</w:t>
            </w:r>
          </w:p>
        </w:tc>
        <w:tc>
          <w:tcPr>
            <w:tcW w:w="4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DEDED"/>
            </w:tcBorders>
            <w:shd w:val="clear" w:color="auto" w:fill="EDEDED"/>
          </w:tcPr>
          <w:p>
            <w:pPr>
              <w:jc w:val="center"/>
              <w:ind w:right="168"/>
              <w:spacing w:after="0"/>
              <w:rPr>
                <w:sz w:val="20"/>
                <w:szCs w:val="20"/>
                <w:color w:val="auto"/>
              </w:rPr>
            </w:pPr>
            <w:r>
              <w:rPr>
                <w:rFonts w:ascii="Arial" w:cs="Arial" w:eastAsia="Arial" w:hAnsi="Arial"/>
                <w:sz w:val="14"/>
                <w:szCs w:val="14"/>
                <w:color w:val="auto"/>
              </w:rPr>
              <w:t>115,000</w:t>
            </w:r>
          </w:p>
        </w:tc>
        <w:tc>
          <w:tcPr>
            <w:tcW w:w="480" w:type="dxa"/>
            <w:vAlign w:val="bottom"/>
            <w:tcBorders>
              <w:bottom w:val="single" w:sz="8" w:color="EDEDED"/>
            </w:tcBorders>
            <w:shd w:val="clear" w:color="auto" w:fill="EDEDED"/>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DEDED"/>
            </w:tcBorders>
            <w:shd w:val="clear" w:color="auto" w:fill="EDEDED"/>
          </w:tcPr>
          <w:p>
            <w:pPr>
              <w:jc w:val="right"/>
              <w:ind w:right="288"/>
              <w:spacing w:after="0"/>
              <w:rPr>
                <w:sz w:val="20"/>
                <w:szCs w:val="20"/>
                <w:color w:val="auto"/>
              </w:rPr>
            </w:pPr>
            <w:r>
              <w:rPr>
                <w:rFonts w:ascii="Arial" w:cs="Arial" w:eastAsia="Arial" w:hAnsi="Arial"/>
                <w:sz w:val="14"/>
                <w:szCs w:val="14"/>
                <w:color w:val="auto"/>
              </w:rPr>
              <w:t>300,000</w:t>
            </w:r>
          </w:p>
        </w:tc>
      </w:tr>
      <w:tr>
        <w:trPr>
          <w:trHeight w:val="235"/>
        </w:trPr>
        <w:tc>
          <w:tcPr>
            <w:tcW w:w="2780" w:type="dxa"/>
            <w:vAlign w:val="bottom"/>
          </w:tcPr>
          <w:p>
            <w:pPr>
              <w:ind w:left="100"/>
              <w:spacing w:after="0"/>
              <w:rPr>
                <w:sz w:val="20"/>
                <w:szCs w:val="20"/>
                <w:color w:val="auto"/>
              </w:rPr>
            </w:pPr>
            <w:r>
              <w:rPr>
                <w:rFonts w:ascii="Arial" w:cs="Arial" w:eastAsia="Arial" w:hAnsi="Arial"/>
                <w:sz w:val="14"/>
                <w:szCs w:val="14"/>
                <w:color w:val="auto"/>
              </w:rPr>
              <w:t>Mark Hood</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28"/>
              <w:spacing w:after="0"/>
              <w:rPr>
                <w:sz w:val="20"/>
                <w:szCs w:val="20"/>
                <w:color w:val="auto"/>
              </w:rPr>
            </w:pPr>
            <w:r>
              <w:rPr>
                <w:rFonts w:ascii="Arial" w:cs="Arial" w:eastAsia="Arial" w:hAnsi="Arial"/>
                <w:sz w:val="14"/>
                <w:szCs w:val="14"/>
                <w:color w:val="auto"/>
              </w:rPr>
              <w:t>350,000</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250,000</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center"/>
              <w:ind w:right="168"/>
              <w:spacing w:after="0"/>
              <w:rPr>
                <w:sz w:val="20"/>
                <w:szCs w:val="20"/>
                <w:color w:val="auto"/>
              </w:rPr>
            </w:pPr>
            <w:r>
              <w:rPr>
                <w:rFonts w:ascii="Arial" w:cs="Arial" w:eastAsia="Arial" w:hAnsi="Arial"/>
                <w:sz w:val="14"/>
                <w:szCs w:val="14"/>
                <w:color w:val="auto"/>
              </w:rPr>
              <w:t>115,000</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300,000</w:t>
            </w:r>
          </w:p>
        </w:tc>
      </w:tr>
      <w:tr>
        <w:trPr>
          <w:trHeight w:val="35"/>
        </w:trPr>
        <w:tc>
          <w:tcPr>
            <w:tcW w:w="2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278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4"/>
                <w:szCs w:val="14"/>
                <w:color w:val="auto"/>
              </w:rPr>
              <w:t>Sarita Jairath</w:t>
            </w:r>
          </w:p>
        </w:tc>
        <w:tc>
          <w:tcPr>
            <w:tcW w:w="12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EDEDED"/>
            </w:tcBorders>
            <w:shd w:val="clear" w:color="auto" w:fill="EDEDED"/>
          </w:tcPr>
          <w:p>
            <w:pPr>
              <w:jc w:val="right"/>
              <w:ind w:right="328"/>
              <w:spacing w:after="0"/>
              <w:rPr>
                <w:sz w:val="20"/>
                <w:szCs w:val="20"/>
                <w:color w:val="auto"/>
              </w:rPr>
            </w:pPr>
            <w:r>
              <w:rPr>
                <w:rFonts w:ascii="Arial" w:cs="Arial" w:eastAsia="Arial" w:hAnsi="Arial"/>
                <w:sz w:val="14"/>
                <w:szCs w:val="14"/>
                <w:color w:val="auto"/>
              </w:rPr>
              <w:t>400,000</w:t>
            </w:r>
          </w:p>
        </w:tc>
        <w:tc>
          <w:tcPr>
            <w:tcW w:w="4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DEDED"/>
            </w:tcBorders>
            <w:shd w:val="clear" w:color="auto" w:fill="EDEDED"/>
          </w:tcPr>
          <w:p>
            <w:pPr>
              <w:jc w:val="right"/>
              <w:ind w:right="228"/>
              <w:spacing w:after="0"/>
              <w:rPr>
                <w:sz w:val="20"/>
                <w:szCs w:val="20"/>
                <w:color w:val="auto"/>
              </w:rPr>
            </w:pPr>
            <w:r>
              <w:rPr>
                <w:rFonts w:ascii="Arial" w:cs="Arial" w:eastAsia="Arial" w:hAnsi="Arial"/>
                <w:sz w:val="14"/>
                <w:szCs w:val="14"/>
                <w:color w:val="auto"/>
              </w:rPr>
              <w:t>300,000</w:t>
            </w:r>
          </w:p>
        </w:tc>
        <w:tc>
          <w:tcPr>
            <w:tcW w:w="4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DEDED"/>
            </w:tcBorders>
            <w:shd w:val="clear" w:color="auto" w:fill="EDEDED"/>
          </w:tcPr>
          <w:p>
            <w:pPr>
              <w:jc w:val="center"/>
              <w:ind w:right="168"/>
              <w:spacing w:after="0"/>
              <w:rPr>
                <w:sz w:val="20"/>
                <w:szCs w:val="20"/>
                <w:color w:val="auto"/>
              </w:rPr>
            </w:pPr>
            <w:r>
              <w:rPr>
                <w:rFonts w:ascii="Arial" w:cs="Arial" w:eastAsia="Arial" w:hAnsi="Arial"/>
                <w:sz w:val="14"/>
                <w:szCs w:val="14"/>
                <w:color w:val="auto"/>
              </w:rPr>
              <w:t>115,000</w:t>
            </w:r>
          </w:p>
        </w:tc>
        <w:tc>
          <w:tcPr>
            <w:tcW w:w="480" w:type="dxa"/>
            <w:vAlign w:val="bottom"/>
            <w:tcBorders>
              <w:bottom w:val="single" w:sz="8" w:color="EDEDED"/>
            </w:tcBorders>
            <w:shd w:val="clear" w:color="auto" w:fill="EDEDED"/>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DEDED"/>
            </w:tcBorders>
            <w:shd w:val="clear" w:color="auto" w:fill="EDEDED"/>
          </w:tcPr>
          <w:p>
            <w:pPr>
              <w:jc w:val="right"/>
              <w:ind w:right="288"/>
              <w:spacing w:after="0"/>
              <w:rPr>
                <w:sz w:val="20"/>
                <w:szCs w:val="20"/>
                <w:color w:val="auto"/>
              </w:rPr>
            </w:pPr>
            <w:r>
              <w:rPr>
                <w:rFonts w:ascii="Arial" w:cs="Arial" w:eastAsia="Arial" w:hAnsi="Arial"/>
                <w:sz w:val="14"/>
                <w:szCs w:val="14"/>
                <w:color w:val="auto"/>
              </w:rPr>
              <w:t>400,000</w:t>
            </w:r>
          </w:p>
        </w:tc>
      </w:tr>
      <w:tr>
        <w:trPr>
          <w:trHeight w:val="235"/>
        </w:trPr>
        <w:tc>
          <w:tcPr>
            <w:tcW w:w="2780" w:type="dxa"/>
            <w:vAlign w:val="bottom"/>
          </w:tcPr>
          <w:p>
            <w:pPr>
              <w:ind w:left="100"/>
              <w:spacing w:after="0"/>
              <w:rPr>
                <w:sz w:val="20"/>
                <w:szCs w:val="20"/>
                <w:color w:val="auto"/>
              </w:rPr>
            </w:pPr>
            <w:r>
              <w:rPr>
                <w:rFonts w:ascii="Arial" w:cs="Arial" w:eastAsia="Arial" w:hAnsi="Arial"/>
                <w:sz w:val="14"/>
                <w:szCs w:val="14"/>
                <w:color w:val="auto"/>
              </w:rPr>
              <w:t>Richard J. (Arjay) Jensen</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28"/>
              <w:spacing w:after="0"/>
              <w:rPr>
                <w:sz w:val="20"/>
                <w:szCs w:val="20"/>
                <w:color w:val="auto"/>
              </w:rPr>
            </w:pPr>
            <w:r>
              <w:rPr>
                <w:rFonts w:ascii="Arial" w:cs="Arial" w:eastAsia="Arial" w:hAnsi="Arial"/>
                <w:sz w:val="14"/>
                <w:szCs w:val="14"/>
                <w:color w:val="auto"/>
              </w:rPr>
              <w:t>350,000</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250,000</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center"/>
              <w:ind w:right="168"/>
              <w:spacing w:after="0"/>
              <w:rPr>
                <w:sz w:val="20"/>
                <w:szCs w:val="20"/>
                <w:color w:val="auto"/>
              </w:rPr>
            </w:pPr>
            <w:r>
              <w:rPr>
                <w:rFonts w:ascii="Arial" w:cs="Arial" w:eastAsia="Arial" w:hAnsi="Arial"/>
                <w:sz w:val="14"/>
                <w:szCs w:val="14"/>
                <w:color w:val="auto"/>
              </w:rPr>
              <w:t>115,000</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300,000</w:t>
            </w:r>
          </w:p>
        </w:tc>
      </w:tr>
      <w:tr>
        <w:trPr>
          <w:trHeight w:val="35"/>
        </w:trPr>
        <w:tc>
          <w:tcPr>
            <w:tcW w:w="2780" w:type="dxa"/>
            <w:vAlign w:val="bottom"/>
            <w:tcBorders>
              <w:bottom w:val="single" w:sz="8" w:color="112B19"/>
            </w:tcBorders>
          </w:tcPr>
          <w:p>
            <w:pPr>
              <w:spacing w:after="0"/>
              <w:rPr>
                <w:sz w:val="3"/>
                <w:szCs w:val="3"/>
                <w:color w:val="auto"/>
              </w:rPr>
            </w:pPr>
          </w:p>
        </w:tc>
        <w:tc>
          <w:tcPr>
            <w:tcW w:w="1220" w:type="dxa"/>
            <w:vAlign w:val="bottom"/>
            <w:tcBorders>
              <w:bottom w:val="single" w:sz="8" w:color="112B19"/>
            </w:tcBorders>
          </w:tcPr>
          <w:p>
            <w:pPr>
              <w:spacing w:after="0"/>
              <w:rPr>
                <w:sz w:val="3"/>
                <w:szCs w:val="3"/>
                <w:color w:val="auto"/>
              </w:rPr>
            </w:pPr>
          </w:p>
        </w:tc>
        <w:tc>
          <w:tcPr>
            <w:tcW w:w="1100" w:type="dxa"/>
            <w:vAlign w:val="bottom"/>
            <w:tcBorders>
              <w:bottom w:val="single" w:sz="8" w:color="112B19"/>
            </w:tcBorders>
          </w:tcPr>
          <w:p>
            <w:pPr>
              <w:spacing w:after="0"/>
              <w:rPr>
                <w:sz w:val="3"/>
                <w:szCs w:val="3"/>
                <w:color w:val="auto"/>
              </w:rPr>
            </w:pPr>
          </w:p>
        </w:tc>
        <w:tc>
          <w:tcPr>
            <w:tcW w:w="420" w:type="dxa"/>
            <w:vAlign w:val="bottom"/>
            <w:tcBorders>
              <w:bottom w:val="single" w:sz="8" w:color="112B19"/>
            </w:tcBorders>
          </w:tcPr>
          <w:p>
            <w:pPr>
              <w:spacing w:after="0"/>
              <w:rPr>
                <w:sz w:val="3"/>
                <w:szCs w:val="3"/>
                <w:color w:val="auto"/>
              </w:rPr>
            </w:pPr>
          </w:p>
        </w:tc>
        <w:tc>
          <w:tcPr>
            <w:tcW w:w="1000" w:type="dxa"/>
            <w:vAlign w:val="bottom"/>
            <w:tcBorders>
              <w:bottom w:val="single" w:sz="8" w:color="112B19"/>
            </w:tcBorders>
          </w:tcPr>
          <w:p>
            <w:pPr>
              <w:spacing w:after="0"/>
              <w:rPr>
                <w:sz w:val="3"/>
                <w:szCs w:val="3"/>
                <w:color w:val="auto"/>
              </w:rPr>
            </w:pPr>
          </w:p>
        </w:tc>
        <w:tc>
          <w:tcPr>
            <w:tcW w:w="440" w:type="dxa"/>
            <w:vAlign w:val="bottom"/>
            <w:tcBorders>
              <w:bottom w:val="single" w:sz="8" w:color="112B19"/>
            </w:tcBorders>
          </w:tcPr>
          <w:p>
            <w:pPr>
              <w:spacing w:after="0"/>
              <w:rPr>
                <w:sz w:val="3"/>
                <w:szCs w:val="3"/>
                <w:color w:val="auto"/>
              </w:rPr>
            </w:pPr>
          </w:p>
        </w:tc>
        <w:tc>
          <w:tcPr>
            <w:tcW w:w="880" w:type="dxa"/>
            <w:vAlign w:val="bottom"/>
            <w:tcBorders>
              <w:bottom w:val="single" w:sz="8" w:color="112B19"/>
            </w:tcBorders>
          </w:tcPr>
          <w:p>
            <w:pPr>
              <w:spacing w:after="0"/>
              <w:rPr>
                <w:sz w:val="3"/>
                <w:szCs w:val="3"/>
                <w:color w:val="auto"/>
              </w:rPr>
            </w:pPr>
          </w:p>
        </w:tc>
        <w:tc>
          <w:tcPr>
            <w:tcW w:w="480" w:type="dxa"/>
            <w:vAlign w:val="bottom"/>
            <w:tcBorders>
              <w:bottom w:val="single" w:sz="8" w:color="112B19"/>
            </w:tcBorders>
          </w:tcPr>
          <w:p>
            <w:pPr>
              <w:spacing w:after="0"/>
              <w:rPr>
                <w:sz w:val="3"/>
                <w:szCs w:val="3"/>
                <w:color w:val="auto"/>
              </w:rPr>
            </w:pPr>
          </w:p>
        </w:tc>
        <w:tc>
          <w:tcPr>
            <w:tcW w:w="1080" w:type="dxa"/>
            <w:vAlign w:val="bottom"/>
            <w:tcBorders>
              <w:bottom w:val="single" w:sz="8" w:color="112B19"/>
            </w:tcBorders>
          </w:tcPr>
          <w:p>
            <w:pPr>
              <w:spacing w:after="0"/>
              <w:rPr>
                <w:sz w:val="3"/>
                <w:szCs w:val="3"/>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5"/>
          <w:szCs w:val="15"/>
          <w:i w:val="1"/>
          <w:iCs w:val="1"/>
          <w:color w:val="112B19"/>
        </w:rPr>
        <w:t>Long-Term Incentive Compensation</w:t>
      </w:r>
    </w:p>
    <w:p>
      <w:pPr>
        <w:spacing w:after="0" w:line="98" w:lineRule="exact"/>
        <w:rPr>
          <w:sz w:val="20"/>
          <w:szCs w:val="20"/>
          <w:color w:val="auto"/>
        </w:rPr>
      </w:pPr>
    </w:p>
    <w:p>
      <w:pPr>
        <w:ind w:right="40"/>
        <w:spacing w:after="0" w:line="244" w:lineRule="auto"/>
        <w:rPr>
          <w:sz w:val="20"/>
          <w:szCs w:val="20"/>
          <w:color w:val="auto"/>
        </w:rPr>
      </w:pPr>
      <w:r>
        <w:rPr>
          <w:rFonts w:ascii="Arial" w:cs="Arial" w:eastAsia="Arial" w:hAnsi="Arial"/>
          <w:sz w:val="15"/>
          <w:szCs w:val="15"/>
          <w:color w:val="050A35"/>
        </w:rPr>
        <w:t>Our NEOs are each eligible to receive long-term incentive compensation consisting of awards under our 2021 Stock Incentive Plan, and carried interest awards in investment vehicles controlled by the Company. The target long-term incentive compensation payable to each of our NEOs is set forth in their respective employment agreements.</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u w:val="single" w:color="auto"/>
          <w:color w:val="050A35"/>
        </w:rPr>
        <w:t>Equity Incentive Awards.</w:t>
      </w:r>
    </w:p>
    <w:p>
      <w:pPr>
        <w:spacing w:after="0" w:line="98" w:lineRule="exact"/>
        <w:rPr>
          <w:sz w:val="20"/>
          <w:szCs w:val="20"/>
          <w:color w:val="auto"/>
        </w:rPr>
      </w:pPr>
    </w:p>
    <w:p>
      <w:pPr>
        <w:ind w:right="100"/>
        <w:spacing w:after="0" w:line="264" w:lineRule="auto"/>
        <w:rPr>
          <w:sz w:val="20"/>
          <w:szCs w:val="20"/>
          <w:color w:val="auto"/>
        </w:rPr>
      </w:pPr>
      <w:r>
        <w:rPr>
          <w:rFonts w:ascii="Arial" w:cs="Arial" w:eastAsia="Arial" w:hAnsi="Arial"/>
          <w:sz w:val="15"/>
          <w:szCs w:val="15"/>
          <w:color w:val="050A35"/>
        </w:rPr>
        <w:t>We believe that stock ownership shapes behavior and that providing a meaningful portion of an executive officer's compensation in stock-based awards aligns their incentives with stockholder interests in a manner that drives better performance over time.</w:t>
      </w:r>
    </w:p>
    <w:p>
      <w:pPr>
        <w:spacing w:after="0" w:line="53" w:lineRule="exact"/>
        <w:rPr>
          <w:sz w:val="20"/>
          <w:szCs w:val="20"/>
          <w:color w:val="auto"/>
        </w:rPr>
      </w:pPr>
    </w:p>
    <w:p>
      <w:pPr>
        <w:ind w:right="220"/>
        <w:spacing w:after="0" w:line="238" w:lineRule="auto"/>
        <w:rPr>
          <w:sz w:val="20"/>
          <w:szCs w:val="20"/>
          <w:color w:val="auto"/>
        </w:rPr>
      </w:pPr>
      <w:r>
        <w:rPr>
          <w:rFonts w:ascii="Arial" w:cs="Arial" w:eastAsia="Arial" w:hAnsi="Arial"/>
          <w:sz w:val="15"/>
          <w:szCs w:val="15"/>
          <w:color w:val="050A35"/>
        </w:rPr>
        <w:t>Prior to 2025, the Committee utilized a mix of stock options and RSUs as the principal form of equity compensation. During 2025, after considering various factors, including the current prevalence among public company equity compensation programs of RSUs over stock options, the Committee determined to utilize primarily RSUs as the form of equity compensation for the NEOs and other employees generally for 2025 compensation and subsequent years.</w:t>
      </w:r>
    </w:p>
    <w:p>
      <w:pPr>
        <w:spacing w:after="0" w:line="72" w:lineRule="exact"/>
        <w:rPr>
          <w:sz w:val="20"/>
          <w:szCs w:val="20"/>
          <w:color w:val="auto"/>
        </w:rPr>
      </w:pPr>
    </w:p>
    <w:p>
      <w:pPr>
        <w:ind w:right="160"/>
        <w:spacing w:after="0" w:line="232" w:lineRule="auto"/>
        <w:rPr>
          <w:sz w:val="20"/>
          <w:szCs w:val="20"/>
          <w:color w:val="auto"/>
        </w:rPr>
      </w:pPr>
      <w:r>
        <w:rPr>
          <w:rFonts w:ascii="Arial" w:cs="Arial" w:eastAsia="Arial" w:hAnsi="Arial"/>
          <w:sz w:val="15"/>
          <w:szCs w:val="15"/>
          <w:color w:val="050A35"/>
        </w:rPr>
        <w:t>In February 2026, the Committee approved grants of RSUs to our NEOs in respect of Company and individual performance in 2025. The annual long-term equity compensation awards for each NEO were based on the same factors as the annual incentive awards, as well as the Committee's view of market compensation generally, and the dilutive impact of equity awards. The following table sets forth the value of the RSUs granted to our NEOs (based on the closing price of our common stock on the grant date), and the annual target values set forth in their respective employment agreements. The RSUs will vest, for Mr. Sarsfield, ratably on the first, second, third, and fourth anniversaries of the grant date, and for the other NEOs, on the first anniversary of the grant date. Each equity award is subject to accelerated vesting in connection with certain qualifying terminations, as described in the section titled “Potential Payments Upon Termination or Change in Control”.</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40" w:type="dxa"/>
            <w:vAlign w:val="bottom"/>
            <w:tcBorders>
              <w:bottom w:val="single" w:sz="8" w:color="112B19"/>
            </w:tcBorders>
          </w:tcPr>
          <w:p>
            <w:pPr>
              <w:spacing w:after="0"/>
              <w:rPr>
                <w:sz w:val="20"/>
                <w:szCs w:val="20"/>
                <w:color w:val="auto"/>
              </w:rPr>
            </w:pPr>
            <w:r>
              <w:rPr>
                <w:rFonts w:ascii="Arial" w:cs="Arial" w:eastAsia="Arial" w:hAnsi="Arial"/>
                <w:sz w:val="14"/>
                <w:szCs w:val="14"/>
                <w:b w:val="1"/>
                <w:bCs w:val="1"/>
                <w:color w:val="112B19"/>
              </w:rPr>
              <w:t>Name</w:t>
            </w:r>
          </w:p>
        </w:tc>
        <w:tc>
          <w:tcPr>
            <w:tcW w:w="2940" w:type="dxa"/>
            <w:vAlign w:val="bottom"/>
            <w:tcBorders>
              <w:bottom w:val="single" w:sz="8" w:color="112B19"/>
            </w:tcBorders>
          </w:tcPr>
          <w:p>
            <w:pPr>
              <w:spacing w:after="0"/>
              <w:rPr>
                <w:sz w:val="21"/>
                <w:szCs w:val="21"/>
                <w:color w:val="auto"/>
              </w:rPr>
            </w:pPr>
          </w:p>
        </w:tc>
        <w:tc>
          <w:tcPr>
            <w:tcW w:w="1140" w:type="dxa"/>
            <w:vAlign w:val="bottom"/>
            <w:tcBorders>
              <w:bottom w:val="single" w:sz="8" w:color="112B19"/>
            </w:tcBorders>
          </w:tcPr>
          <w:p>
            <w:pPr>
              <w:jc w:val="right"/>
              <w:ind w:right="508"/>
              <w:spacing w:after="0"/>
              <w:rPr>
                <w:sz w:val="20"/>
                <w:szCs w:val="20"/>
                <w:color w:val="auto"/>
              </w:rPr>
            </w:pPr>
            <w:r>
              <w:rPr>
                <w:rFonts w:ascii="Arial" w:cs="Arial" w:eastAsia="Arial" w:hAnsi="Arial"/>
                <w:sz w:val="14"/>
                <w:szCs w:val="14"/>
                <w:b w:val="1"/>
                <w:bCs w:val="1"/>
                <w:color w:val="112B19"/>
              </w:rPr>
              <w:t>RSUs</w:t>
            </w:r>
          </w:p>
        </w:tc>
        <w:tc>
          <w:tcPr>
            <w:tcW w:w="140" w:type="dxa"/>
            <w:vAlign w:val="bottom"/>
            <w:tcBorders>
              <w:bottom w:val="single" w:sz="8" w:color="112B19"/>
            </w:tcBorders>
          </w:tcPr>
          <w:p>
            <w:pPr>
              <w:spacing w:after="0"/>
              <w:rPr>
                <w:sz w:val="21"/>
                <w:szCs w:val="21"/>
                <w:color w:val="auto"/>
              </w:rPr>
            </w:pPr>
          </w:p>
        </w:tc>
        <w:tc>
          <w:tcPr>
            <w:tcW w:w="740" w:type="dxa"/>
            <w:vAlign w:val="bottom"/>
            <w:tcBorders>
              <w:bottom w:val="single" w:sz="8" w:color="112B19"/>
            </w:tcBorders>
          </w:tcPr>
          <w:p>
            <w:pPr>
              <w:jc w:val="right"/>
              <w:ind w:right="184"/>
              <w:spacing w:after="0"/>
              <w:rPr>
                <w:sz w:val="20"/>
                <w:szCs w:val="20"/>
                <w:color w:val="auto"/>
              </w:rPr>
            </w:pPr>
            <w:r>
              <w:rPr>
                <w:rFonts w:ascii="Arial" w:cs="Arial" w:eastAsia="Arial" w:hAnsi="Arial"/>
                <w:sz w:val="14"/>
                <w:szCs w:val="14"/>
                <w:b w:val="1"/>
                <w:bCs w:val="1"/>
                <w:color w:val="112B19"/>
              </w:rPr>
              <w:t>Target</w:t>
            </w:r>
          </w:p>
        </w:tc>
        <w:tc>
          <w:tcPr>
            <w:tcW w:w="0" w:type="dxa"/>
            <w:vAlign w:val="bottom"/>
          </w:tcPr>
          <w:p>
            <w:pPr>
              <w:spacing w:after="0"/>
              <w:rPr>
                <w:sz w:val="1"/>
                <w:szCs w:val="1"/>
                <w:color w:val="auto"/>
              </w:rPr>
            </w:pPr>
          </w:p>
        </w:tc>
      </w:tr>
      <w:tr>
        <w:trPr>
          <w:trHeight w:val="145"/>
        </w:trPr>
        <w:tc>
          <w:tcPr>
            <w:tcW w:w="4440" w:type="dxa"/>
            <w:vAlign w:val="bottom"/>
            <w:vMerge w:val="restart"/>
          </w:tcPr>
          <w:p>
            <w:pPr>
              <w:ind w:left="100"/>
              <w:spacing w:after="0"/>
              <w:rPr>
                <w:sz w:val="20"/>
                <w:szCs w:val="20"/>
                <w:color w:val="auto"/>
              </w:rPr>
            </w:pPr>
            <w:r>
              <w:rPr>
                <w:rFonts w:ascii="Arial" w:cs="Arial" w:eastAsia="Arial" w:hAnsi="Arial"/>
                <w:sz w:val="14"/>
                <w:szCs w:val="14"/>
                <w:color w:val="auto"/>
              </w:rPr>
              <w:t>Luke Sarsfield</w:t>
            </w:r>
          </w:p>
        </w:tc>
        <w:tc>
          <w:tcPr>
            <w:tcW w:w="29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68"/>
              <w:spacing w:after="0"/>
              <w:rPr>
                <w:sz w:val="20"/>
                <w:szCs w:val="20"/>
                <w:color w:val="auto"/>
              </w:rPr>
            </w:pPr>
            <w:r>
              <w:rPr>
                <w:rFonts w:ascii="Arial" w:cs="Arial" w:eastAsia="Arial" w:hAnsi="Arial"/>
                <w:sz w:val="14"/>
                <w:szCs w:val="14"/>
                <w:color w:val="auto"/>
              </w:rPr>
              <w:t>1,500,000</w:t>
            </w:r>
          </w:p>
        </w:tc>
        <w:tc>
          <w:tcPr>
            <w:tcW w:w="140" w:type="dxa"/>
            <w:vAlign w:val="bottom"/>
          </w:tcPr>
          <w:p>
            <w:pPr>
              <w:spacing w:after="0"/>
              <w:rPr>
                <w:sz w:val="12"/>
                <w:szCs w:val="12"/>
                <w:color w:val="auto"/>
              </w:rPr>
            </w:pPr>
          </w:p>
        </w:tc>
        <w:tc>
          <w:tcPr>
            <w:tcW w:w="740" w:type="dxa"/>
            <w:vAlign w:val="bottom"/>
          </w:tcPr>
          <w:p>
            <w:pPr>
              <w:jc w:val="right"/>
              <w:ind w:right="24"/>
              <w:spacing w:after="0" w:line="145" w:lineRule="exact"/>
              <w:rPr>
                <w:sz w:val="20"/>
                <w:szCs w:val="20"/>
                <w:color w:val="auto"/>
              </w:rPr>
            </w:pPr>
            <w:r>
              <w:rPr>
                <w:rFonts w:ascii="Arial" w:cs="Arial" w:eastAsia="Arial" w:hAnsi="Arial"/>
                <w:sz w:val="15"/>
                <w:szCs w:val="15"/>
                <w:color w:val="auto"/>
              </w:rPr>
              <w:t>1,500,00</w:t>
            </w:r>
          </w:p>
        </w:tc>
        <w:tc>
          <w:tcPr>
            <w:tcW w:w="0" w:type="dxa"/>
            <w:vAlign w:val="bottom"/>
          </w:tcPr>
          <w:p>
            <w:pPr>
              <w:spacing w:after="0"/>
              <w:rPr>
                <w:sz w:val="1"/>
                <w:szCs w:val="1"/>
                <w:color w:val="auto"/>
              </w:rPr>
            </w:pPr>
          </w:p>
        </w:tc>
      </w:tr>
      <w:tr>
        <w:trPr>
          <w:trHeight w:val="117"/>
        </w:trPr>
        <w:tc>
          <w:tcPr>
            <w:tcW w:w="4440" w:type="dxa"/>
            <w:vAlign w:val="bottom"/>
            <w:vMerge w:val="continue"/>
          </w:tcPr>
          <w:p>
            <w:pPr>
              <w:spacing w:after="0"/>
              <w:rPr>
                <w:sz w:val="10"/>
                <w:szCs w:val="10"/>
                <w:color w:val="auto"/>
              </w:rPr>
            </w:pPr>
          </w:p>
        </w:tc>
        <w:tc>
          <w:tcPr>
            <w:tcW w:w="29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ind w:right="24"/>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62"/>
        </w:trPr>
        <w:tc>
          <w:tcPr>
            <w:tcW w:w="4440" w:type="dxa"/>
            <w:vAlign w:val="bottom"/>
          </w:tcPr>
          <w:p>
            <w:pPr>
              <w:spacing w:after="0"/>
              <w:rPr>
                <w:sz w:val="5"/>
                <w:szCs w:val="5"/>
                <w:color w:val="auto"/>
              </w:rPr>
            </w:pPr>
          </w:p>
        </w:tc>
        <w:tc>
          <w:tcPr>
            <w:tcW w:w="29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DEDED"/>
          </w:tcPr>
          <w:p>
            <w:pPr>
              <w:ind w:left="100"/>
              <w:spacing w:after="0"/>
              <w:rPr>
                <w:sz w:val="20"/>
                <w:szCs w:val="20"/>
                <w:color w:val="auto"/>
              </w:rPr>
            </w:pPr>
            <w:r>
              <w:rPr>
                <w:rFonts w:ascii="Arial" w:cs="Arial" w:eastAsia="Arial" w:hAnsi="Arial"/>
                <w:sz w:val="14"/>
                <w:szCs w:val="14"/>
                <w:color w:val="auto"/>
              </w:rPr>
              <w:t>Amanda Coussens</w:t>
            </w:r>
          </w:p>
        </w:tc>
        <w:tc>
          <w:tcPr>
            <w:tcW w:w="2940" w:type="dxa"/>
            <w:vAlign w:val="bottom"/>
            <w:shd w:val="clear" w:color="auto" w:fill="EDEDED"/>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DEDED"/>
          </w:tcPr>
          <w:p>
            <w:pPr>
              <w:jc w:val="right"/>
              <w:ind w:right="268"/>
              <w:spacing w:after="0"/>
              <w:rPr>
                <w:sz w:val="20"/>
                <w:szCs w:val="20"/>
                <w:color w:val="auto"/>
              </w:rPr>
            </w:pPr>
            <w:r>
              <w:rPr>
                <w:rFonts w:ascii="Arial" w:cs="Arial" w:eastAsia="Arial" w:hAnsi="Arial"/>
                <w:sz w:val="14"/>
                <w:szCs w:val="14"/>
                <w:color w:val="auto"/>
              </w:rPr>
              <w:t>600,000</w:t>
            </w:r>
          </w:p>
        </w:tc>
        <w:tc>
          <w:tcPr>
            <w:tcW w:w="140" w:type="dxa"/>
            <w:vAlign w:val="bottom"/>
            <w:shd w:val="clear" w:color="auto" w:fill="EDEDED"/>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DEDED"/>
          </w:tcPr>
          <w:p>
            <w:pPr>
              <w:jc w:val="right"/>
              <w:ind w:right="24"/>
              <w:spacing w:after="0"/>
              <w:rPr>
                <w:sz w:val="20"/>
                <w:szCs w:val="20"/>
                <w:color w:val="auto"/>
              </w:rPr>
            </w:pPr>
            <w:r>
              <w:rPr>
                <w:rFonts w:ascii="Arial" w:cs="Arial" w:eastAsia="Arial" w:hAnsi="Arial"/>
                <w:sz w:val="15"/>
                <w:szCs w:val="15"/>
                <w:color w:val="auto"/>
              </w:rPr>
              <w:t>600,000</w:t>
            </w:r>
          </w:p>
        </w:tc>
        <w:tc>
          <w:tcPr>
            <w:tcW w:w="0" w:type="dxa"/>
            <w:vAlign w:val="bottom"/>
          </w:tcPr>
          <w:p>
            <w:pPr>
              <w:spacing w:after="0"/>
              <w:rPr>
                <w:sz w:val="1"/>
                <w:szCs w:val="1"/>
                <w:color w:val="auto"/>
              </w:rPr>
            </w:pPr>
          </w:p>
        </w:tc>
      </w:tr>
      <w:tr>
        <w:trPr>
          <w:trHeight w:val="243"/>
        </w:trPr>
        <w:tc>
          <w:tcPr>
            <w:tcW w:w="4440" w:type="dxa"/>
            <w:vAlign w:val="bottom"/>
          </w:tcPr>
          <w:p>
            <w:pPr>
              <w:ind w:left="100"/>
              <w:spacing w:after="0"/>
              <w:rPr>
                <w:sz w:val="20"/>
                <w:szCs w:val="20"/>
                <w:color w:val="auto"/>
              </w:rPr>
            </w:pPr>
            <w:r>
              <w:rPr>
                <w:rFonts w:ascii="Arial" w:cs="Arial" w:eastAsia="Arial" w:hAnsi="Arial"/>
                <w:sz w:val="14"/>
                <w:szCs w:val="14"/>
                <w:color w:val="auto"/>
              </w:rPr>
              <w:t>Mark Hood</w:t>
            </w:r>
          </w:p>
        </w:tc>
        <w:tc>
          <w:tcPr>
            <w:tcW w:w="2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500,000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500,000</w:t>
            </w:r>
          </w:p>
        </w:tc>
        <w:tc>
          <w:tcPr>
            <w:tcW w:w="0" w:type="dxa"/>
            <w:vAlign w:val="bottom"/>
          </w:tcPr>
          <w:p>
            <w:pPr>
              <w:spacing w:after="0"/>
              <w:rPr>
                <w:sz w:val="1"/>
                <w:szCs w:val="1"/>
                <w:color w:val="auto"/>
              </w:rPr>
            </w:pPr>
          </w:p>
        </w:tc>
      </w:tr>
      <w:tr>
        <w:trPr>
          <w:trHeight w:val="145"/>
        </w:trPr>
        <w:tc>
          <w:tcPr>
            <w:tcW w:w="4440" w:type="dxa"/>
            <w:vAlign w:val="bottom"/>
            <w:vMerge w:val="restart"/>
            <w:shd w:val="clear" w:color="auto" w:fill="EDEDED"/>
          </w:tcPr>
          <w:p>
            <w:pPr>
              <w:ind w:left="100"/>
              <w:spacing w:after="0"/>
              <w:rPr>
                <w:sz w:val="20"/>
                <w:szCs w:val="20"/>
                <w:color w:val="auto"/>
              </w:rPr>
            </w:pPr>
            <w:r>
              <w:rPr>
                <w:rFonts w:ascii="Arial" w:cs="Arial" w:eastAsia="Arial" w:hAnsi="Arial"/>
                <w:sz w:val="14"/>
                <w:szCs w:val="14"/>
                <w:color w:val="auto"/>
              </w:rPr>
              <w:t>Sarita Jairath</w:t>
            </w:r>
          </w:p>
        </w:tc>
        <w:tc>
          <w:tcPr>
            <w:tcW w:w="2940" w:type="dxa"/>
            <w:vAlign w:val="bottom"/>
            <w:vMerge w:val="restart"/>
            <w:shd w:val="clear" w:color="auto" w:fill="EDEDED"/>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EDEDED"/>
          </w:tcPr>
          <w:p>
            <w:pPr>
              <w:jc w:val="right"/>
              <w:ind w:right="268"/>
              <w:spacing w:after="0"/>
              <w:rPr>
                <w:sz w:val="20"/>
                <w:szCs w:val="20"/>
                <w:color w:val="auto"/>
              </w:rPr>
            </w:pPr>
            <w:r>
              <w:rPr>
                <w:rFonts w:ascii="Arial" w:cs="Arial" w:eastAsia="Arial" w:hAnsi="Arial"/>
                <w:sz w:val="14"/>
                <w:szCs w:val="14"/>
                <w:color w:val="auto"/>
              </w:rPr>
              <w:t>1,000,000</w:t>
            </w:r>
          </w:p>
        </w:tc>
        <w:tc>
          <w:tcPr>
            <w:tcW w:w="140" w:type="dxa"/>
            <w:vAlign w:val="bottom"/>
            <w:shd w:val="clear" w:color="auto" w:fill="EDEDED"/>
          </w:tcPr>
          <w:p>
            <w:pPr>
              <w:spacing w:after="0"/>
              <w:rPr>
                <w:sz w:val="12"/>
                <w:szCs w:val="12"/>
                <w:color w:val="auto"/>
              </w:rPr>
            </w:pPr>
          </w:p>
        </w:tc>
        <w:tc>
          <w:tcPr>
            <w:tcW w:w="740" w:type="dxa"/>
            <w:vAlign w:val="bottom"/>
            <w:shd w:val="clear" w:color="auto" w:fill="EDEDED"/>
          </w:tcPr>
          <w:p>
            <w:pPr>
              <w:jc w:val="right"/>
              <w:ind w:right="24"/>
              <w:spacing w:after="0" w:line="145" w:lineRule="exact"/>
              <w:rPr>
                <w:sz w:val="20"/>
                <w:szCs w:val="20"/>
                <w:color w:val="auto"/>
              </w:rPr>
            </w:pPr>
            <w:r>
              <w:rPr>
                <w:rFonts w:ascii="Arial" w:cs="Arial" w:eastAsia="Arial" w:hAnsi="Arial"/>
                <w:sz w:val="15"/>
                <w:szCs w:val="15"/>
                <w:color w:val="auto"/>
              </w:rPr>
              <w:t>1,000,00</w:t>
            </w:r>
          </w:p>
        </w:tc>
        <w:tc>
          <w:tcPr>
            <w:tcW w:w="0" w:type="dxa"/>
            <w:vAlign w:val="bottom"/>
          </w:tcPr>
          <w:p>
            <w:pPr>
              <w:spacing w:after="0"/>
              <w:rPr>
                <w:sz w:val="1"/>
                <w:szCs w:val="1"/>
                <w:color w:val="auto"/>
              </w:rPr>
            </w:pPr>
          </w:p>
        </w:tc>
      </w:tr>
      <w:tr>
        <w:trPr>
          <w:trHeight w:val="117"/>
        </w:trPr>
        <w:tc>
          <w:tcPr>
            <w:tcW w:w="4440" w:type="dxa"/>
            <w:vAlign w:val="bottom"/>
            <w:vMerge w:val="continue"/>
            <w:shd w:val="clear" w:color="auto" w:fill="EDEDED"/>
          </w:tcPr>
          <w:p>
            <w:pPr>
              <w:spacing w:after="0"/>
              <w:rPr>
                <w:sz w:val="10"/>
                <w:szCs w:val="10"/>
                <w:color w:val="auto"/>
              </w:rPr>
            </w:pPr>
          </w:p>
        </w:tc>
        <w:tc>
          <w:tcPr>
            <w:tcW w:w="2940" w:type="dxa"/>
            <w:vAlign w:val="bottom"/>
            <w:vMerge w:val="continue"/>
            <w:shd w:val="clear" w:color="auto" w:fill="EDEDED"/>
          </w:tcPr>
          <w:p>
            <w:pPr>
              <w:spacing w:after="0"/>
              <w:rPr>
                <w:sz w:val="10"/>
                <w:szCs w:val="10"/>
                <w:color w:val="auto"/>
              </w:rPr>
            </w:pPr>
          </w:p>
        </w:tc>
        <w:tc>
          <w:tcPr>
            <w:tcW w:w="1140" w:type="dxa"/>
            <w:vAlign w:val="bottom"/>
            <w:vMerge w:val="continue"/>
            <w:shd w:val="clear" w:color="auto" w:fill="EDEDED"/>
          </w:tcPr>
          <w:p>
            <w:pPr>
              <w:spacing w:after="0"/>
              <w:rPr>
                <w:sz w:val="10"/>
                <w:szCs w:val="10"/>
                <w:color w:val="auto"/>
              </w:rPr>
            </w:pPr>
          </w:p>
        </w:tc>
        <w:tc>
          <w:tcPr>
            <w:tcW w:w="140" w:type="dxa"/>
            <w:vAlign w:val="bottom"/>
            <w:vMerge w:val="restart"/>
            <w:shd w:val="clear" w:color="auto" w:fill="EDEDED"/>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vMerge w:val="restart"/>
            <w:shd w:val="clear" w:color="auto" w:fill="EDEDED"/>
          </w:tcPr>
          <w:p>
            <w:pPr>
              <w:jc w:val="right"/>
              <w:ind w:right="24"/>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62"/>
        </w:trPr>
        <w:tc>
          <w:tcPr>
            <w:tcW w:w="4440" w:type="dxa"/>
            <w:vAlign w:val="bottom"/>
            <w:shd w:val="clear" w:color="auto" w:fill="EDEDED"/>
          </w:tcPr>
          <w:p>
            <w:pPr>
              <w:spacing w:after="0"/>
              <w:rPr>
                <w:sz w:val="5"/>
                <w:szCs w:val="5"/>
                <w:color w:val="auto"/>
              </w:rPr>
            </w:pPr>
          </w:p>
        </w:tc>
        <w:tc>
          <w:tcPr>
            <w:tcW w:w="2940" w:type="dxa"/>
            <w:vAlign w:val="bottom"/>
            <w:shd w:val="clear" w:color="auto" w:fill="EDEDED"/>
          </w:tcPr>
          <w:p>
            <w:pPr>
              <w:spacing w:after="0"/>
              <w:rPr>
                <w:sz w:val="5"/>
                <w:szCs w:val="5"/>
                <w:color w:val="auto"/>
              </w:rPr>
            </w:pPr>
          </w:p>
        </w:tc>
        <w:tc>
          <w:tcPr>
            <w:tcW w:w="1140" w:type="dxa"/>
            <w:vAlign w:val="bottom"/>
            <w:shd w:val="clear" w:color="auto" w:fill="EDEDED"/>
          </w:tcPr>
          <w:p>
            <w:pPr>
              <w:spacing w:after="0"/>
              <w:rPr>
                <w:sz w:val="5"/>
                <w:szCs w:val="5"/>
                <w:color w:val="auto"/>
              </w:rPr>
            </w:pPr>
          </w:p>
        </w:tc>
        <w:tc>
          <w:tcPr>
            <w:tcW w:w="140" w:type="dxa"/>
            <w:vAlign w:val="bottom"/>
            <w:vMerge w:val="continue"/>
            <w:shd w:val="clear" w:color="auto" w:fill="EDEDED"/>
          </w:tcPr>
          <w:p>
            <w:pPr>
              <w:spacing w:after="0"/>
              <w:rPr>
                <w:sz w:val="5"/>
                <w:szCs w:val="5"/>
                <w:color w:val="auto"/>
              </w:rPr>
            </w:pPr>
          </w:p>
        </w:tc>
        <w:tc>
          <w:tcPr>
            <w:tcW w:w="740" w:type="dxa"/>
            <w:vAlign w:val="bottom"/>
            <w:vMerge w:val="continue"/>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112B19"/>
            </w:tcBorders>
          </w:tcPr>
          <w:p>
            <w:pPr>
              <w:ind w:left="100"/>
              <w:spacing w:after="0"/>
              <w:rPr>
                <w:sz w:val="20"/>
                <w:szCs w:val="20"/>
                <w:color w:val="auto"/>
              </w:rPr>
            </w:pPr>
            <w:r>
              <w:rPr>
                <w:rFonts w:ascii="Arial" w:cs="Arial" w:eastAsia="Arial" w:hAnsi="Arial"/>
                <w:sz w:val="14"/>
                <w:szCs w:val="14"/>
                <w:color w:val="auto"/>
              </w:rPr>
              <w:t>Richard J. (Arjay) Jensen</w:t>
            </w:r>
          </w:p>
        </w:tc>
        <w:tc>
          <w:tcPr>
            <w:tcW w:w="2940" w:type="dxa"/>
            <w:vAlign w:val="bottom"/>
            <w:tcBorders>
              <w:bottom w:val="single" w:sz="8" w:color="112B19"/>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112B19"/>
            </w:tcBorders>
          </w:tcPr>
          <w:p>
            <w:pPr>
              <w:jc w:val="right"/>
              <w:ind w:right="268"/>
              <w:spacing w:after="0"/>
              <w:rPr>
                <w:sz w:val="20"/>
                <w:szCs w:val="20"/>
                <w:color w:val="auto"/>
              </w:rPr>
            </w:pPr>
            <w:r>
              <w:rPr>
                <w:rFonts w:ascii="Arial" w:cs="Arial" w:eastAsia="Arial" w:hAnsi="Arial"/>
                <w:sz w:val="14"/>
                <w:szCs w:val="14"/>
                <w:color w:val="auto"/>
              </w:rPr>
              <w:t>600,000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600,000</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right="240"/>
        <w:spacing w:after="0" w:line="244" w:lineRule="auto"/>
        <w:rPr>
          <w:sz w:val="20"/>
          <w:szCs w:val="20"/>
          <w:color w:val="auto"/>
        </w:rPr>
      </w:pPr>
      <w:r>
        <w:rPr>
          <w:rFonts w:ascii="Arial" w:cs="Arial" w:eastAsia="Arial" w:hAnsi="Arial"/>
          <w:sz w:val="15"/>
          <w:szCs w:val="15"/>
          <w:color w:val="050A35"/>
        </w:rPr>
        <w:t>While the RSU awards granted to our NEOs in February 2026 related to performance in 2025, in accordance with SEC disclosure rules, the grant date values of these awards have not been included in the “Summary Compensation Table for 2025” or the “Grants of Plan Based Awards in 2025” in this proxy statement; we expect to include them in the respective tables in our proxy statement filed in 2027.</w:t>
      </w:r>
    </w:p>
    <w:p>
      <w:pPr>
        <w:spacing w:after="0" w:line="68"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050A35"/>
        </w:rPr>
        <w:t>We have adopted a dividend equivalent bonus program which provides that holders of RSUs that do not by their terms provide for dividend equivalent rights are eligible to receive a cash bonus in an amount equal to the dividends that are paid on the shares of our common stock underlying the outstanding RSUs, whether or not vested. Payment of this cash bonus is made on or after the date on which a dividend is paid to holders of our Class A common stock, provided that the recipient remains in employment or other service on the date of payment.</w:t>
      </w:r>
    </w:p>
    <w:p>
      <w:pPr>
        <w:spacing w:after="0" w:line="175" w:lineRule="exact"/>
        <w:rPr>
          <w:sz w:val="20"/>
          <w:szCs w:val="20"/>
          <w:color w:val="auto"/>
        </w:rPr>
      </w:pPr>
    </w:p>
    <w:p>
      <w:pPr>
        <w:ind w:left="480" w:hanging="474"/>
        <w:spacing w:after="0"/>
        <w:tabs>
          <w:tab w:leader="none" w:pos="480" w:val="left"/>
        </w:tabs>
        <w:numPr>
          <w:ilvl w:val="0"/>
          <w:numId w:val="37"/>
        </w:numPr>
        <w:rPr>
          <w:rFonts w:ascii="Arial" w:cs="Arial" w:eastAsia="Arial" w:hAnsi="Arial"/>
          <w:sz w:val="14"/>
          <w:szCs w:val="14"/>
          <w:b w:val="1"/>
          <w:bCs w:val="1"/>
          <w:color w:val="050A35"/>
        </w:rPr>
      </w:pPr>
      <w:r>
        <w:rPr>
          <w:rFonts w:ascii="Arial" w:cs="Arial" w:eastAsia="Arial" w:hAnsi="Arial"/>
          <w:sz w:val="14"/>
          <w:szCs w:val="14"/>
          <w:color w:val="050A35"/>
        </w:rPr>
        <w:t>RIDGEPOST CAPITAL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473710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775" w:right="1259" w:bottom="1440" w:gutter="0" w:footer="0" w:header="0"/>
        </w:sectPr>
      </w:pPr>
    </w:p>
    <w:bookmarkStart w:id="22" w:name="page23"/>
    <w:bookmarkEnd w:id="22"/>
    <w:p>
      <w:pPr>
        <w:jc w:val="right"/>
        <w:ind w:right="660"/>
        <w:spacing w:after="0"/>
        <w:rPr>
          <w:sz w:val="20"/>
          <w:szCs w:val="20"/>
          <w:color w:val="auto"/>
        </w:rPr>
      </w:pPr>
      <w:r>
        <w:rPr>
          <w:rFonts w:ascii="Arial" w:cs="Arial" w:eastAsia="Arial" w:hAnsi="Arial"/>
          <w:sz w:val="13"/>
          <w:szCs w:val="13"/>
          <w:color w:val="050A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9" w:lineRule="exact"/>
        <w:rPr>
          <w:sz w:val="20"/>
          <w:szCs w:val="20"/>
          <w:color w:val="auto"/>
        </w:rPr>
      </w:pPr>
    </w:p>
    <w:p>
      <w:pPr>
        <w:ind w:left="660"/>
        <w:spacing w:after="0"/>
        <w:rPr>
          <w:sz w:val="20"/>
          <w:szCs w:val="20"/>
          <w:color w:val="auto"/>
        </w:rPr>
      </w:pPr>
      <w:r>
        <w:rPr>
          <w:rFonts w:ascii="Arial" w:cs="Arial" w:eastAsia="Arial" w:hAnsi="Arial"/>
          <w:sz w:val="15"/>
          <w:szCs w:val="15"/>
          <w:u w:val="single" w:color="auto"/>
          <w:color w:val="050A35"/>
        </w:rPr>
        <w:t>Carried Interest Awards.</w:t>
      </w:r>
    </w:p>
    <w:p>
      <w:pPr>
        <w:spacing w:after="0" w:line="98" w:lineRule="exact"/>
        <w:rPr>
          <w:sz w:val="20"/>
          <w:szCs w:val="20"/>
          <w:color w:val="auto"/>
        </w:rPr>
      </w:pPr>
    </w:p>
    <w:p>
      <w:pPr>
        <w:ind w:left="660" w:right="660"/>
        <w:spacing w:after="0"/>
        <w:rPr>
          <w:sz w:val="20"/>
          <w:szCs w:val="20"/>
          <w:color w:val="auto"/>
        </w:rPr>
      </w:pPr>
      <w:r>
        <w:rPr>
          <w:rFonts w:ascii="Arial" w:cs="Arial" w:eastAsia="Arial" w:hAnsi="Arial"/>
          <w:sz w:val="15"/>
          <w:szCs w:val="15"/>
          <w:color w:val="050A35"/>
        </w:rPr>
        <w:t>The Company and/or certain executives and employees receive an allocation of performance-based fees, commonly referred to as “carried interest,” from limited partners in certain investment funds and separately managed accounts for which certain of our affiliates act as investment adviser and/or general partner or managing member. The carried interest may be allocated to certain employees from time to time, including our NEOs, as a form of long-term incentive compensation, fostering alignment of interest with our clients and investors, which contributes to our overall company performance and growth. Carried interest awards held by our NEOs may be subject to a range of vesting conditions, including continued employment (generally, over 4 years), thus serving as an important employment retention mechanism, and may include forfeiture upon occurrence of certain specified events post-termination, thus serving as a mechanism to enforce post-employment restrictive covenants. Each carried interest award is subject to accelerated vesting upon retirement and in connection with certain qualifying terminations, as described in the section titled “Potential Payments Upon Termination or Change in Control”.</w:t>
      </w:r>
    </w:p>
    <w:p>
      <w:pPr>
        <w:spacing w:after="0" w:line="176" w:lineRule="exact"/>
        <w:rPr>
          <w:sz w:val="20"/>
          <w:szCs w:val="20"/>
          <w:color w:val="auto"/>
        </w:rPr>
      </w:pPr>
    </w:p>
    <w:p>
      <w:pPr>
        <w:ind w:left="660" w:right="700"/>
        <w:spacing w:after="0" w:line="236" w:lineRule="auto"/>
        <w:rPr>
          <w:sz w:val="20"/>
          <w:szCs w:val="20"/>
          <w:color w:val="auto"/>
        </w:rPr>
      </w:pPr>
      <w:r>
        <w:rPr>
          <w:rFonts w:ascii="Arial" w:cs="Arial" w:eastAsia="Arial" w:hAnsi="Arial"/>
          <w:sz w:val="15"/>
          <w:szCs w:val="15"/>
          <w:color w:val="050A35"/>
        </w:rPr>
        <w:t>In February 2026, the Committee approved annual carried interest awards to our NEOs in respect of Company and individual performance in 2025. The annual carried interest awards for each NEO were based on the same factors as the annual incentive awards, as well as the Committee’s consideration of the appropriate mix between stock-based and carried interest awards, and the aggregate value of carried interest then available for allocation to the Company’s employees. The following table sets forth the estimated targeted future value of carried interest awarded to each NEO for 2025, and the annual target value set forth in their respective employment agreements.</w:t>
      </w:r>
    </w:p>
    <w:p>
      <w:pPr>
        <w:spacing w:after="0" w:line="78"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60" w:type="dxa"/>
            <w:vAlign w:val="bottom"/>
          </w:tcPr>
          <w:p>
            <w:pPr>
              <w:jc w:val="right"/>
              <w:ind w:right="228"/>
              <w:spacing w:after="0"/>
              <w:rPr>
                <w:sz w:val="20"/>
                <w:szCs w:val="20"/>
                <w:color w:val="auto"/>
              </w:rPr>
            </w:pPr>
            <w:r>
              <w:rPr>
                <w:rFonts w:ascii="Arial" w:cs="Arial" w:eastAsia="Arial" w:hAnsi="Arial"/>
                <w:sz w:val="14"/>
                <w:szCs w:val="14"/>
                <w:b w:val="1"/>
                <w:bCs w:val="1"/>
                <w:color w:val="112B19"/>
              </w:rPr>
              <w:t>Carried Interest</w:t>
            </w: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4020" w:type="dxa"/>
            <w:vAlign w:val="bottom"/>
          </w:tcPr>
          <w:p>
            <w:pPr>
              <w:spacing w:after="0"/>
              <w:rPr>
                <w:sz w:val="14"/>
                <w:szCs w:val="14"/>
                <w:color w:val="auto"/>
              </w:rPr>
            </w:pPr>
          </w:p>
        </w:tc>
        <w:tc>
          <w:tcPr>
            <w:tcW w:w="3760" w:type="dxa"/>
            <w:vAlign w:val="bottom"/>
            <w:gridSpan w:val="2"/>
          </w:tcPr>
          <w:p>
            <w:pPr>
              <w:ind w:left="2320"/>
              <w:spacing w:after="0"/>
              <w:rPr>
                <w:sz w:val="20"/>
                <w:szCs w:val="20"/>
                <w:color w:val="auto"/>
              </w:rPr>
            </w:pPr>
            <w:r>
              <w:rPr>
                <w:rFonts w:ascii="Arial" w:cs="Arial" w:eastAsia="Arial" w:hAnsi="Arial"/>
                <w:sz w:val="14"/>
                <w:szCs w:val="14"/>
                <w:b w:val="1"/>
                <w:bCs w:val="1"/>
                <w:color w:val="112B19"/>
              </w:rPr>
              <w:t>Award (Estimated</w:t>
            </w: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5"/>
        </w:trPr>
        <w:tc>
          <w:tcPr>
            <w:tcW w:w="4020" w:type="dxa"/>
            <w:vAlign w:val="bottom"/>
            <w:tcBorders>
              <w:bottom w:val="single" w:sz="8" w:color="112B19"/>
            </w:tcBorders>
          </w:tcPr>
          <w:p>
            <w:pPr>
              <w:spacing w:after="0"/>
              <w:rPr>
                <w:sz w:val="20"/>
                <w:szCs w:val="20"/>
                <w:color w:val="auto"/>
              </w:rPr>
            </w:pPr>
            <w:r>
              <w:rPr>
                <w:rFonts w:ascii="Arial" w:cs="Arial" w:eastAsia="Arial" w:hAnsi="Arial"/>
                <w:sz w:val="14"/>
                <w:szCs w:val="14"/>
                <w:b w:val="1"/>
                <w:bCs w:val="1"/>
                <w:color w:val="112B19"/>
              </w:rPr>
              <w:t>Name</w:t>
            </w:r>
          </w:p>
        </w:tc>
        <w:tc>
          <w:tcPr>
            <w:tcW w:w="2400" w:type="dxa"/>
            <w:vAlign w:val="bottom"/>
            <w:tcBorders>
              <w:bottom w:val="single" w:sz="8" w:color="112B19"/>
            </w:tcBorders>
          </w:tcPr>
          <w:p>
            <w:pPr>
              <w:spacing w:after="0"/>
              <w:rPr>
                <w:sz w:val="16"/>
                <w:szCs w:val="16"/>
                <w:color w:val="auto"/>
              </w:rPr>
            </w:pPr>
          </w:p>
        </w:tc>
        <w:tc>
          <w:tcPr>
            <w:tcW w:w="1360" w:type="dxa"/>
            <w:vAlign w:val="bottom"/>
            <w:tcBorders>
              <w:bottom w:val="single" w:sz="8" w:color="112B19"/>
            </w:tcBorders>
          </w:tcPr>
          <w:p>
            <w:pPr>
              <w:jc w:val="right"/>
              <w:ind w:right="288"/>
              <w:spacing w:after="0"/>
              <w:rPr>
                <w:sz w:val="20"/>
                <w:szCs w:val="20"/>
                <w:color w:val="auto"/>
              </w:rPr>
            </w:pPr>
            <w:r>
              <w:rPr>
                <w:rFonts w:ascii="Arial" w:cs="Arial" w:eastAsia="Arial" w:hAnsi="Arial"/>
                <w:sz w:val="14"/>
                <w:szCs w:val="14"/>
                <w:b w:val="1"/>
                <w:bCs w:val="1"/>
                <w:color w:val="112B19"/>
              </w:rPr>
              <w:t>Future Value)</w:t>
            </w:r>
          </w:p>
        </w:tc>
        <w:tc>
          <w:tcPr>
            <w:tcW w:w="460" w:type="dxa"/>
            <w:vAlign w:val="bottom"/>
            <w:tcBorders>
              <w:bottom w:val="single" w:sz="8" w:color="112B19"/>
            </w:tcBorders>
          </w:tcPr>
          <w:p>
            <w:pPr>
              <w:spacing w:after="0"/>
              <w:rPr>
                <w:sz w:val="16"/>
                <w:szCs w:val="16"/>
                <w:color w:val="auto"/>
              </w:rPr>
            </w:pPr>
          </w:p>
        </w:tc>
        <w:tc>
          <w:tcPr>
            <w:tcW w:w="1160" w:type="dxa"/>
            <w:vAlign w:val="bottom"/>
            <w:tcBorders>
              <w:bottom w:val="single" w:sz="8" w:color="112B19"/>
            </w:tcBorders>
          </w:tcPr>
          <w:p>
            <w:pPr>
              <w:jc w:val="right"/>
              <w:ind w:right="488"/>
              <w:spacing w:after="0"/>
              <w:rPr>
                <w:sz w:val="20"/>
                <w:szCs w:val="20"/>
                <w:color w:val="auto"/>
              </w:rPr>
            </w:pPr>
            <w:r>
              <w:rPr>
                <w:rFonts w:ascii="Arial" w:cs="Arial" w:eastAsia="Arial" w:hAnsi="Arial"/>
                <w:sz w:val="14"/>
                <w:szCs w:val="14"/>
                <w:b w:val="1"/>
                <w:bCs w:val="1"/>
                <w:color w:val="112B19"/>
              </w:rPr>
              <w:t>Target</w:t>
            </w:r>
          </w:p>
        </w:tc>
      </w:tr>
      <w:tr>
        <w:trPr>
          <w:trHeight w:val="228"/>
        </w:trPr>
        <w:tc>
          <w:tcPr>
            <w:tcW w:w="4020" w:type="dxa"/>
            <w:vAlign w:val="bottom"/>
          </w:tcPr>
          <w:p>
            <w:pPr>
              <w:ind w:left="100"/>
              <w:spacing w:after="0"/>
              <w:rPr>
                <w:sz w:val="20"/>
                <w:szCs w:val="20"/>
                <w:color w:val="auto"/>
              </w:rPr>
            </w:pPr>
            <w:r>
              <w:rPr>
                <w:rFonts w:ascii="Arial" w:cs="Arial" w:eastAsia="Arial" w:hAnsi="Arial"/>
                <w:sz w:val="14"/>
                <w:szCs w:val="14"/>
                <w:color w:val="auto"/>
              </w:rPr>
              <w:t>Luke Sarsfield</w:t>
            </w:r>
          </w:p>
        </w:tc>
        <w:tc>
          <w:tcPr>
            <w:tcW w:w="2400" w:type="dxa"/>
            <w:vAlign w:val="bottom"/>
          </w:tcPr>
          <w:p>
            <w:pPr>
              <w:ind w:left="232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5,700,000</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3,500,000</w:t>
            </w:r>
          </w:p>
        </w:tc>
      </w:tr>
      <w:tr>
        <w:trPr>
          <w:trHeight w:val="35"/>
        </w:trPr>
        <w:tc>
          <w:tcPr>
            <w:tcW w:w="40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402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4"/>
                <w:szCs w:val="14"/>
                <w:color w:val="auto"/>
              </w:rPr>
              <w:t>Amanda Coussens</w:t>
            </w:r>
          </w:p>
        </w:tc>
        <w:tc>
          <w:tcPr>
            <w:tcW w:w="2400" w:type="dxa"/>
            <w:vAlign w:val="bottom"/>
            <w:tcBorders>
              <w:bottom w:val="single" w:sz="8" w:color="EDEDED"/>
            </w:tcBorders>
            <w:shd w:val="clear" w:color="auto" w:fill="EDEDED"/>
          </w:tcPr>
          <w:p>
            <w:pPr>
              <w:ind w:left="232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EDEDED"/>
            </w:tcBorders>
            <w:shd w:val="clear" w:color="auto" w:fill="EDEDED"/>
          </w:tcPr>
          <w:p>
            <w:pPr>
              <w:jc w:val="right"/>
              <w:ind w:right="308"/>
              <w:spacing w:after="0"/>
              <w:rPr>
                <w:sz w:val="20"/>
                <w:szCs w:val="20"/>
                <w:color w:val="auto"/>
              </w:rPr>
            </w:pPr>
            <w:r>
              <w:rPr>
                <w:rFonts w:ascii="Arial" w:cs="Arial" w:eastAsia="Arial" w:hAnsi="Arial"/>
                <w:sz w:val="14"/>
                <w:szCs w:val="14"/>
                <w:color w:val="auto"/>
              </w:rPr>
              <w:t>1,700,000</w:t>
            </w:r>
          </w:p>
        </w:tc>
        <w:tc>
          <w:tcPr>
            <w:tcW w:w="460" w:type="dxa"/>
            <w:vAlign w:val="bottom"/>
            <w:tcBorders>
              <w:bottom w:val="single" w:sz="8" w:color="EDEDED"/>
            </w:tcBorders>
            <w:shd w:val="clear" w:color="auto" w:fill="EDEDED"/>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EDEDED"/>
            </w:tcBorders>
            <w:shd w:val="clear" w:color="auto" w:fill="EDEDED"/>
          </w:tcPr>
          <w:p>
            <w:pPr>
              <w:jc w:val="right"/>
              <w:ind w:right="268"/>
              <w:spacing w:after="0"/>
              <w:rPr>
                <w:sz w:val="20"/>
                <w:szCs w:val="20"/>
                <w:color w:val="auto"/>
              </w:rPr>
            </w:pPr>
            <w:r>
              <w:rPr>
                <w:rFonts w:ascii="Arial" w:cs="Arial" w:eastAsia="Arial" w:hAnsi="Arial"/>
                <w:sz w:val="14"/>
                <w:szCs w:val="14"/>
                <w:color w:val="auto"/>
              </w:rPr>
              <w:t>1,000,000</w:t>
            </w:r>
          </w:p>
        </w:tc>
      </w:tr>
      <w:tr>
        <w:trPr>
          <w:trHeight w:val="235"/>
        </w:trPr>
        <w:tc>
          <w:tcPr>
            <w:tcW w:w="4020" w:type="dxa"/>
            <w:vAlign w:val="bottom"/>
          </w:tcPr>
          <w:p>
            <w:pPr>
              <w:ind w:left="100"/>
              <w:spacing w:after="0"/>
              <w:rPr>
                <w:sz w:val="20"/>
                <w:szCs w:val="20"/>
                <w:color w:val="auto"/>
              </w:rPr>
            </w:pPr>
            <w:r>
              <w:rPr>
                <w:rFonts w:ascii="Arial" w:cs="Arial" w:eastAsia="Arial" w:hAnsi="Arial"/>
                <w:sz w:val="14"/>
                <w:szCs w:val="14"/>
                <w:color w:val="auto"/>
              </w:rPr>
              <w:t>Mark Hood</w:t>
            </w:r>
          </w:p>
        </w:tc>
        <w:tc>
          <w:tcPr>
            <w:tcW w:w="2400" w:type="dxa"/>
            <w:vAlign w:val="bottom"/>
          </w:tcPr>
          <w:p>
            <w:pPr>
              <w:ind w:left="232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1,650,000</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1,000,000</w:t>
            </w:r>
          </w:p>
        </w:tc>
      </w:tr>
      <w:tr>
        <w:trPr>
          <w:trHeight w:val="35"/>
        </w:trPr>
        <w:tc>
          <w:tcPr>
            <w:tcW w:w="40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402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4"/>
                <w:szCs w:val="14"/>
                <w:color w:val="auto"/>
              </w:rPr>
              <w:t>Sarita Jairath</w:t>
            </w:r>
          </w:p>
        </w:tc>
        <w:tc>
          <w:tcPr>
            <w:tcW w:w="2400" w:type="dxa"/>
            <w:vAlign w:val="bottom"/>
            <w:tcBorders>
              <w:bottom w:val="single" w:sz="8" w:color="EDEDED"/>
            </w:tcBorders>
            <w:shd w:val="clear" w:color="auto" w:fill="EDEDED"/>
          </w:tcPr>
          <w:p>
            <w:pPr>
              <w:ind w:left="2320"/>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EDEDED"/>
            </w:tcBorders>
            <w:shd w:val="clear" w:color="auto" w:fill="EDEDED"/>
          </w:tcPr>
          <w:p>
            <w:pPr>
              <w:jc w:val="right"/>
              <w:ind w:right="308"/>
              <w:spacing w:after="0"/>
              <w:rPr>
                <w:sz w:val="20"/>
                <w:szCs w:val="20"/>
                <w:color w:val="auto"/>
              </w:rPr>
            </w:pPr>
            <w:r>
              <w:rPr>
                <w:rFonts w:ascii="Arial" w:cs="Arial" w:eastAsia="Arial" w:hAnsi="Arial"/>
                <w:sz w:val="14"/>
                <w:szCs w:val="14"/>
                <w:color w:val="auto"/>
              </w:rPr>
              <w:t>1,250,000</w:t>
            </w:r>
          </w:p>
        </w:tc>
        <w:tc>
          <w:tcPr>
            <w:tcW w:w="460" w:type="dxa"/>
            <w:vAlign w:val="bottom"/>
            <w:tcBorders>
              <w:bottom w:val="single" w:sz="8" w:color="EDEDED"/>
            </w:tcBorders>
            <w:shd w:val="clear" w:color="auto" w:fill="EDEDED"/>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EDEDED"/>
            </w:tcBorders>
            <w:shd w:val="clear" w:color="auto" w:fill="EDEDED"/>
          </w:tcPr>
          <w:p>
            <w:pPr>
              <w:jc w:val="right"/>
              <w:ind w:right="268"/>
              <w:spacing w:after="0"/>
              <w:rPr>
                <w:sz w:val="20"/>
                <w:szCs w:val="20"/>
                <w:color w:val="auto"/>
              </w:rPr>
            </w:pPr>
            <w:r>
              <w:rPr>
                <w:rFonts w:ascii="Arial" w:cs="Arial" w:eastAsia="Arial" w:hAnsi="Arial"/>
                <w:sz w:val="14"/>
                <w:szCs w:val="14"/>
                <w:color w:val="auto"/>
              </w:rPr>
              <w:t>1,000,000</w:t>
            </w:r>
          </w:p>
        </w:tc>
      </w:tr>
      <w:tr>
        <w:trPr>
          <w:trHeight w:val="235"/>
        </w:trPr>
        <w:tc>
          <w:tcPr>
            <w:tcW w:w="4020" w:type="dxa"/>
            <w:vAlign w:val="bottom"/>
          </w:tcPr>
          <w:p>
            <w:pPr>
              <w:ind w:left="100"/>
              <w:spacing w:after="0"/>
              <w:rPr>
                <w:sz w:val="20"/>
                <w:szCs w:val="20"/>
                <w:color w:val="auto"/>
              </w:rPr>
            </w:pPr>
            <w:r>
              <w:rPr>
                <w:rFonts w:ascii="Arial" w:cs="Arial" w:eastAsia="Arial" w:hAnsi="Arial"/>
                <w:sz w:val="14"/>
                <w:szCs w:val="14"/>
                <w:color w:val="auto"/>
              </w:rPr>
              <w:t>Richard J. (Arjay) Jensen</w:t>
            </w:r>
          </w:p>
        </w:tc>
        <w:tc>
          <w:tcPr>
            <w:tcW w:w="2400" w:type="dxa"/>
            <w:vAlign w:val="bottom"/>
          </w:tcPr>
          <w:p>
            <w:pPr>
              <w:ind w:left="232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1,400,000</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600,000</w:t>
            </w:r>
          </w:p>
        </w:tc>
      </w:tr>
      <w:tr>
        <w:trPr>
          <w:trHeight w:val="35"/>
        </w:trPr>
        <w:tc>
          <w:tcPr>
            <w:tcW w:w="4020" w:type="dxa"/>
            <w:vAlign w:val="bottom"/>
            <w:tcBorders>
              <w:bottom w:val="single" w:sz="8" w:color="112B19"/>
            </w:tcBorders>
          </w:tcPr>
          <w:p>
            <w:pPr>
              <w:spacing w:after="0"/>
              <w:rPr>
                <w:sz w:val="3"/>
                <w:szCs w:val="3"/>
                <w:color w:val="auto"/>
              </w:rPr>
            </w:pPr>
          </w:p>
        </w:tc>
        <w:tc>
          <w:tcPr>
            <w:tcW w:w="2400" w:type="dxa"/>
            <w:vAlign w:val="bottom"/>
            <w:tcBorders>
              <w:bottom w:val="single" w:sz="8" w:color="112B19"/>
            </w:tcBorders>
          </w:tcPr>
          <w:p>
            <w:pPr>
              <w:spacing w:after="0"/>
              <w:rPr>
                <w:sz w:val="3"/>
                <w:szCs w:val="3"/>
                <w:color w:val="auto"/>
              </w:rPr>
            </w:pPr>
          </w:p>
        </w:tc>
        <w:tc>
          <w:tcPr>
            <w:tcW w:w="1360" w:type="dxa"/>
            <w:vAlign w:val="bottom"/>
            <w:tcBorders>
              <w:bottom w:val="single" w:sz="8" w:color="112B19"/>
            </w:tcBorders>
          </w:tcPr>
          <w:p>
            <w:pPr>
              <w:spacing w:after="0"/>
              <w:rPr>
                <w:sz w:val="3"/>
                <w:szCs w:val="3"/>
                <w:color w:val="auto"/>
              </w:rPr>
            </w:pPr>
          </w:p>
        </w:tc>
        <w:tc>
          <w:tcPr>
            <w:tcW w:w="460" w:type="dxa"/>
            <w:vAlign w:val="bottom"/>
            <w:tcBorders>
              <w:bottom w:val="single" w:sz="8" w:color="112B19"/>
            </w:tcBorders>
          </w:tcPr>
          <w:p>
            <w:pPr>
              <w:spacing w:after="0"/>
              <w:rPr>
                <w:sz w:val="3"/>
                <w:szCs w:val="3"/>
                <w:color w:val="auto"/>
              </w:rPr>
            </w:pPr>
          </w:p>
        </w:tc>
        <w:tc>
          <w:tcPr>
            <w:tcW w:w="1160" w:type="dxa"/>
            <w:vAlign w:val="bottom"/>
            <w:tcBorders>
              <w:bottom w:val="single" w:sz="8" w:color="112B19"/>
            </w:tcBorders>
          </w:tcPr>
          <w:p>
            <w:pPr>
              <w:spacing w:after="0"/>
              <w:rPr>
                <w:sz w:val="3"/>
                <w:szCs w:val="3"/>
                <w:color w:val="auto"/>
              </w:rPr>
            </w:pPr>
          </w:p>
        </w:tc>
      </w:tr>
    </w:tbl>
    <w:p>
      <w:pPr>
        <w:spacing w:after="0" w:line="172" w:lineRule="exact"/>
        <w:rPr>
          <w:sz w:val="20"/>
          <w:szCs w:val="20"/>
          <w:color w:val="auto"/>
        </w:rPr>
      </w:pPr>
    </w:p>
    <w:p>
      <w:pPr>
        <w:jc w:val="both"/>
        <w:ind w:left="660" w:right="660"/>
        <w:spacing w:after="0" w:line="264" w:lineRule="auto"/>
        <w:rPr>
          <w:sz w:val="20"/>
          <w:szCs w:val="20"/>
          <w:color w:val="auto"/>
        </w:rPr>
      </w:pPr>
      <w:r>
        <w:rPr>
          <w:rFonts w:ascii="Arial" w:cs="Arial" w:eastAsia="Arial" w:hAnsi="Arial"/>
          <w:sz w:val="15"/>
          <w:szCs w:val="15"/>
          <w:color w:val="050A35"/>
        </w:rPr>
        <w:t>Cash distributions received in 2025, 2024 and 2023 attributable to carried interest awards previously made to our NEOs are reflected in the “All Other Compensation” column of the Summary Compensation Table.</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Other Compensation</w:t>
      </w:r>
    </w:p>
    <w:p>
      <w:pPr>
        <w:spacing w:after="0" w:line="106" w:lineRule="exact"/>
        <w:rPr>
          <w:sz w:val="20"/>
          <w:szCs w:val="20"/>
          <w:color w:val="auto"/>
        </w:rPr>
      </w:pPr>
    </w:p>
    <w:p>
      <w:pPr>
        <w:ind w:left="660" w:right="720"/>
        <w:spacing w:after="0" w:line="236" w:lineRule="auto"/>
        <w:rPr>
          <w:sz w:val="20"/>
          <w:szCs w:val="20"/>
          <w:color w:val="auto"/>
        </w:rPr>
      </w:pPr>
      <w:r>
        <w:rPr>
          <w:rFonts w:ascii="Arial" w:cs="Arial" w:eastAsia="Arial" w:hAnsi="Arial"/>
          <w:sz w:val="15"/>
          <w:szCs w:val="15"/>
          <w:color w:val="050A35"/>
        </w:rPr>
        <w:t>Our NEOs do not participate in any deferred compensation or retirement program other than our 401(k) plan, which is generally open to all employees in the United States. We contribute 3% of compensation, as defined in the 401(k) plan, up to limits set by the Internal Revenue Service (the "IRS"), and employees can contribute a percentage of their eligible earnings, subject to annual contribution limits set by the IRS. Except as reflected in the "All Other Compensation" column of the Summary Compensation Table below, we generally do not offer perquisites or personal benefits to our NEOs that are not otherwise available to all of our employees.</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Accounting and Tax Considerations</w:t>
      </w:r>
    </w:p>
    <w:p>
      <w:pPr>
        <w:spacing w:after="0" w:line="106" w:lineRule="exact"/>
        <w:rPr>
          <w:sz w:val="20"/>
          <w:szCs w:val="20"/>
          <w:color w:val="auto"/>
        </w:rPr>
      </w:pPr>
    </w:p>
    <w:p>
      <w:pPr>
        <w:ind w:left="660" w:right="1220"/>
        <w:spacing w:after="0" w:line="238" w:lineRule="auto"/>
        <w:rPr>
          <w:sz w:val="20"/>
          <w:szCs w:val="20"/>
          <w:color w:val="auto"/>
        </w:rPr>
      </w:pPr>
      <w:r>
        <w:rPr>
          <w:rFonts w:ascii="Arial" w:cs="Arial" w:eastAsia="Arial" w:hAnsi="Arial"/>
          <w:sz w:val="15"/>
          <w:szCs w:val="15"/>
          <w:color w:val="050A35"/>
        </w:rPr>
        <w:t>We consider the tax treatment and accounting implications when making compensation decisions. However, the tax treatment and accounting implications are not the primary basis upon which our compensation decisions are made and are only secondary considerations to ensuring that our compensation decisions further our overall executive compensation philosophy. As a result, the compensation received by our NEOs may not be fully tax deductible or may have adverse accounting consequences.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22"/>
          <w:szCs w:val="22"/>
          <w:color w:val="050A35"/>
        </w:rPr>
        <w:t>Compensation Committee Report</w:t>
      </w:r>
    </w:p>
    <w:p>
      <w:pPr>
        <w:spacing w:after="0" w:line="131" w:lineRule="exact"/>
        <w:rPr>
          <w:sz w:val="20"/>
          <w:szCs w:val="20"/>
          <w:color w:val="auto"/>
        </w:rPr>
      </w:pPr>
    </w:p>
    <w:p>
      <w:pPr>
        <w:ind w:left="660" w:right="760"/>
        <w:spacing w:after="0" w:line="244" w:lineRule="auto"/>
        <w:rPr>
          <w:sz w:val="20"/>
          <w:szCs w:val="20"/>
          <w:color w:val="auto"/>
        </w:rPr>
      </w:pPr>
      <w:r>
        <w:rPr>
          <w:rFonts w:ascii="Arial" w:cs="Arial" w:eastAsia="Arial" w:hAnsi="Arial"/>
          <w:sz w:val="15"/>
          <w:szCs w:val="15"/>
          <w:color w:val="050A35"/>
        </w:rPr>
        <w:t>The Compensation Committee has reviewed the Compensation Discussion and Analysis and discussed it with Company management. In reliance on its review and the discussions referred to above, the Compensation Committee recommended to the Board that the Compensation Discussion and Analysis be included in the Company's 2025 Annual Report on Form 10-K and this proxy statement.</w:t>
      </w:r>
    </w:p>
    <w:p>
      <w:pPr>
        <w:spacing w:after="0" w:line="176" w:lineRule="exact"/>
        <w:rPr>
          <w:sz w:val="20"/>
          <w:szCs w:val="20"/>
          <w:color w:val="auto"/>
        </w:rPr>
      </w:pPr>
    </w:p>
    <w:p>
      <w:pPr>
        <w:ind w:left="4560"/>
        <w:spacing w:after="0"/>
        <w:rPr>
          <w:sz w:val="20"/>
          <w:szCs w:val="20"/>
          <w:color w:val="auto"/>
        </w:rPr>
      </w:pPr>
      <w:r>
        <w:rPr>
          <w:rFonts w:ascii="Arial" w:cs="Arial" w:eastAsia="Arial" w:hAnsi="Arial"/>
          <w:sz w:val="15"/>
          <w:szCs w:val="15"/>
          <w:color w:val="050A35"/>
        </w:rPr>
        <w:t>THE COMPENSATION COMMITTEE</w:t>
      </w:r>
    </w:p>
    <w:p>
      <w:pPr>
        <w:spacing w:after="0" w:line="98" w:lineRule="exact"/>
        <w:rPr>
          <w:sz w:val="20"/>
          <w:szCs w:val="20"/>
          <w:color w:val="auto"/>
        </w:rPr>
      </w:pPr>
    </w:p>
    <w:p>
      <w:pPr>
        <w:ind w:left="4560"/>
        <w:spacing w:after="0"/>
        <w:rPr>
          <w:sz w:val="20"/>
          <w:szCs w:val="20"/>
          <w:color w:val="auto"/>
        </w:rPr>
      </w:pPr>
      <w:r>
        <w:rPr>
          <w:rFonts w:ascii="Arial" w:cs="Arial" w:eastAsia="Arial" w:hAnsi="Arial"/>
          <w:sz w:val="15"/>
          <w:szCs w:val="15"/>
          <w:i w:val="1"/>
          <w:iCs w:val="1"/>
          <w:color w:val="050A35"/>
        </w:rPr>
        <w:t>Tracey Benford, Chair</w:t>
      </w:r>
    </w:p>
    <w:p>
      <w:pPr>
        <w:ind w:left="4560"/>
        <w:spacing w:after="0" w:line="230" w:lineRule="auto"/>
        <w:rPr>
          <w:sz w:val="20"/>
          <w:szCs w:val="20"/>
          <w:color w:val="auto"/>
        </w:rPr>
      </w:pPr>
      <w:r>
        <w:rPr>
          <w:rFonts w:ascii="Arial" w:cs="Arial" w:eastAsia="Arial" w:hAnsi="Arial"/>
          <w:sz w:val="15"/>
          <w:szCs w:val="15"/>
          <w:i w:val="1"/>
          <w:iCs w:val="1"/>
          <w:color w:val="050A35"/>
        </w:rPr>
        <w:t>Travis Barnes</w:t>
      </w:r>
    </w:p>
    <w:p>
      <w:pPr>
        <w:ind w:left="4560"/>
        <w:spacing w:after="0" w:line="225" w:lineRule="auto"/>
        <w:rPr>
          <w:sz w:val="20"/>
          <w:szCs w:val="20"/>
          <w:color w:val="auto"/>
        </w:rPr>
      </w:pPr>
      <w:r>
        <w:rPr>
          <w:rFonts w:ascii="Arial" w:cs="Arial" w:eastAsia="Arial" w:hAnsi="Arial"/>
          <w:sz w:val="15"/>
          <w:szCs w:val="15"/>
          <w:i w:val="1"/>
          <w:iCs w:val="1"/>
          <w:color w:val="050A35"/>
        </w:rPr>
        <w:t>Stephen Blewitt</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15"/>
          <w:szCs w:val="15"/>
          <w:i w:val="1"/>
          <w:iCs w:val="1"/>
          <w:color w:val="050A35"/>
        </w:rPr>
        <w:t>Robert Stewart, Jr.</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40" w:type="dxa"/>
            <w:vAlign w:val="bottom"/>
          </w:tcPr>
          <w:p>
            <w:pPr>
              <w:ind w:left="6560"/>
              <w:spacing w:after="0"/>
              <w:rPr>
                <w:sz w:val="20"/>
                <w:szCs w:val="20"/>
                <w:color w:val="auto"/>
              </w:rPr>
            </w:pPr>
            <w:r>
              <w:rPr>
                <w:rFonts w:ascii="Arial" w:cs="Arial" w:eastAsia="Arial" w:hAnsi="Arial"/>
                <w:sz w:val="14"/>
                <w:szCs w:val="14"/>
                <w:color w:val="050A35"/>
              </w:rPr>
              <w:t>RIDGEPOST CAPITAL | 2026 Proxy Statement</w:t>
            </w:r>
          </w:p>
        </w:tc>
        <w:tc>
          <w:tcPr>
            <w:tcW w:w="980" w:type="dxa"/>
            <w:vAlign w:val="bottom"/>
          </w:tcPr>
          <w:p>
            <w:pPr>
              <w:jc w:val="right"/>
              <w:ind w:right="588"/>
              <w:spacing w:after="0"/>
              <w:rPr>
                <w:sz w:val="20"/>
                <w:szCs w:val="20"/>
                <w:color w:val="auto"/>
              </w:rPr>
            </w:pPr>
            <w:r>
              <w:rPr>
                <w:rFonts w:ascii="Arial" w:cs="Arial" w:eastAsia="Arial" w:hAnsi="Arial"/>
                <w:sz w:val="14"/>
                <w:szCs w:val="14"/>
                <w:b w:val="1"/>
                <w:bCs w:val="1"/>
                <w:color w:val="050A35"/>
              </w:rPr>
              <w:t>19</w:t>
            </w:r>
          </w:p>
        </w:tc>
      </w:tr>
      <w:tr>
        <w:trPr>
          <w:trHeight w:val="738"/>
        </w:trPr>
        <w:tc>
          <w:tcPr>
            <w:tcW w:w="97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sectPr>
      </w:pPr>
    </w:p>
    <w:bookmarkStart w:id="23" w:name="page24"/>
    <w:bookmarkEnd w:id="23"/>
    <w:p>
      <w:pPr>
        <w:spacing w:after="0"/>
        <w:rPr>
          <w:sz w:val="20"/>
          <w:szCs w:val="20"/>
          <w:color w:val="auto"/>
        </w:rPr>
      </w:pPr>
      <w:r>
        <w:rPr>
          <w:rFonts w:ascii="Arial" w:cs="Arial" w:eastAsia="Arial" w:hAnsi="Arial"/>
          <w:sz w:val="13"/>
          <w:szCs w:val="13"/>
          <w:color w:val="050A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9664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050A35"/>
        </w:rPr>
        <w:t>Summary Compensation Table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050A35"/>
        </w:rPr>
        <w:t>The following table sets forth the compensation earned for the periods indicated by our named executive officers.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112B19"/>
              </w:rPr>
              <w:t>Bonus</w:t>
            </w:r>
            <w:r>
              <w:rPr>
                <w:rFonts w:ascii="Arial" w:cs="Arial" w:eastAsia="Arial" w:hAnsi="Arial"/>
                <w:sz w:val="14"/>
                <w:szCs w:val="14"/>
                <w:b w:val="1"/>
                <w:bCs w:val="1"/>
                <w:color w:val="112B19"/>
                <w:vertAlign w:val="superscript"/>
              </w:rPr>
              <w:t>(1)</w:t>
            </w:r>
          </w:p>
        </w:tc>
        <w:tc>
          <w:tcPr>
            <w:tcW w:w="200" w:type="dxa"/>
            <w:vAlign w:val="bottom"/>
          </w:tcPr>
          <w:p>
            <w:pPr>
              <w:spacing w:after="0"/>
              <w:rPr>
                <w:sz w:val="10"/>
                <w:szCs w:val="10"/>
                <w:color w:val="auto"/>
              </w:rPr>
            </w:pPr>
          </w:p>
        </w:tc>
        <w:tc>
          <w:tcPr>
            <w:tcW w:w="760" w:type="dxa"/>
            <w:vAlign w:val="bottom"/>
          </w:tcPr>
          <w:p>
            <w:pPr>
              <w:jc w:val="right"/>
              <w:ind w:right="246"/>
              <w:spacing w:after="0"/>
              <w:rPr>
                <w:sz w:val="20"/>
                <w:szCs w:val="20"/>
                <w:color w:val="auto"/>
              </w:rPr>
            </w:pPr>
            <w:r>
              <w:rPr>
                <w:rFonts w:ascii="Arial" w:cs="Arial" w:eastAsia="Arial" w:hAnsi="Arial"/>
                <w:sz w:val="11"/>
                <w:szCs w:val="11"/>
                <w:b w:val="1"/>
                <w:bCs w:val="1"/>
                <w:color w:val="112B19"/>
              </w:rPr>
              <w:t>Stock</w:t>
            </w:r>
          </w:p>
        </w:tc>
        <w:tc>
          <w:tcPr>
            <w:tcW w:w="220" w:type="dxa"/>
            <w:vAlign w:val="bottom"/>
          </w:tcPr>
          <w:p>
            <w:pPr>
              <w:spacing w:after="0"/>
              <w:rPr>
                <w:sz w:val="10"/>
                <w:szCs w:val="10"/>
                <w:color w:val="auto"/>
              </w:rPr>
            </w:pPr>
          </w:p>
        </w:tc>
        <w:tc>
          <w:tcPr>
            <w:tcW w:w="760" w:type="dxa"/>
            <w:vAlign w:val="bottom"/>
          </w:tcPr>
          <w:p>
            <w:pPr>
              <w:jc w:val="right"/>
              <w:ind w:right="226"/>
              <w:spacing w:after="0"/>
              <w:rPr>
                <w:sz w:val="20"/>
                <w:szCs w:val="20"/>
                <w:color w:val="auto"/>
              </w:rPr>
            </w:pPr>
            <w:r>
              <w:rPr>
                <w:rFonts w:ascii="Arial" w:cs="Arial" w:eastAsia="Arial" w:hAnsi="Arial"/>
                <w:sz w:val="11"/>
                <w:szCs w:val="11"/>
                <w:b w:val="1"/>
                <w:bCs w:val="1"/>
                <w:color w:val="112B19"/>
              </w:rPr>
              <w:t>Option</w:t>
            </w:r>
          </w:p>
        </w:tc>
        <w:tc>
          <w:tcPr>
            <w:tcW w:w="180" w:type="dxa"/>
            <w:vAlign w:val="bottom"/>
          </w:tcPr>
          <w:p>
            <w:pPr>
              <w:spacing w:after="0"/>
              <w:rPr>
                <w:sz w:val="10"/>
                <w:szCs w:val="10"/>
                <w:color w:val="auto"/>
              </w:rPr>
            </w:pPr>
          </w:p>
        </w:tc>
        <w:tc>
          <w:tcPr>
            <w:tcW w:w="980" w:type="dxa"/>
            <w:vAlign w:val="bottom"/>
          </w:tcPr>
          <w:p>
            <w:pPr>
              <w:jc w:val="right"/>
              <w:ind w:right="266"/>
              <w:spacing w:after="0"/>
              <w:rPr>
                <w:sz w:val="20"/>
                <w:szCs w:val="20"/>
                <w:color w:val="auto"/>
              </w:rPr>
            </w:pPr>
            <w:r>
              <w:rPr>
                <w:rFonts w:ascii="Arial" w:cs="Arial" w:eastAsia="Arial" w:hAnsi="Arial"/>
                <w:sz w:val="11"/>
                <w:szCs w:val="11"/>
                <w:b w:val="1"/>
                <w:bCs w:val="1"/>
                <w:color w:val="112B19"/>
              </w:rPr>
              <w:t>All Other</w:t>
            </w: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60" w:type="dxa"/>
            <w:vAlign w:val="bottom"/>
            <w:tcBorders>
              <w:bottom w:val="single" w:sz="8" w:color="112B19"/>
            </w:tcBorders>
          </w:tcPr>
          <w:p>
            <w:pPr>
              <w:spacing w:after="0"/>
              <w:rPr>
                <w:sz w:val="20"/>
                <w:szCs w:val="20"/>
                <w:color w:val="auto"/>
              </w:rPr>
            </w:pPr>
            <w:r>
              <w:rPr>
                <w:rFonts w:ascii="Arial" w:cs="Arial" w:eastAsia="Arial" w:hAnsi="Arial"/>
                <w:sz w:val="11"/>
                <w:szCs w:val="11"/>
                <w:b w:val="1"/>
                <w:bCs w:val="1"/>
                <w:color w:val="112B19"/>
              </w:rPr>
              <w:t>Name and Principal Position</w:t>
            </w:r>
          </w:p>
        </w:tc>
        <w:tc>
          <w:tcPr>
            <w:tcW w:w="560" w:type="dxa"/>
            <w:vAlign w:val="bottom"/>
            <w:tcBorders>
              <w:bottom w:val="single" w:sz="8" w:color="112B19"/>
            </w:tcBorders>
          </w:tcPr>
          <w:p>
            <w:pPr>
              <w:ind w:left="240"/>
              <w:spacing w:after="0"/>
              <w:rPr>
                <w:sz w:val="20"/>
                <w:szCs w:val="20"/>
                <w:color w:val="auto"/>
              </w:rPr>
            </w:pPr>
            <w:r>
              <w:rPr>
                <w:rFonts w:ascii="Arial" w:cs="Arial" w:eastAsia="Arial" w:hAnsi="Arial"/>
                <w:sz w:val="11"/>
                <w:szCs w:val="11"/>
                <w:b w:val="1"/>
                <w:bCs w:val="1"/>
                <w:color w:val="112B19"/>
              </w:rPr>
              <w:t>Year</w:t>
            </w:r>
          </w:p>
        </w:tc>
        <w:tc>
          <w:tcPr>
            <w:tcW w:w="240" w:type="dxa"/>
            <w:vAlign w:val="bottom"/>
            <w:tcBorders>
              <w:bottom w:val="single" w:sz="8" w:color="112B19"/>
            </w:tcBorders>
          </w:tcPr>
          <w:p>
            <w:pPr>
              <w:spacing w:after="0"/>
              <w:rPr>
                <w:sz w:val="12"/>
                <w:szCs w:val="12"/>
                <w:color w:val="auto"/>
              </w:rPr>
            </w:pPr>
          </w:p>
        </w:tc>
        <w:tc>
          <w:tcPr>
            <w:tcW w:w="680" w:type="dxa"/>
            <w:vAlign w:val="bottom"/>
            <w:tcBorders>
              <w:bottom w:val="single" w:sz="8" w:color="112B19"/>
            </w:tcBorders>
          </w:tcPr>
          <w:p>
            <w:pPr>
              <w:jc w:val="right"/>
              <w:ind w:right="206"/>
              <w:spacing w:after="0"/>
              <w:rPr>
                <w:sz w:val="20"/>
                <w:szCs w:val="20"/>
                <w:color w:val="auto"/>
              </w:rPr>
            </w:pPr>
            <w:r>
              <w:rPr>
                <w:rFonts w:ascii="Arial" w:cs="Arial" w:eastAsia="Arial" w:hAnsi="Arial"/>
                <w:sz w:val="11"/>
                <w:szCs w:val="11"/>
                <w:b w:val="1"/>
                <w:bCs w:val="1"/>
                <w:color w:val="112B19"/>
              </w:rPr>
              <w:t>Salary</w:t>
            </w:r>
          </w:p>
        </w:tc>
        <w:tc>
          <w:tcPr>
            <w:tcW w:w="180" w:type="dxa"/>
            <w:vAlign w:val="bottom"/>
            <w:tcBorders>
              <w:bottom w:val="single" w:sz="8" w:color="112B19"/>
            </w:tcBorders>
          </w:tcPr>
          <w:p>
            <w:pPr>
              <w:spacing w:after="0"/>
              <w:rPr>
                <w:sz w:val="12"/>
                <w:szCs w:val="12"/>
                <w:color w:val="auto"/>
              </w:rPr>
            </w:pPr>
          </w:p>
        </w:tc>
        <w:tc>
          <w:tcPr>
            <w:tcW w:w="700" w:type="dxa"/>
            <w:vAlign w:val="bottom"/>
            <w:tcBorders>
              <w:bottom w:val="single" w:sz="8" w:color="112B19"/>
            </w:tcBorders>
            <w:vMerge w:val="continue"/>
          </w:tcPr>
          <w:p>
            <w:pPr>
              <w:spacing w:after="0"/>
              <w:rPr>
                <w:sz w:val="12"/>
                <w:szCs w:val="12"/>
                <w:color w:val="auto"/>
              </w:rPr>
            </w:pPr>
          </w:p>
        </w:tc>
        <w:tc>
          <w:tcPr>
            <w:tcW w:w="200" w:type="dxa"/>
            <w:vAlign w:val="bottom"/>
            <w:tcBorders>
              <w:bottom w:val="single" w:sz="8" w:color="112B19"/>
            </w:tcBorders>
          </w:tcPr>
          <w:p>
            <w:pPr>
              <w:spacing w:after="0"/>
              <w:rPr>
                <w:sz w:val="12"/>
                <w:szCs w:val="12"/>
                <w:color w:val="auto"/>
              </w:rPr>
            </w:pPr>
          </w:p>
        </w:tc>
        <w:tc>
          <w:tcPr>
            <w:tcW w:w="760" w:type="dxa"/>
            <w:vAlign w:val="bottom"/>
            <w:tcBorders>
              <w:bottom w:val="single" w:sz="8" w:color="112B19"/>
            </w:tcBorders>
          </w:tcPr>
          <w:p>
            <w:pPr>
              <w:jc w:val="right"/>
              <w:ind w:right="106"/>
              <w:spacing w:after="0" w:line="149" w:lineRule="exact"/>
              <w:rPr>
                <w:sz w:val="20"/>
                <w:szCs w:val="20"/>
                <w:color w:val="auto"/>
              </w:rPr>
            </w:pPr>
            <w:r>
              <w:rPr>
                <w:rFonts w:ascii="Arial" w:cs="Arial" w:eastAsia="Arial" w:hAnsi="Arial"/>
                <w:sz w:val="11"/>
                <w:szCs w:val="11"/>
                <w:b w:val="1"/>
                <w:bCs w:val="1"/>
                <w:color w:val="112B19"/>
                <w:w w:val="92"/>
              </w:rPr>
              <w:t>Awards</w:t>
            </w:r>
            <w:r>
              <w:rPr>
                <w:rFonts w:ascii="Arial" w:cs="Arial" w:eastAsia="Arial" w:hAnsi="Arial"/>
                <w:sz w:val="14"/>
                <w:szCs w:val="14"/>
                <w:b w:val="1"/>
                <w:bCs w:val="1"/>
                <w:color w:val="112B19"/>
                <w:w w:val="92"/>
                <w:vertAlign w:val="superscript"/>
              </w:rPr>
              <w:t>(1)(2)</w:t>
            </w:r>
          </w:p>
        </w:tc>
        <w:tc>
          <w:tcPr>
            <w:tcW w:w="220" w:type="dxa"/>
            <w:vAlign w:val="bottom"/>
            <w:tcBorders>
              <w:bottom w:val="single" w:sz="8" w:color="112B19"/>
            </w:tcBorders>
          </w:tcPr>
          <w:p>
            <w:pPr>
              <w:spacing w:after="0"/>
              <w:rPr>
                <w:sz w:val="12"/>
                <w:szCs w:val="12"/>
                <w:color w:val="auto"/>
              </w:rPr>
            </w:pPr>
          </w:p>
        </w:tc>
        <w:tc>
          <w:tcPr>
            <w:tcW w:w="760" w:type="dxa"/>
            <w:vAlign w:val="bottom"/>
            <w:tcBorders>
              <w:bottom w:val="single" w:sz="8" w:color="112B19"/>
            </w:tcBorders>
          </w:tcPr>
          <w:p>
            <w:pPr>
              <w:jc w:val="right"/>
              <w:ind w:right="166"/>
              <w:spacing w:after="0" w:line="149" w:lineRule="exact"/>
              <w:rPr>
                <w:sz w:val="20"/>
                <w:szCs w:val="20"/>
                <w:color w:val="auto"/>
              </w:rPr>
            </w:pPr>
            <w:r>
              <w:rPr>
                <w:rFonts w:ascii="Arial" w:cs="Arial" w:eastAsia="Arial" w:hAnsi="Arial"/>
                <w:sz w:val="11"/>
                <w:szCs w:val="11"/>
                <w:b w:val="1"/>
                <w:bCs w:val="1"/>
                <w:color w:val="112B19"/>
              </w:rPr>
              <w:t>Awards</w:t>
            </w:r>
            <w:r>
              <w:rPr>
                <w:rFonts w:ascii="Arial" w:cs="Arial" w:eastAsia="Arial" w:hAnsi="Arial"/>
                <w:sz w:val="14"/>
                <w:szCs w:val="14"/>
                <w:b w:val="1"/>
                <w:bCs w:val="1"/>
                <w:color w:val="112B19"/>
                <w:vertAlign w:val="superscript"/>
              </w:rPr>
              <w:t>(3)</w:t>
            </w:r>
          </w:p>
        </w:tc>
        <w:tc>
          <w:tcPr>
            <w:tcW w:w="180" w:type="dxa"/>
            <w:vAlign w:val="bottom"/>
            <w:tcBorders>
              <w:bottom w:val="single" w:sz="8" w:color="112B19"/>
            </w:tcBorders>
          </w:tcPr>
          <w:p>
            <w:pPr>
              <w:spacing w:after="0"/>
              <w:rPr>
                <w:sz w:val="12"/>
                <w:szCs w:val="12"/>
                <w:color w:val="auto"/>
              </w:rPr>
            </w:pPr>
          </w:p>
        </w:tc>
        <w:tc>
          <w:tcPr>
            <w:tcW w:w="980" w:type="dxa"/>
            <w:vAlign w:val="bottom"/>
            <w:tcBorders>
              <w:bottom w:val="single" w:sz="8" w:color="112B19"/>
            </w:tcBorders>
          </w:tcPr>
          <w:p>
            <w:pPr>
              <w:jc w:val="right"/>
              <w:ind w:right="66"/>
              <w:spacing w:after="0" w:line="149" w:lineRule="exact"/>
              <w:rPr>
                <w:sz w:val="20"/>
                <w:szCs w:val="20"/>
                <w:color w:val="auto"/>
              </w:rPr>
            </w:pPr>
            <w:r>
              <w:rPr>
                <w:rFonts w:ascii="Arial" w:cs="Arial" w:eastAsia="Arial" w:hAnsi="Arial"/>
                <w:sz w:val="11"/>
                <w:szCs w:val="11"/>
                <w:b w:val="1"/>
                <w:bCs w:val="1"/>
                <w:color w:val="112B19"/>
                <w:w w:val="95"/>
              </w:rPr>
              <w:t>Compensation</w:t>
            </w:r>
            <w:r>
              <w:rPr>
                <w:rFonts w:ascii="Arial" w:cs="Arial" w:eastAsia="Arial" w:hAnsi="Arial"/>
                <w:sz w:val="14"/>
                <w:szCs w:val="14"/>
                <w:b w:val="1"/>
                <w:bCs w:val="1"/>
                <w:color w:val="112B19"/>
                <w:w w:val="95"/>
                <w:vertAlign w:val="superscript"/>
              </w:rPr>
              <w:t>(4)</w:t>
            </w:r>
          </w:p>
        </w:tc>
        <w:tc>
          <w:tcPr>
            <w:tcW w:w="320" w:type="dxa"/>
            <w:vAlign w:val="bottom"/>
            <w:tcBorders>
              <w:bottom w:val="single" w:sz="8" w:color="112B19"/>
            </w:tcBorders>
          </w:tcPr>
          <w:p>
            <w:pPr>
              <w:spacing w:after="0"/>
              <w:rPr>
                <w:sz w:val="12"/>
                <w:szCs w:val="12"/>
                <w:color w:val="auto"/>
              </w:rPr>
            </w:pPr>
          </w:p>
        </w:tc>
        <w:tc>
          <w:tcPr>
            <w:tcW w:w="860" w:type="dxa"/>
            <w:vAlign w:val="bottom"/>
            <w:tcBorders>
              <w:bottom w:val="single" w:sz="8" w:color="112B19"/>
            </w:tcBorders>
          </w:tcPr>
          <w:p>
            <w:pPr>
              <w:jc w:val="right"/>
              <w:ind w:right="366"/>
              <w:spacing w:after="0"/>
              <w:rPr>
                <w:sz w:val="20"/>
                <w:szCs w:val="20"/>
                <w:color w:val="auto"/>
              </w:rPr>
            </w:pPr>
            <w:r>
              <w:rPr>
                <w:rFonts w:ascii="Arial" w:cs="Arial" w:eastAsia="Arial" w:hAnsi="Arial"/>
                <w:sz w:val="11"/>
                <w:szCs w:val="11"/>
                <w:b w:val="1"/>
                <w:bCs w:val="1"/>
                <w:color w:val="112B19"/>
              </w:rPr>
              <w:t>Total</w:t>
            </w:r>
          </w:p>
        </w:tc>
        <w:tc>
          <w:tcPr>
            <w:tcW w:w="0" w:type="dxa"/>
            <w:vAlign w:val="bottom"/>
          </w:tcPr>
          <w:p>
            <w:pPr>
              <w:spacing w:after="0"/>
              <w:rPr>
                <w:sz w:val="1"/>
                <w:szCs w:val="1"/>
                <w:color w:val="auto"/>
              </w:rPr>
            </w:pPr>
          </w:p>
        </w:tc>
      </w:tr>
      <w:tr>
        <w:trPr>
          <w:trHeight w:val="203"/>
        </w:trPr>
        <w:tc>
          <w:tcPr>
            <w:tcW w:w="2760" w:type="dxa"/>
            <w:vAlign w:val="bottom"/>
          </w:tcPr>
          <w:p>
            <w:pPr>
              <w:ind w:left="80"/>
              <w:spacing w:after="0"/>
              <w:rPr>
                <w:sz w:val="20"/>
                <w:szCs w:val="20"/>
                <w:color w:val="auto"/>
              </w:rPr>
            </w:pPr>
            <w:r>
              <w:rPr>
                <w:rFonts w:ascii="Arial" w:cs="Arial" w:eastAsia="Arial" w:hAnsi="Arial"/>
                <w:sz w:val="11"/>
                <w:szCs w:val="11"/>
                <w:color w:val="auto"/>
              </w:rPr>
              <w:t>Luke A. Sarsfield III</w:t>
            </w:r>
          </w:p>
        </w:tc>
        <w:tc>
          <w:tcPr>
            <w:tcW w:w="560" w:type="dxa"/>
            <w:vAlign w:val="bottom"/>
          </w:tcPr>
          <w:p>
            <w:pPr>
              <w:ind w:left="240"/>
              <w:spacing w:after="0"/>
              <w:rPr>
                <w:sz w:val="20"/>
                <w:szCs w:val="20"/>
                <w:color w:val="auto"/>
              </w:rPr>
            </w:pPr>
            <w:r>
              <w:rPr>
                <w:rFonts w:ascii="Arial" w:cs="Arial" w:eastAsia="Arial" w:hAnsi="Arial"/>
                <w:sz w:val="11"/>
                <w:szCs w:val="11"/>
                <w:color w:val="auto"/>
              </w:rPr>
              <w:t>2025</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1,000,000</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1,800,000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1,526,175</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467,624</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402,359</w:t>
            </w: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5,196,158</w:t>
            </w:r>
          </w:p>
        </w:tc>
        <w:tc>
          <w:tcPr>
            <w:tcW w:w="0" w:type="dxa"/>
            <w:vAlign w:val="bottom"/>
          </w:tcPr>
          <w:p>
            <w:pPr>
              <w:spacing w:after="0"/>
              <w:rPr>
                <w:sz w:val="1"/>
                <w:szCs w:val="1"/>
                <w:color w:val="auto"/>
              </w:rPr>
            </w:pPr>
          </w:p>
        </w:tc>
      </w:tr>
      <w:tr>
        <w:trPr>
          <w:trHeight w:val="203"/>
        </w:trPr>
        <w:tc>
          <w:tcPr>
            <w:tcW w:w="2760" w:type="dxa"/>
            <w:vAlign w:val="bottom"/>
          </w:tcPr>
          <w:p>
            <w:pPr>
              <w:ind w:left="80"/>
              <w:spacing w:after="0"/>
              <w:rPr>
                <w:sz w:val="20"/>
                <w:szCs w:val="20"/>
                <w:color w:val="auto"/>
              </w:rPr>
            </w:pPr>
            <w:r>
              <w:rPr>
                <w:rFonts w:ascii="Arial" w:cs="Arial" w:eastAsia="Arial" w:hAnsi="Arial"/>
                <w:sz w:val="11"/>
                <w:szCs w:val="11"/>
                <w:color w:val="auto"/>
              </w:rPr>
              <w:t>Chief Executive Officer and Chairman of the Board</w:t>
            </w:r>
          </w:p>
        </w:tc>
        <w:tc>
          <w:tcPr>
            <w:tcW w:w="560" w:type="dxa"/>
            <w:vAlign w:val="bottom"/>
          </w:tcPr>
          <w:p>
            <w:pPr>
              <w:ind w:left="240"/>
              <w:spacing w:after="0"/>
              <w:rPr>
                <w:sz w:val="20"/>
                <w:szCs w:val="20"/>
                <w:color w:val="auto"/>
              </w:rPr>
            </w:pPr>
            <w:r>
              <w:rPr>
                <w:rFonts w:ascii="Arial" w:cs="Arial" w:eastAsia="Arial" w:hAnsi="Arial"/>
                <w:sz w:val="11"/>
                <w:szCs w:val="11"/>
                <w:color w:val="auto"/>
              </w:rPr>
              <w:t>2024</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1,000,000</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2,000,000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30,000</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117,907</w:t>
            </w: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3,147,907</w:t>
            </w:r>
          </w:p>
        </w:tc>
        <w:tc>
          <w:tcPr>
            <w:tcW w:w="0" w:type="dxa"/>
            <w:vAlign w:val="bottom"/>
          </w:tcPr>
          <w:p>
            <w:pPr>
              <w:spacing w:after="0"/>
              <w:rPr>
                <w:sz w:val="1"/>
                <w:szCs w:val="1"/>
                <w:color w:val="auto"/>
              </w:rPr>
            </w:pPr>
          </w:p>
        </w:tc>
      </w:tr>
      <w:tr>
        <w:trPr>
          <w:trHeight w:val="195"/>
        </w:trPr>
        <w:tc>
          <w:tcPr>
            <w:tcW w:w="2760" w:type="dxa"/>
            <w:vAlign w:val="bottom"/>
          </w:tcPr>
          <w:p>
            <w:pPr>
              <w:spacing w:after="0"/>
              <w:rPr>
                <w:sz w:val="17"/>
                <w:szCs w:val="17"/>
                <w:color w:val="auto"/>
              </w:rPr>
            </w:pPr>
          </w:p>
        </w:tc>
        <w:tc>
          <w:tcPr>
            <w:tcW w:w="560" w:type="dxa"/>
            <w:vAlign w:val="bottom"/>
          </w:tcPr>
          <w:p>
            <w:pPr>
              <w:ind w:left="240"/>
              <w:spacing w:after="0"/>
              <w:rPr>
                <w:sz w:val="20"/>
                <w:szCs w:val="20"/>
                <w:color w:val="auto"/>
              </w:rPr>
            </w:pPr>
            <w:r>
              <w:rPr>
                <w:rFonts w:ascii="Arial" w:cs="Arial" w:eastAsia="Arial" w:hAnsi="Arial"/>
                <w:sz w:val="11"/>
                <w:szCs w:val="11"/>
                <w:color w:val="auto"/>
              </w:rPr>
              <w:t>2023</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190,972</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7,000,005</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94,673</w:t>
            </w: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7,285,651</w:t>
            </w:r>
          </w:p>
        </w:tc>
        <w:tc>
          <w:tcPr>
            <w:tcW w:w="0" w:type="dxa"/>
            <w:vAlign w:val="bottom"/>
          </w:tcPr>
          <w:p>
            <w:pPr>
              <w:spacing w:after="0"/>
              <w:rPr>
                <w:sz w:val="1"/>
                <w:szCs w:val="1"/>
                <w:color w:val="auto"/>
              </w:rPr>
            </w:pPr>
          </w:p>
        </w:tc>
      </w:tr>
      <w:tr>
        <w:trPr>
          <w:trHeight w:val="203"/>
        </w:trPr>
        <w:tc>
          <w:tcPr>
            <w:tcW w:w="2760" w:type="dxa"/>
            <w:vAlign w:val="bottom"/>
            <w:shd w:val="clear" w:color="auto" w:fill="EDEDED"/>
          </w:tcPr>
          <w:p>
            <w:pPr>
              <w:ind w:left="80"/>
              <w:spacing w:after="0"/>
              <w:rPr>
                <w:sz w:val="20"/>
                <w:szCs w:val="20"/>
                <w:color w:val="auto"/>
              </w:rPr>
            </w:pPr>
            <w:r>
              <w:rPr>
                <w:rFonts w:ascii="Arial" w:cs="Arial" w:eastAsia="Arial" w:hAnsi="Arial"/>
                <w:sz w:val="11"/>
                <w:szCs w:val="11"/>
                <w:color w:val="auto"/>
              </w:rPr>
              <w:t>Amanda Coussens</w:t>
            </w:r>
          </w:p>
        </w:tc>
        <w:tc>
          <w:tcPr>
            <w:tcW w:w="560" w:type="dxa"/>
            <w:vAlign w:val="bottom"/>
            <w:shd w:val="clear" w:color="auto" w:fill="EDEDED"/>
          </w:tcPr>
          <w:p>
            <w:pPr>
              <w:ind w:left="240"/>
              <w:spacing w:after="0"/>
              <w:rPr>
                <w:sz w:val="20"/>
                <w:szCs w:val="20"/>
                <w:color w:val="auto"/>
              </w:rPr>
            </w:pPr>
            <w:r>
              <w:rPr>
                <w:rFonts w:ascii="Arial" w:cs="Arial" w:eastAsia="Arial" w:hAnsi="Arial"/>
                <w:sz w:val="11"/>
                <w:szCs w:val="11"/>
                <w:color w:val="auto"/>
              </w:rPr>
              <w:t>2025</w:t>
            </w:r>
          </w:p>
        </w:tc>
        <w:tc>
          <w:tcPr>
            <w:tcW w:w="240" w:type="dxa"/>
            <w:vAlign w:val="bottom"/>
            <w:shd w:val="clear" w:color="auto" w:fill="EDEDED"/>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shd w:val="clear" w:color="auto" w:fill="EDEDED"/>
          </w:tcPr>
          <w:p>
            <w:pPr>
              <w:jc w:val="right"/>
              <w:spacing w:after="0"/>
              <w:rPr>
                <w:sz w:val="20"/>
                <w:szCs w:val="20"/>
                <w:color w:val="auto"/>
              </w:rPr>
            </w:pPr>
            <w:r>
              <w:rPr>
                <w:rFonts w:ascii="Arial" w:cs="Arial" w:eastAsia="Arial" w:hAnsi="Arial"/>
                <w:sz w:val="11"/>
                <w:szCs w:val="11"/>
                <w:color w:val="auto"/>
              </w:rPr>
              <w:t>500,000</w:t>
            </w:r>
          </w:p>
        </w:tc>
        <w:tc>
          <w:tcPr>
            <w:tcW w:w="18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400,000</w:t>
            </w:r>
          </w:p>
        </w:tc>
        <w:tc>
          <w:tcPr>
            <w:tcW w:w="20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76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615,012</w:t>
            </w:r>
          </w:p>
        </w:tc>
        <w:tc>
          <w:tcPr>
            <w:tcW w:w="22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shd w:val="clear" w:color="auto" w:fill="EDEDED"/>
          </w:tcPr>
          <w:p>
            <w:pPr>
              <w:jc w:val="right"/>
              <w:ind w:right="26"/>
              <w:spacing w:after="0"/>
              <w:rPr>
                <w:sz w:val="20"/>
                <w:szCs w:val="20"/>
                <w:color w:val="auto"/>
              </w:rPr>
            </w:pPr>
            <w:r>
              <w:rPr>
                <w:rFonts w:ascii="Arial" w:cs="Arial" w:eastAsia="Arial" w:hAnsi="Arial"/>
                <w:sz w:val="11"/>
                <w:szCs w:val="11"/>
                <w:color w:val="auto"/>
              </w:rPr>
              <w:t>93,523</w:t>
            </w:r>
          </w:p>
        </w:tc>
        <w:tc>
          <w:tcPr>
            <w:tcW w:w="18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980" w:type="dxa"/>
            <w:vAlign w:val="bottom"/>
            <w:shd w:val="clear" w:color="auto" w:fill="EDEDED"/>
          </w:tcPr>
          <w:p>
            <w:pPr>
              <w:jc w:val="right"/>
              <w:ind w:right="26"/>
              <w:spacing w:after="0"/>
              <w:rPr>
                <w:sz w:val="20"/>
                <w:szCs w:val="20"/>
                <w:color w:val="auto"/>
              </w:rPr>
            </w:pPr>
            <w:r>
              <w:rPr>
                <w:rFonts w:ascii="Arial" w:cs="Arial" w:eastAsia="Arial" w:hAnsi="Arial"/>
                <w:sz w:val="11"/>
                <w:szCs w:val="11"/>
                <w:color w:val="auto"/>
              </w:rPr>
              <w:t>147,256</w:t>
            </w:r>
          </w:p>
        </w:tc>
        <w:tc>
          <w:tcPr>
            <w:tcW w:w="320" w:type="dxa"/>
            <w:vAlign w:val="bottom"/>
            <w:shd w:val="clear" w:color="auto" w:fill="EDEDED"/>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1,755,791</w:t>
            </w:r>
          </w:p>
        </w:tc>
        <w:tc>
          <w:tcPr>
            <w:tcW w:w="0" w:type="dxa"/>
            <w:vAlign w:val="bottom"/>
          </w:tcPr>
          <w:p>
            <w:pPr>
              <w:spacing w:after="0"/>
              <w:rPr>
                <w:sz w:val="1"/>
                <w:szCs w:val="1"/>
                <w:color w:val="auto"/>
              </w:rPr>
            </w:pPr>
          </w:p>
        </w:tc>
      </w:tr>
      <w:tr>
        <w:trPr>
          <w:trHeight w:val="203"/>
        </w:trPr>
        <w:tc>
          <w:tcPr>
            <w:tcW w:w="2760" w:type="dxa"/>
            <w:vAlign w:val="bottom"/>
            <w:shd w:val="clear" w:color="auto" w:fill="EDEDED"/>
          </w:tcPr>
          <w:p>
            <w:pPr>
              <w:ind w:left="80"/>
              <w:spacing w:after="0"/>
              <w:rPr>
                <w:sz w:val="20"/>
                <w:szCs w:val="20"/>
                <w:color w:val="auto"/>
              </w:rPr>
            </w:pPr>
            <w:r>
              <w:rPr>
                <w:rFonts w:ascii="Arial" w:cs="Arial" w:eastAsia="Arial" w:hAnsi="Arial"/>
                <w:sz w:val="11"/>
                <w:szCs w:val="11"/>
                <w:color w:val="auto"/>
              </w:rPr>
              <w:t>Executive Vice President and Chief Financial Officer</w:t>
            </w:r>
          </w:p>
        </w:tc>
        <w:tc>
          <w:tcPr>
            <w:tcW w:w="560" w:type="dxa"/>
            <w:vAlign w:val="bottom"/>
            <w:shd w:val="clear" w:color="auto" w:fill="EDEDED"/>
          </w:tcPr>
          <w:p>
            <w:pPr>
              <w:ind w:left="240"/>
              <w:spacing w:after="0"/>
              <w:rPr>
                <w:sz w:val="20"/>
                <w:szCs w:val="20"/>
                <w:color w:val="auto"/>
              </w:rPr>
            </w:pPr>
            <w:r>
              <w:rPr>
                <w:rFonts w:ascii="Arial" w:cs="Arial" w:eastAsia="Arial" w:hAnsi="Arial"/>
                <w:sz w:val="11"/>
                <w:szCs w:val="11"/>
                <w:color w:val="auto"/>
              </w:rPr>
              <w:t>2024</w:t>
            </w:r>
          </w:p>
        </w:tc>
        <w:tc>
          <w:tcPr>
            <w:tcW w:w="240" w:type="dxa"/>
            <w:vAlign w:val="bottom"/>
            <w:shd w:val="clear" w:color="auto" w:fill="EDEDED"/>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shd w:val="clear" w:color="auto" w:fill="EDEDED"/>
          </w:tcPr>
          <w:p>
            <w:pPr>
              <w:jc w:val="right"/>
              <w:spacing w:after="0"/>
              <w:rPr>
                <w:sz w:val="20"/>
                <w:szCs w:val="20"/>
                <w:color w:val="auto"/>
              </w:rPr>
            </w:pPr>
            <w:r>
              <w:rPr>
                <w:rFonts w:ascii="Arial" w:cs="Arial" w:eastAsia="Arial" w:hAnsi="Arial"/>
                <w:sz w:val="11"/>
                <w:szCs w:val="11"/>
                <w:color w:val="auto"/>
              </w:rPr>
              <w:t>500,000</w:t>
            </w:r>
          </w:p>
        </w:tc>
        <w:tc>
          <w:tcPr>
            <w:tcW w:w="18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500,000</w:t>
            </w:r>
          </w:p>
        </w:tc>
        <w:tc>
          <w:tcPr>
            <w:tcW w:w="20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76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515,006</w:t>
            </w:r>
          </w:p>
        </w:tc>
        <w:tc>
          <w:tcPr>
            <w:tcW w:w="22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shd w:val="clear" w:color="auto" w:fill="EDEDED"/>
          </w:tcPr>
          <w:p>
            <w:pPr>
              <w:jc w:val="right"/>
              <w:ind w:right="26"/>
              <w:spacing w:after="0"/>
              <w:rPr>
                <w:sz w:val="20"/>
                <w:szCs w:val="20"/>
                <w:color w:val="auto"/>
              </w:rPr>
            </w:pPr>
            <w:r>
              <w:rPr>
                <w:rFonts w:ascii="Arial" w:cs="Arial" w:eastAsia="Arial" w:hAnsi="Arial"/>
                <w:sz w:val="11"/>
                <w:szCs w:val="11"/>
                <w:color w:val="auto"/>
              </w:rPr>
              <w:t>61,484</w:t>
            </w:r>
          </w:p>
        </w:tc>
        <w:tc>
          <w:tcPr>
            <w:tcW w:w="18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980" w:type="dxa"/>
            <w:vAlign w:val="bottom"/>
            <w:shd w:val="clear" w:color="auto" w:fill="EDEDED"/>
          </w:tcPr>
          <w:p>
            <w:pPr>
              <w:jc w:val="right"/>
              <w:ind w:right="26"/>
              <w:spacing w:after="0"/>
              <w:rPr>
                <w:sz w:val="20"/>
                <w:szCs w:val="20"/>
                <w:color w:val="auto"/>
              </w:rPr>
            </w:pPr>
            <w:r>
              <w:rPr>
                <w:rFonts w:ascii="Arial" w:cs="Arial" w:eastAsia="Arial" w:hAnsi="Arial"/>
                <w:sz w:val="11"/>
                <w:szCs w:val="11"/>
                <w:color w:val="auto"/>
              </w:rPr>
              <w:t>195,109</w:t>
            </w:r>
          </w:p>
        </w:tc>
        <w:tc>
          <w:tcPr>
            <w:tcW w:w="320" w:type="dxa"/>
            <w:vAlign w:val="bottom"/>
            <w:shd w:val="clear" w:color="auto" w:fill="EDEDED"/>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1,771,599</w:t>
            </w:r>
          </w:p>
        </w:tc>
        <w:tc>
          <w:tcPr>
            <w:tcW w:w="0" w:type="dxa"/>
            <w:vAlign w:val="bottom"/>
          </w:tcPr>
          <w:p>
            <w:pPr>
              <w:spacing w:after="0"/>
              <w:rPr>
                <w:sz w:val="1"/>
                <w:szCs w:val="1"/>
                <w:color w:val="auto"/>
              </w:rPr>
            </w:pPr>
          </w:p>
        </w:tc>
      </w:tr>
      <w:tr>
        <w:trPr>
          <w:trHeight w:val="203"/>
        </w:trPr>
        <w:tc>
          <w:tcPr>
            <w:tcW w:w="2760" w:type="dxa"/>
            <w:vAlign w:val="bottom"/>
            <w:shd w:val="clear" w:color="auto" w:fill="EDEDED"/>
          </w:tcPr>
          <w:p>
            <w:pPr>
              <w:spacing w:after="0"/>
              <w:rPr>
                <w:sz w:val="17"/>
                <w:szCs w:val="17"/>
                <w:color w:val="auto"/>
              </w:rPr>
            </w:pPr>
          </w:p>
        </w:tc>
        <w:tc>
          <w:tcPr>
            <w:tcW w:w="560" w:type="dxa"/>
            <w:vAlign w:val="bottom"/>
            <w:shd w:val="clear" w:color="auto" w:fill="EDEDED"/>
          </w:tcPr>
          <w:p>
            <w:pPr>
              <w:ind w:left="240"/>
              <w:spacing w:after="0"/>
              <w:rPr>
                <w:sz w:val="20"/>
                <w:szCs w:val="20"/>
                <w:color w:val="auto"/>
              </w:rPr>
            </w:pPr>
            <w:r>
              <w:rPr>
                <w:rFonts w:ascii="Arial" w:cs="Arial" w:eastAsia="Arial" w:hAnsi="Arial"/>
                <w:sz w:val="11"/>
                <w:szCs w:val="11"/>
                <w:color w:val="auto"/>
              </w:rPr>
              <w:t>2023</w:t>
            </w:r>
          </w:p>
        </w:tc>
        <w:tc>
          <w:tcPr>
            <w:tcW w:w="240" w:type="dxa"/>
            <w:vAlign w:val="bottom"/>
            <w:shd w:val="clear" w:color="auto" w:fill="EDEDED"/>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shd w:val="clear" w:color="auto" w:fill="EDEDED"/>
          </w:tcPr>
          <w:p>
            <w:pPr>
              <w:jc w:val="right"/>
              <w:spacing w:after="0"/>
              <w:rPr>
                <w:sz w:val="20"/>
                <w:szCs w:val="20"/>
                <w:color w:val="auto"/>
              </w:rPr>
            </w:pPr>
            <w:r>
              <w:rPr>
                <w:rFonts w:ascii="Arial" w:cs="Arial" w:eastAsia="Arial" w:hAnsi="Arial"/>
                <w:sz w:val="11"/>
                <w:szCs w:val="11"/>
                <w:color w:val="auto"/>
              </w:rPr>
              <w:t>400,000</w:t>
            </w:r>
          </w:p>
        </w:tc>
        <w:tc>
          <w:tcPr>
            <w:tcW w:w="18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167,492</w:t>
            </w:r>
          </w:p>
        </w:tc>
        <w:tc>
          <w:tcPr>
            <w:tcW w:w="20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76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320,526</w:t>
            </w:r>
          </w:p>
        </w:tc>
        <w:tc>
          <w:tcPr>
            <w:tcW w:w="22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shd w:val="clear" w:color="auto" w:fill="EDEDED"/>
          </w:tcPr>
          <w:p>
            <w:pPr>
              <w:jc w:val="right"/>
              <w:ind w:right="26"/>
              <w:spacing w:after="0"/>
              <w:rPr>
                <w:sz w:val="20"/>
                <w:szCs w:val="20"/>
                <w:color w:val="auto"/>
              </w:rPr>
            </w:pPr>
            <w:r>
              <w:rPr>
                <w:rFonts w:ascii="Arial" w:cs="Arial" w:eastAsia="Arial" w:hAnsi="Arial"/>
                <w:sz w:val="11"/>
                <w:szCs w:val="11"/>
                <w:color w:val="auto"/>
              </w:rPr>
              <w:t>236,040</w:t>
            </w:r>
          </w:p>
        </w:tc>
        <w:tc>
          <w:tcPr>
            <w:tcW w:w="18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980" w:type="dxa"/>
            <w:vAlign w:val="bottom"/>
            <w:shd w:val="clear" w:color="auto" w:fill="EDEDED"/>
          </w:tcPr>
          <w:p>
            <w:pPr>
              <w:jc w:val="right"/>
              <w:ind w:right="26"/>
              <w:spacing w:after="0"/>
              <w:rPr>
                <w:sz w:val="20"/>
                <w:szCs w:val="20"/>
                <w:color w:val="auto"/>
              </w:rPr>
            </w:pPr>
            <w:r>
              <w:rPr>
                <w:rFonts w:ascii="Arial" w:cs="Arial" w:eastAsia="Arial" w:hAnsi="Arial"/>
                <w:sz w:val="11"/>
                <w:szCs w:val="11"/>
                <w:color w:val="auto"/>
              </w:rPr>
              <w:t>86,968</w:t>
            </w:r>
          </w:p>
        </w:tc>
        <w:tc>
          <w:tcPr>
            <w:tcW w:w="320" w:type="dxa"/>
            <w:vAlign w:val="bottom"/>
            <w:shd w:val="clear" w:color="auto" w:fill="EDEDED"/>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1,211,026</w:t>
            </w:r>
          </w:p>
        </w:tc>
        <w:tc>
          <w:tcPr>
            <w:tcW w:w="0" w:type="dxa"/>
            <w:vAlign w:val="bottom"/>
          </w:tcPr>
          <w:p>
            <w:pPr>
              <w:spacing w:after="0"/>
              <w:rPr>
                <w:sz w:val="1"/>
                <w:szCs w:val="1"/>
                <w:color w:val="auto"/>
              </w:rPr>
            </w:pPr>
          </w:p>
        </w:tc>
      </w:tr>
      <w:tr>
        <w:trPr>
          <w:trHeight w:val="189"/>
        </w:trPr>
        <w:tc>
          <w:tcPr>
            <w:tcW w:w="2760" w:type="dxa"/>
            <w:vAlign w:val="bottom"/>
          </w:tcPr>
          <w:p>
            <w:pPr>
              <w:ind w:left="80"/>
              <w:spacing w:after="0"/>
              <w:rPr>
                <w:sz w:val="20"/>
                <w:szCs w:val="20"/>
                <w:color w:val="auto"/>
              </w:rPr>
            </w:pPr>
            <w:r>
              <w:rPr>
                <w:rFonts w:ascii="Arial" w:cs="Arial" w:eastAsia="Arial" w:hAnsi="Arial"/>
                <w:sz w:val="11"/>
                <w:szCs w:val="11"/>
                <w:color w:val="auto"/>
              </w:rPr>
              <w:t>Mark Hood</w:t>
            </w:r>
          </w:p>
        </w:tc>
        <w:tc>
          <w:tcPr>
            <w:tcW w:w="560" w:type="dxa"/>
            <w:vAlign w:val="bottom"/>
          </w:tcPr>
          <w:p>
            <w:pPr>
              <w:ind w:left="240"/>
              <w:spacing w:after="0"/>
              <w:rPr>
                <w:sz w:val="20"/>
                <w:szCs w:val="20"/>
                <w:color w:val="auto"/>
              </w:rPr>
            </w:pPr>
            <w:r>
              <w:rPr>
                <w:rFonts w:ascii="Arial" w:cs="Arial" w:eastAsia="Arial" w:hAnsi="Arial"/>
                <w:sz w:val="11"/>
                <w:szCs w:val="11"/>
                <w:color w:val="auto"/>
              </w:rPr>
              <w:t>2025</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500,000</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350,000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615,012</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141,733</w:t>
            </w: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1,606,745</w:t>
            </w:r>
          </w:p>
        </w:tc>
        <w:tc>
          <w:tcPr>
            <w:tcW w:w="0" w:type="dxa"/>
            <w:vAlign w:val="bottom"/>
          </w:tcPr>
          <w:p>
            <w:pPr>
              <w:spacing w:after="0"/>
              <w:rPr>
                <w:sz w:val="1"/>
                <w:szCs w:val="1"/>
                <w:color w:val="auto"/>
              </w:rPr>
            </w:pPr>
          </w:p>
        </w:tc>
      </w:tr>
      <w:tr>
        <w:trPr>
          <w:trHeight w:val="121"/>
        </w:trPr>
        <w:tc>
          <w:tcPr>
            <w:tcW w:w="2760" w:type="dxa"/>
            <w:vAlign w:val="bottom"/>
          </w:tcPr>
          <w:p>
            <w:pPr>
              <w:ind w:left="80"/>
              <w:spacing w:after="0" w:line="122" w:lineRule="exact"/>
              <w:rPr>
                <w:sz w:val="20"/>
                <w:szCs w:val="20"/>
                <w:color w:val="auto"/>
              </w:rPr>
            </w:pPr>
            <w:r>
              <w:rPr>
                <w:rFonts w:ascii="Arial" w:cs="Arial" w:eastAsia="Arial" w:hAnsi="Arial"/>
                <w:sz w:val="11"/>
                <w:szCs w:val="11"/>
                <w:color w:val="auto"/>
              </w:rPr>
              <w:t>Executive Vice President and Chief Administrative</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760" w:type="dxa"/>
            <w:vAlign w:val="bottom"/>
          </w:tcPr>
          <w:p>
            <w:pPr>
              <w:ind w:left="80"/>
              <w:spacing w:after="0"/>
              <w:rPr>
                <w:sz w:val="20"/>
                <w:szCs w:val="20"/>
                <w:color w:val="auto"/>
              </w:rPr>
            </w:pPr>
            <w:r>
              <w:rPr>
                <w:rFonts w:ascii="Arial" w:cs="Arial" w:eastAsia="Arial" w:hAnsi="Arial"/>
                <w:sz w:val="11"/>
                <w:szCs w:val="11"/>
                <w:color w:val="auto"/>
              </w:rPr>
              <w:t>Officer</w:t>
            </w:r>
          </w:p>
        </w:tc>
        <w:tc>
          <w:tcPr>
            <w:tcW w:w="560" w:type="dxa"/>
            <w:vAlign w:val="bottom"/>
          </w:tcPr>
          <w:p>
            <w:pPr>
              <w:ind w:left="240"/>
              <w:spacing w:after="0"/>
              <w:rPr>
                <w:sz w:val="20"/>
                <w:szCs w:val="20"/>
                <w:color w:val="auto"/>
              </w:rPr>
            </w:pPr>
            <w:r>
              <w:rPr>
                <w:rFonts w:ascii="Arial" w:cs="Arial" w:eastAsia="Arial" w:hAnsi="Arial"/>
                <w:sz w:val="11"/>
                <w:szCs w:val="11"/>
                <w:color w:val="auto"/>
              </w:rPr>
              <w:t>2024</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500,000</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500,000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153,709</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107,999</w:t>
            </w: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1,261,708</w:t>
            </w:r>
          </w:p>
        </w:tc>
        <w:tc>
          <w:tcPr>
            <w:tcW w:w="0" w:type="dxa"/>
            <w:vAlign w:val="bottom"/>
          </w:tcPr>
          <w:p>
            <w:pPr>
              <w:spacing w:after="0"/>
              <w:rPr>
                <w:sz w:val="1"/>
                <w:szCs w:val="1"/>
                <w:color w:val="auto"/>
              </w:rPr>
            </w:pPr>
          </w:p>
        </w:tc>
      </w:tr>
      <w:tr>
        <w:trPr>
          <w:trHeight w:val="195"/>
        </w:trPr>
        <w:tc>
          <w:tcPr>
            <w:tcW w:w="2760" w:type="dxa"/>
            <w:vAlign w:val="bottom"/>
          </w:tcPr>
          <w:p>
            <w:pPr>
              <w:spacing w:after="0"/>
              <w:rPr>
                <w:sz w:val="17"/>
                <w:szCs w:val="17"/>
                <w:color w:val="auto"/>
              </w:rPr>
            </w:pPr>
          </w:p>
        </w:tc>
        <w:tc>
          <w:tcPr>
            <w:tcW w:w="560" w:type="dxa"/>
            <w:vAlign w:val="bottom"/>
          </w:tcPr>
          <w:p>
            <w:pPr>
              <w:ind w:left="240"/>
              <w:spacing w:after="0"/>
              <w:rPr>
                <w:sz w:val="20"/>
                <w:szCs w:val="20"/>
                <w:color w:val="auto"/>
              </w:rPr>
            </w:pPr>
            <w:r>
              <w:rPr>
                <w:rFonts w:ascii="Arial" w:cs="Arial" w:eastAsia="Arial" w:hAnsi="Arial"/>
                <w:sz w:val="11"/>
                <w:szCs w:val="11"/>
                <w:color w:val="auto"/>
              </w:rPr>
              <w:t>2023</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300,000</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117,492</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143,745</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136,526</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33,630</w:t>
            </w: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731,393</w:t>
            </w:r>
          </w:p>
        </w:tc>
        <w:tc>
          <w:tcPr>
            <w:tcW w:w="0" w:type="dxa"/>
            <w:vAlign w:val="bottom"/>
          </w:tcPr>
          <w:p>
            <w:pPr>
              <w:spacing w:after="0"/>
              <w:rPr>
                <w:sz w:val="1"/>
                <w:szCs w:val="1"/>
                <w:color w:val="auto"/>
              </w:rPr>
            </w:pPr>
          </w:p>
        </w:tc>
      </w:tr>
      <w:tr>
        <w:trPr>
          <w:trHeight w:val="189"/>
        </w:trPr>
        <w:tc>
          <w:tcPr>
            <w:tcW w:w="2760" w:type="dxa"/>
            <w:vAlign w:val="bottom"/>
            <w:shd w:val="clear" w:color="auto" w:fill="EDEDED"/>
          </w:tcPr>
          <w:p>
            <w:pPr>
              <w:ind w:left="80"/>
              <w:spacing w:after="0"/>
              <w:rPr>
                <w:sz w:val="20"/>
                <w:szCs w:val="20"/>
                <w:color w:val="auto"/>
              </w:rPr>
            </w:pPr>
            <w:r>
              <w:rPr>
                <w:rFonts w:ascii="Arial" w:cs="Arial" w:eastAsia="Arial" w:hAnsi="Arial"/>
                <w:sz w:val="11"/>
                <w:szCs w:val="11"/>
                <w:color w:val="auto"/>
              </w:rPr>
              <w:t>Sarita Jairath</w:t>
            </w:r>
          </w:p>
        </w:tc>
        <w:tc>
          <w:tcPr>
            <w:tcW w:w="560" w:type="dxa"/>
            <w:vAlign w:val="bottom"/>
            <w:shd w:val="clear" w:color="auto" w:fill="EDEDED"/>
          </w:tcPr>
          <w:p>
            <w:pPr>
              <w:ind w:left="240"/>
              <w:spacing w:after="0"/>
              <w:rPr>
                <w:sz w:val="20"/>
                <w:szCs w:val="20"/>
                <w:color w:val="auto"/>
              </w:rPr>
            </w:pPr>
            <w:r>
              <w:rPr>
                <w:rFonts w:ascii="Arial" w:cs="Arial" w:eastAsia="Arial" w:hAnsi="Arial"/>
                <w:sz w:val="11"/>
                <w:szCs w:val="11"/>
                <w:color w:val="auto"/>
              </w:rPr>
              <w:t>2025</w:t>
            </w:r>
          </w:p>
        </w:tc>
        <w:tc>
          <w:tcPr>
            <w:tcW w:w="240" w:type="dxa"/>
            <w:vAlign w:val="bottom"/>
            <w:shd w:val="clear" w:color="auto" w:fill="EDEDED"/>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shd w:val="clear" w:color="auto" w:fill="EDEDED"/>
          </w:tcPr>
          <w:p>
            <w:pPr>
              <w:jc w:val="right"/>
              <w:spacing w:after="0"/>
              <w:rPr>
                <w:sz w:val="20"/>
                <w:szCs w:val="20"/>
                <w:color w:val="auto"/>
              </w:rPr>
            </w:pPr>
            <w:r>
              <w:rPr>
                <w:rFonts w:ascii="Arial" w:cs="Arial" w:eastAsia="Arial" w:hAnsi="Arial"/>
                <w:sz w:val="11"/>
                <w:szCs w:val="11"/>
                <w:color w:val="auto"/>
              </w:rPr>
              <w:t>600,000</w:t>
            </w:r>
          </w:p>
        </w:tc>
        <w:tc>
          <w:tcPr>
            <w:tcW w:w="18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400,000</w:t>
            </w:r>
          </w:p>
        </w:tc>
        <w:tc>
          <w:tcPr>
            <w:tcW w:w="20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76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407,363</w:t>
            </w:r>
          </w:p>
        </w:tc>
        <w:tc>
          <w:tcPr>
            <w:tcW w:w="22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shd w:val="clear" w:color="auto" w:fill="EDEDED"/>
          </w:tcPr>
          <w:p>
            <w:pPr>
              <w:jc w:val="right"/>
              <w:ind w:right="26"/>
              <w:spacing w:after="0"/>
              <w:rPr>
                <w:sz w:val="20"/>
                <w:szCs w:val="20"/>
                <w:color w:val="auto"/>
              </w:rPr>
            </w:pPr>
            <w:r>
              <w:rPr>
                <w:rFonts w:ascii="Arial" w:cs="Arial" w:eastAsia="Arial" w:hAnsi="Arial"/>
                <w:sz w:val="11"/>
                <w:szCs w:val="11"/>
                <w:color w:val="auto"/>
              </w:rPr>
              <w:t>—</w:t>
            </w:r>
          </w:p>
        </w:tc>
        <w:tc>
          <w:tcPr>
            <w:tcW w:w="18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980" w:type="dxa"/>
            <w:vAlign w:val="bottom"/>
            <w:shd w:val="clear" w:color="auto" w:fill="EDEDED"/>
          </w:tcPr>
          <w:p>
            <w:pPr>
              <w:jc w:val="right"/>
              <w:ind w:right="26"/>
              <w:spacing w:after="0"/>
              <w:rPr>
                <w:sz w:val="20"/>
                <w:szCs w:val="20"/>
                <w:color w:val="auto"/>
              </w:rPr>
            </w:pPr>
            <w:r>
              <w:rPr>
                <w:rFonts w:ascii="Arial" w:cs="Arial" w:eastAsia="Arial" w:hAnsi="Arial"/>
                <w:sz w:val="11"/>
                <w:szCs w:val="11"/>
                <w:color w:val="auto"/>
              </w:rPr>
              <w:t>96,686</w:t>
            </w:r>
          </w:p>
        </w:tc>
        <w:tc>
          <w:tcPr>
            <w:tcW w:w="320" w:type="dxa"/>
            <w:vAlign w:val="bottom"/>
            <w:shd w:val="clear" w:color="auto" w:fill="EDEDED"/>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1,504,049</w:t>
            </w:r>
          </w:p>
        </w:tc>
        <w:tc>
          <w:tcPr>
            <w:tcW w:w="0" w:type="dxa"/>
            <w:vAlign w:val="bottom"/>
          </w:tcPr>
          <w:p>
            <w:pPr>
              <w:spacing w:after="0"/>
              <w:rPr>
                <w:sz w:val="1"/>
                <w:szCs w:val="1"/>
                <w:color w:val="auto"/>
              </w:rPr>
            </w:pPr>
          </w:p>
        </w:tc>
      </w:tr>
      <w:tr>
        <w:trPr>
          <w:trHeight w:val="122"/>
        </w:trPr>
        <w:tc>
          <w:tcPr>
            <w:tcW w:w="2760" w:type="dxa"/>
            <w:vAlign w:val="bottom"/>
            <w:shd w:val="clear" w:color="auto" w:fill="EDEDED"/>
          </w:tcPr>
          <w:p>
            <w:pPr>
              <w:ind w:left="80"/>
              <w:spacing w:after="0" w:line="122" w:lineRule="exact"/>
              <w:rPr>
                <w:sz w:val="20"/>
                <w:szCs w:val="20"/>
                <w:color w:val="auto"/>
              </w:rPr>
            </w:pPr>
            <w:r>
              <w:rPr>
                <w:rFonts w:ascii="Arial" w:cs="Arial" w:eastAsia="Arial" w:hAnsi="Arial"/>
                <w:sz w:val="11"/>
                <w:szCs w:val="11"/>
                <w:color w:val="auto"/>
              </w:rPr>
              <w:t>Executive Vice President and Global Head of Client</w:t>
            </w:r>
          </w:p>
        </w:tc>
        <w:tc>
          <w:tcPr>
            <w:tcW w:w="560" w:type="dxa"/>
            <w:vAlign w:val="bottom"/>
            <w:shd w:val="clear" w:color="auto" w:fill="EDEDED"/>
          </w:tcPr>
          <w:p>
            <w:pPr>
              <w:spacing w:after="0"/>
              <w:rPr>
                <w:sz w:val="10"/>
                <w:szCs w:val="10"/>
                <w:color w:val="auto"/>
              </w:rPr>
            </w:pPr>
          </w:p>
        </w:tc>
        <w:tc>
          <w:tcPr>
            <w:tcW w:w="240" w:type="dxa"/>
            <w:vAlign w:val="bottom"/>
            <w:shd w:val="clear" w:color="auto" w:fill="EDEDED"/>
          </w:tcPr>
          <w:p>
            <w:pPr>
              <w:spacing w:after="0"/>
              <w:rPr>
                <w:sz w:val="10"/>
                <w:szCs w:val="10"/>
                <w:color w:val="auto"/>
              </w:rPr>
            </w:pPr>
          </w:p>
        </w:tc>
        <w:tc>
          <w:tcPr>
            <w:tcW w:w="680" w:type="dxa"/>
            <w:vAlign w:val="bottom"/>
            <w:shd w:val="clear" w:color="auto" w:fill="EDEDED"/>
          </w:tcPr>
          <w:p>
            <w:pPr>
              <w:spacing w:after="0"/>
              <w:rPr>
                <w:sz w:val="10"/>
                <w:szCs w:val="10"/>
                <w:color w:val="auto"/>
              </w:rPr>
            </w:pPr>
          </w:p>
        </w:tc>
        <w:tc>
          <w:tcPr>
            <w:tcW w:w="180" w:type="dxa"/>
            <w:vAlign w:val="bottom"/>
            <w:shd w:val="clear" w:color="auto" w:fill="EDEDED"/>
          </w:tcPr>
          <w:p>
            <w:pPr>
              <w:spacing w:after="0"/>
              <w:rPr>
                <w:sz w:val="10"/>
                <w:szCs w:val="10"/>
                <w:color w:val="auto"/>
              </w:rPr>
            </w:pPr>
          </w:p>
        </w:tc>
        <w:tc>
          <w:tcPr>
            <w:tcW w:w="700" w:type="dxa"/>
            <w:vAlign w:val="bottom"/>
            <w:shd w:val="clear" w:color="auto" w:fill="EDEDED"/>
          </w:tcPr>
          <w:p>
            <w:pPr>
              <w:spacing w:after="0"/>
              <w:rPr>
                <w:sz w:val="10"/>
                <w:szCs w:val="10"/>
                <w:color w:val="auto"/>
              </w:rPr>
            </w:pPr>
          </w:p>
        </w:tc>
        <w:tc>
          <w:tcPr>
            <w:tcW w:w="200" w:type="dxa"/>
            <w:vAlign w:val="bottom"/>
            <w:shd w:val="clear" w:color="auto" w:fill="EDEDED"/>
          </w:tcPr>
          <w:p>
            <w:pPr>
              <w:spacing w:after="0"/>
              <w:rPr>
                <w:sz w:val="10"/>
                <w:szCs w:val="10"/>
                <w:color w:val="auto"/>
              </w:rPr>
            </w:pPr>
          </w:p>
        </w:tc>
        <w:tc>
          <w:tcPr>
            <w:tcW w:w="760" w:type="dxa"/>
            <w:vAlign w:val="bottom"/>
            <w:shd w:val="clear" w:color="auto" w:fill="EDEDED"/>
          </w:tcPr>
          <w:p>
            <w:pPr>
              <w:spacing w:after="0"/>
              <w:rPr>
                <w:sz w:val="10"/>
                <w:szCs w:val="10"/>
                <w:color w:val="auto"/>
              </w:rPr>
            </w:pPr>
          </w:p>
        </w:tc>
        <w:tc>
          <w:tcPr>
            <w:tcW w:w="220" w:type="dxa"/>
            <w:vAlign w:val="bottom"/>
            <w:shd w:val="clear" w:color="auto" w:fill="EDEDED"/>
          </w:tcPr>
          <w:p>
            <w:pPr>
              <w:spacing w:after="0"/>
              <w:rPr>
                <w:sz w:val="10"/>
                <w:szCs w:val="10"/>
                <w:color w:val="auto"/>
              </w:rPr>
            </w:pPr>
          </w:p>
        </w:tc>
        <w:tc>
          <w:tcPr>
            <w:tcW w:w="760" w:type="dxa"/>
            <w:vAlign w:val="bottom"/>
            <w:shd w:val="clear" w:color="auto" w:fill="EDEDED"/>
          </w:tcPr>
          <w:p>
            <w:pPr>
              <w:spacing w:after="0"/>
              <w:rPr>
                <w:sz w:val="10"/>
                <w:szCs w:val="10"/>
                <w:color w:val="auto"/>
              </w:rPr>
            </w:pPr>
          </w:p>
        </w:tc>
        <w:tc>
          <w:tcPr>
            <w:tcW w:w="180" w:type="dxa"/>
            <w:vAlign w:val="bottom"/>
            <w:shd w:val="clear" w:color="auto" w:fill="EDEDED"/>
          </w:tcPr>
          <w:p>
            <w:pPr>
              <w:spacing w:after="0"/>
              <w:rPr>
                <w:sz w:val="10"/>
                <w:szCs w:val="10"/>
                <w:color w:val="auto"/>
              </w:rPr>
            </w:pPr>
          </w:p>
        </w:tc>
        <w:tc>
          <w:tcPr>
            <w:tcW w:w="980" w:type="dxa"/>
            <w:vAlign w:val="bottom"/>
            <w:shd w:val="clear" w:color="auto" w:fill="EDEDED"/>
          </w:tcPr>
          <w:p>
            <w:pPr>
              <w:spacing w:after="0"/>
              <w:rPr>
                <w:sz w:val="10"/>
                <w:szCs w:val="10"/>
                <w:color w:val="auto"/>
              </w:rPr>
            </w:pPr>
          </w:p>
        </w:tc>
        <w:tc>
          <w:tcPr>
            <w:tcW w:w="320" w:type="dxa"/>
            <w:vAlign w:val="bottom"/>
            <w:shd w:val="clear" w:color="auto" w:fill="EDEDED"/>
          </w:tcPr>
          <w:p>
            <w:pPr>
              <w:spacing w:after="0"/>
              <w:rPr>
                <w:sz w:val="10"/>
                <w:szCs w:val="10"/>
                <w:color w:val="auto"/>
              </w:rPr>
            </w:pPr>
          </w:p>
        </w:tc>
        <w:tc>
          <w:tcPr>
            <w:tcW w:w="86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EDEDED"/>
          </w:tcPr>
          <w:p>
            <w:pPr>
              <w:ind w:left="80"/>
              <w:spacing w:after="0"/>
              <w:rPr>
                <w:sz w:val="20"/>
                <w:szCs w:val="20"/>
                <w:color w:val="auto"/>
              </w:rPr>
            </w:pPr>
            <w:r>
              <w:rPr>
                <w:rFonts w:ascii="Arial" w:cs="Arial" w:eastAsia="Arial" w:hAnsi="Arial"/>
                <w:sz w:val="11"/>
                <w:szCs w:val="11"/>
                <w:color w:val="auto"/>
              </w:rPr>
              <w:t>Solutions</w:t>
            </w:r>
          </w:p>
        </w:tc>
        <w:tc>
          <w:tcPr>
            <w:tcW w:w="560" w:type="dxa"/>
            <w:vAlign w:val="bottom"/>
            <w:shd w:val="clear" w:color="auto" w:fill="EDEDED"/>
          </w:tcPr>
          <w:p>
            <w:pPr>
              <w:spacing w:after="0"/>
              <w:rPr>
                <w:sz w:val="11"/>
                <w:szCs w:val="11"/>
                <w:color w:val="auto"/>
              </w:rPr>
            </w:pPr>
          </w:p>
        </w:tc>
        <w:tc>
          <w:tcPr>
            <w:tcW w:w="240" w:type="dxa"/>
            <w:vAlign w:val="bottom"/>
            <w:shd w:val="clear" w:color="auto" w:fill="EDEDED"/>
          </w:tcPr>
          <w:p>
            <w:pPr>
              <w:spacing w:after="0"/>
              <w:rPr>
                <w:sz w:val="11"/>
                <w:szCs w:val="11"/>
                <w:color w:val="auto"/>
              </w:rPr>
            </w:pPr>
          </w:p>
        </w:tc>
        <w:tc>
          <w:tcPr>
            <w:tcW w:w="680" w:type="dxa"/>
            <w:vAlign w:val="bottom"/>
            <w:shd w:val="clear" w:color="auto" w:fill="EDEDED"/>
          </w:tcPr>
          <w:p>
            <w:pPr>
              <w:spacing w:after="0"/>
              <w:rPr>
                <w:sz w:val="11"/>
                <w:szCs w:val="11"/>
                <w:color w:val="auto"/>
              </w:rPr>
            </w:pPr>
          </w:p>
        </w:tc>
        <w:tc>
          <w:tcPr>
            <w:tcW w:w="180" w:type="dxa"/>
            <w:vAlign w:val="bottom"/>
            <w:shd w:val="clear" w:color="auto" w:fill="EDEDED"/>
          </w:tcPr>
          <w:p>
            <w:pPr>
              <w:spacing w:after="0"/>
              <w:rPr>
                <w:sz w:val="11"/>
                <w:szCs w:val="11"/>
                <w:color w:val="auto"/>
              </w:rPr>
            </w:pPr>
          </w:p>
        </w:tc>
        <w:tc>
          <w:tcPr>
            <w:tcW w:w="700" w:type="dxa"/>
            <w:vAlign w:val="bottom"/>
            <w:shd w:val="clear" w:color="auto" w:fill="EDEDED"/>
          </w:tcPr>
          <w:p>
            <w:pPr>
              <w:spacing w:after="0"/>
              <w:rPr>
                <w:sz w:val="11"/>
                <w:szCs w:val="11"/>
                <w:color w:val="auto"/>
              </w:rPr>
            </w:pPr>
          </w:p>
        </w:tc>
        <w:tc>
          <w:tcPr>
            <w:tcW w:w="200" w:type="dxa"/>
            <w:vAlign w:val="bottom"/>
            <w:shd w:val="clear" w:color="auto" w:fill="EDEDED"/>
          </w:tcPr>
          <w:p>
            <w:pPr>
              <w:spacing w:after="0"/>
              <w:rPr>
                <w:sz w:val="11"/>
                <w:szCs w:val="11"/>
                <w:color w:val="auto"/>
              </w:rPr>
            </w:pPr>
          </w:p>
        </w:tc>
        <w:tc>
          <w:tcPr>
            <w:tcW w:w="760" w:type="dxa"/>
            <w:vAlign w:val="bottom"/>
            <w:shd w:val="clear" w:color="auto" w:fill="EDEDED"/>
          </w:tcPr>
          <w:p>
            <w:pPr>
              <w:spacing w:after="0"/>
              <w:rPr>
                <w:sz w:val="11"/>
                <w:szCs w:val="11"/>
                <w:color w:val="auto"/>
              </w:rPr>
            </w:pPr>
          </w:p>
        </w:tc>
        <w:tc>
          <w:tcPr>
            <w:tcW w:w="220" w:type="dxa"/>
            <w:vAlign w:val="bottom"/>
            <w:shd w:val="clear" w:color="auto" w:fill="EDEDED"/>
          </w:tcPr>
          <w:p>
            <w:pPr>
              <w:spacing w:after="0"/>
              <w:rPr>
                <w:sz w:val="11"/>
                <w:szCs w:val="11"/>
                <w:color w:val="auto"/>
              </w:rPr>
            </w:pPr>
          </w:p>
        </w:tc>
        <w:tc>
          <w:tcPr>
            <w:tcW w:w="760" w:type="dxa"/>
            <w:vAlign w:val="bottom"/>
            <w:shd w:val="clear" w:color="auto" w:fill="EDEDED"/>
          </w:tcPr>
          <w:p>
            <w:pPr>
              <w:spacing w:after="0"/>
              <w:rPr>
                <w:sz w:val="11"/>
                <w:szCs w:val="11"/>
                <w:color w:val="auto"/>
              </w:rPr>
            </w:pPr>
          </w:p>
        </w:tc>
        <w:tc>
          <w:tcPr>
            <w:tcW w:w="180" w:type="dxa"/>
            <w:vAlign w:val="bottom"/>
            <w:shd w:val="clear" w:color="auto" w:fill="EDEDED"/>
          </w:tcPr>
          <w:p>
            <w:pPr>
              <w:spacing w:after="0"/>
              <w:rPr>
                <w:sz w:val="11"/>
                <w:szCs w:val="11"/>
                <w:color w:val="auto"/>
              </w:rPr>
            </w:pPr>
          </w:p>
        </w:tc>
        <w:tc>
          <w:tcPr>
            <w:tcW w:w="980" w:type="dxa"/>
            <w:vAlign w:val="bottom"/>
            <w:shd w:val="clear" w:color="auto" w:fill="EDEDED"/>
          </w:tcPr>
          <w:p>
            <w:pPr>
              <w:spacing w:after="0"/>
              <w:rPr>
                <w:sz w:val="11"/>
                <w:szCs w:val="11"/>
                <w:color w:val="auto"/>
              </w:rPr>
            </w:pPr>
          </w:p>
        </w:tc>
        <w:tc>
          <w:tcPr>
            <w:tcW w:w="320" w:type="dxa"/>
            <w:vAlign w:val="bottom"/>
            <w:shd w:val="clear" w:color="auto" w:fill="EDEDED"/>
          </w:tcPr>
          <w:p>
            <w:pPr>
              <w:spacing w:after="0"/>
              <w:rPr>
                <w:sz w:val="11"/>
                <w:szCs w:val="11"/>
                <w:color w:val="auto"/>
              </w:rPr>
            </w:pPr>
          </w:p>
        </w:tc>
        <w:tc>
          <w:tcPr>
            <w:tcW w:w="860" w:type="dxa"/>
            <w:vAlign w:val="bottom"/>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760" w:type="dxa"/>
            <w:vAlign w:val="bottom"/>
          </w:tcPr>
          <w:p>
            <w:pPr>
              <w:ind w:left="80"/>
              <w:spacing w:after="0"/>
              <w:rPr>
                <w:sz w:val="20"/>
                <w:szCs w:val="20"/>
                <w:color w:val="auto"/>
              </w:rPr>
            </w:pPr>
            <w:r>
              <w:rPr>
                <w:rFonts w:ascii="Arial" w:cs="Arial" w:eastAsia="Arial" w:hAnsi="Arial"/>
                <w:sz w:val="11"/>
                <w:szCs w:val="11"/>
                <w:color w:val="auto"/>
              </w:rPr>
              <w:t>Richard J. (Arjay) Jensen</w:t>
            </w:r>
          </w:p>
        </w:tc>
        <w:tc>
          <w:tcPr>
            <w:tcW w:w="560" w:type="dxa"/>
            <w:vAlign w:val="bottom"/>
          </w:tcPr>
          <w:p>
            <w:pPr>
              <w:ind w:left="240"/>
              <w:spacing w:after="0"/>
              <w:rPr>
                <w:sz w:val="20"/>
                <w:szCs w:val="20"/>
                <w:color w:val="auto"/>
              </w:rPr>
            </w:pPr>
            <w:r>
              <w:rPr>
                <w:rFonts w:ascii="Arial" w:cs="Arial" w:eastAsia="Arial" w:hAnsi="Arial"/>
                <w:sz w:val="11"/>
                <w:szCs w:val="11"/>
                <w:color w:val="auto"/>
              </w:rPr>
              <w:t>2025</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500,000</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350,000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615,012</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93,523</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154,284</w:t>
            </w: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1,712,819</w:t>
            </w:r>
          </w:p>
        </w:tc>
        <w:tc>
          <w:tcPr>
            <w:tcW w:w="0" w:type="dxa"/>
            <w:vAlign w:val="bottom"/>
          </w:tcPr>
          <w:p>
            <w:pPr>
              <w:spacing w:after="0"/>
              <w:rPr>
                <w:sz w:val="1"/>
                <w:szCs w:val="1"/>
                <w:color w:val="auto"/>
              </w:rPr>
            </w:pPr>
          </w:p>
        </w:tc>
      </w:tr>
      <w:tr>
        <w:trPr>
          <w:trHeight w:val="122"/>
        </w:trPr>
        <w:tc>
          <w:tcPr>
            <w:tcW w:w="2760" w:type="dxa"/>
            <w:vAlign w:val="bottom"/>
          </w:tcPr>
          <w:p>
            <w:pPr>
              <w:ind w:left="80"/>
              <w:spacing w:after="0" w:line="122" w:lineRule="exact"/>
              <w:rPr>
                <w:sz w:val="20"/>
                <w:szCs w:val="20"/>
                <w:color w:val="auto"/>
              </w:rPr>
            </w:pPr>
            <w:r>
              <w:rPr>
                <w:rFonts w:ascii="Arial" w:cs="Arial" w:eastAsia="Arial" w:hAnsi="Arial"/>
                <w:sz w:val="11"/>
                <w:szCs w:val="11"/>
                <w:color w:val="auto"/>
              </w:rPr>
              <w:t>Executive Vice President and Head of Strategy and</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60" w:type="dxa"/>
            <w:vAlign w:val="bottom"/>
            <w:tcBorders>
              <w:bottom w:val="single" w:sz="8" w:color="112B19"/>
            </w:tcBorders>
          </w:tcPr>
          <w:p>
            <w:pPr>
              <w:ind w:left="80"/>
              <w:spacing w:after="0"/>
              <w:rPr>
                <w:sz w:val="20"/>
                <w:szCs w:val="20"/>
                <w:color w:val="auto"/>
              </w:rPr>
            </w:pPr>
            <w:r>
              <w:rPr>
                <w:rFonts w:ascii="Arial" w:cs="Arial" w:eastAsia="Arial" w:hAnsi="Arial"/>
                <w:sz w:val="11"/>
                <w:szCs w:val="11"/>
                <w:color w:val="auto"/>
              </w:rPr>
              <w:t>M&amp;A</w:t>
            </w:r>
          </w:p>
        </w:tc>
        <w:tc>
          <w:tcPr>
            <w:tcW w:w="560" w:type="dxa"/>
            <w:vAlign w:val="bottom"/>
            <w:tcBorders>
              <w:bottom w:val="single" w:sz="8" w:color="112B19"/>
            </w:tcBorders>
          </w:tcPr>
          <w:p>
            <w:pPr>
              <w:spacing w:after="0"/>
              <w:rPr>
                <w:sz w:val="11"/>
                <w:szCs w:val="11"/>
                <w:color w:val="auto"/>
              </w:rPr>
            </w:pPr>
          </w:p>
        </w:tc>
        <w:tc>
          <w:tcPr>
            <w:tcW w:w="240" w:type="dxa"/>
            <w:vAlign w:val="bottom"/>
            <w:tcBorders>
              <w:bottom w:val="single" w:sz="8" w:color="112B19"/>
            </w:tcBorders>
          </w:tcPr>
          <w:p>
            <w:pPr>
              <w:spacing w:after="0"/>
              <w:rPr>
                <w:sz w:val="11"/>
                <w:szCs w:val="11"/>
                <w:color w:val="auto"/>
              </w:rPr>
            </w:pPr>
          </w:p>
        </w:tc>
        <w:tc>
          <w:tcPr>
            <w:tcW w:w="680" w:type="dxa"/>
            <w:vAlign w:val="bottom"/>
            <w:tcBorders>
              <w:bottom w:val="single" w:sz="8" w:color="112B19"/>
            </w:tcBorders>
          </w:tcPr>
          <w:p>
            <w:pPr>
              <w:spacing w:after="0"/>
              <w:rPr>
                <w:sz w:val="11"/>
                <w:szCs w:val="11"/>
                <w:color w:val="auto"/>
              </w:rPr>
            </w:pPr>
          </w:p>
        </w:tc>
        <w:tc>
          <w:tcPr>
            <w:tcW w:w="180" w:type="dxa"/>
            <w:vAlign w:val="bottom"/>
            <w:tcBorders>
              <w:bottom w:val="single" w:sz="8" w:color="112B19"/>
            </w:tcBorders>
          </w:tcPr>
          <w:p>
            <w:pPr>
              <w:spacing w:after="0"/>
              <w:rPr>
                <w:sz w:val="11"/>
                <w:szCs w:val="11"/>
                <w:color w:val="auto"/>
              </w:rPr>
            </w:pPr>
          </w:p>
        </w:tc>
        <w:tc>
          <w:tcPr>
            <w:tcW w:w="700" w:type="dxa"/>
            <w:vAlign w:val="bottom"/>
            <w:tcBorders>
              <w:bottom w:val="single" w:sz="8" w:color="112B19"/>
            </w:tcBorders>
          </w:tcPr>
          <w:p>
            <w:pPr>
              <w:spacing w:after="0"/>
              <w:rPr>
                <w:sz w:val="11"/>
                <w:szCs w:val="11"/>
                <w:color w:val="auto"/>
              </w:rPr>
            </w:pPr>
          </w:p>
        </w:tc>
        <w:tc>
          <w:tcPr>
            <w:tcW w:w="200" w:type="dxa"/>
            <w:vAlign w:val="bottom"/>
            <w:tcBorders>
              <w:bottom w:val="single" w:sz="8" w:color="112B19"/>
            </w:tcBorders>
          </w:tcPr>
          <w:p>
            <w:pPr>
              <w:spacing w:after="0"/>
              <w:rPr>
                <w:sz w:val="11"/>
                <w:szCs w:val="11"/>
                <w:color w:val="auto"/>
              </w:rPr>
            </w:pPr>
          </w:p>
        </w:tc>
        <w:tc>
          <w:tcPr>
            <w:tcW w:w="760" w:type="dxa"/>
            <w:vAlign w:val="bottom"/>
            <w:tcBorders>
              <w:bottom w:val="single" w:sz="8" w:color="112B19"/>
            </w:tcBorders>
          </w:tcPr>
          <w:p>
            <w:pPr>
              <w:spacing w:after="0"/>
              <w:rPr>
                <w:sz w:val="11"/>
                <w:szCs w:val="11"/>
                <w:color w:val="auto"/>
              </w:rPr>
            </w:pPr>
          </w:p>
        </w:tc>
        <w:tc>
          <w:tcPr>
            <w:tcW w:w="220" w:type="dxa"/>
            <w:vAlign w:val="bottom"/>
            <w:tcBorders>
              <w:bottom w:val="single" w:sz="8" w:color="112B19"/>
            </w:tcBorders>
          </w:tcPr>
          <w:p>
            <w:pPr>
              <w:spacing w:after="0"/>
              <w:rPr>
                <w:sz w:val="11"/>
                <w:szCs w:val="11"/>
                <w:color w:val="auto"/>
              </w:rPr>
            </w:pPr>
          </w:p>
        </w:tc>
        <w:tc>
          <w:tcPr>
            <w:tcW w:w="760" w:type="dxa"/>
            <w:vAlign w:val="bottom"/>
            <w:tcBorders>
              <w:bottom w:val="single" w:sz="8" w:color="112B19"/>
            </w:tcBorders>
          </w:tcPr>
          <w:p>
            <w:pPr>
              <w:spacing w:after="0"/>
              <w:rPr>
                <w:sz w:val="11"/>
                <w:szCs w:val="11"/>
                <w:color w:val="auto"/>
              </w:rPr>
            </w:pPr>
          </w:p>
        </w:tc>
        <w:tc>
          <w:tcPr>
            <w:tcW w:w="180" w:type="dxa"/>
            <w:vAlign w:val="bottom"/>
            <w:tcBorders>
              <w:bottom w:val="single" w:sz="8" w:color="112B19"/>
            </w:tcBorders>
          </w:tcPr>
          <w:p>
            <w:pPr>
              <w:spacing w:after="0"/>
              <w:rPr>
                <w:sz w:val="11"/>
                <w:szCs w:val="11"/>
                <w:color w:val="auto"/>
              </w:rPr>
            </w:pPr>
          </w:p>
        </w:tc>
        <w:tc>
          <w:tcPr>
            <w:tcW w:w="980" w:type="dxa"/>
            <w:vAlign w:val="bottom"/>
            <w:tcBorders>
              <w:bottom w:val="single" w:sz="8" w:color="112B19"/>
            </w:tcBorders>
          </w:tcPr>
          <w:p>
            <w:pPr>
              <w:spacing w:after="0"/>
              <w:rPr>
                <w:sz w:val="11"/>
                <w:szCs w:val="11"/>
                <w:color w:val="auto"/>
              </w:rPr>
            </w:pPr>
          </w:p>
        </w:tc>
        <w:tc>
          <w:tcPr>
            <w:tcW w:w="320" w:type="dxa"/>
            <w:vAlign w:val="bottom"/>
            <w:tcBorders>
              <w:bottom w:val="single" w:sz="8" w:color="112B19"/>
            </w:tcBorders>
          </w:tcPr>
          <w:p>
            <w:pPr>
              <w:spacing w:after="0"/>
              <w:rPr>
                <w:sz w:val="11"/>
                <w:szCs w:val="11"/>
                <w:color w:val="auto"/>
              </w:rPr>
            </w:pPr>
          </w:p>
        </w:tc>
        <w:tc>
          <w:tcPr>
            <w:tcW w:w="860" w:type="dxa"/>
            <w:vAlign w:val="bottom"/>
            <w:tcBorders>
              <w:bottom w:val="single" w:sz="8" w:color="112B19"/>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20" w:right="20" w:hanging="314"/>
        <w:spacing w:after="0" w:line="238" w:lineRule="auto"/>
        <w:tabs>
          <w:tab w:leader="none" w:pos="320" w:val="left"/>
        </w:tabs>
        <w:numPr>
          <w:ilvl w:val="0"/>
          <w:numId w:val="38"/>
        </w:numPr>
        <w:rPr>
          <w:rFonts w:ascii="Times New Roman" w:cs="Times New Roman" w:eastAsia="Times New Roman" w:hAnsi="Times New Roman"/>
          <w:sz w:val="12"/>
          <w:szCs w:val="12"/>
          <w:color w:val="050A35"/>
        </w:rPr>
      </w:pPr>
      <w:r>
        <w:rPr>
          <w:rFonts w:ascii="Arial" w:cs="Arial" w:eastAsia="Arial" w:hAnsi="Arial"/>
          <w:sz w:val="12"/>
          <w:szCs w:val="12"/>
          <w:color w:val="050A35"/>
        </w:rPr>
        <w:t>As described above under Compensation Discussion and Analysis—Annual Incentive Bonus, we offer our NEOs and certain other employees the option to elect to receive RSUs in the first quarter of each year in lieu of a portion of their cash bonus for that year (RSU awards in respect of 2025 bonus elections are reported in the Grants of Plan-Based Awards Table). RSUs granted pursuant to these elections have a grant date value equal to 1.15 times the amount of cash bonus foregone. In accordance with SEC rules, RSUs having a value equal to the amount of foregone cash bonus are included with the amount of bonus paid in cash under the “Bonus” column in this Summary Compensation Table, and RSUs having a value in excess of that amount (i.e., 0.15 times the foregone bonus amount)</w:t>
      </w:r>
    </w:p>
    <w:p>
      <w:pPr>
        <w:ind w:left="320"/>
        <w:spacing w:after="0" w:line="224" w:lineRule="auto"/>
        <w:rPr>
          <w:sz w:val="20"/>
          <w:szCs w:val="20"/>
          <w:color w:val="auto"/>
        </w:rPr>
      </w:pPr>
      <w:r>
        <w:rPr>
          <w:rFonts w:ascii="Arial" w:cs="Arial" w:eastAsia="Arial" w:hAnsi="Arial"/>
          <w:sz w:val="13"/>
          <w:szCs w:val="13"/>
          <w:color w:val="050A35"/>
        </w:rPr>
        <w:t>are included under the “Stock Awards” column. The table below provides information regarding these amounts for each of our NEOs:</w:t>
      </w:r>
    </w:p>
    <w:p>
      <w:pPr>
        <w:jc w:val="center"/>
        <w:ind w:right="80"/>
        <w:spacing w:after="0" w:line="237" w:lineRule="auto"/>
        <w:rPr>
          <w:sz w:val="20"/>
          <w:szCs w:val="20"/>
          <w:color w:val="auto"/>
        </w:rPr>
      </w:pPr>
      <w:r>
        <w:rPr>
          <w:rFonts w:ascii="Arial" w:cs="Arial" w:eastAsia="Arial" w:hAnsi="Arial"/>
          <w:sz w:val="11"/>
          <w:szCs w:val="11"/>
          <w:b w:val="1"/>
          <w:bCs w:val="1"/>
          <w:color w:val="112B19"/>
        </w:rPr>
        <w:t>Reconciliation of Bonus Compensation</w:t>
      </w:r>
    </w:p>
    <w:tbl>
      <w:tblPr>
        <w:tblLayout w:type="fixed"/>
        <w:tblInd w:w="960" w:type="dxa"/>
        <w:tblCellMar>
          <w:top w:w="0" w:type="dxa"/>
          <w:left w:w="0" w:type="dxa"/>
          <w:bottom w:w="0" w:type="dxa"/>
          <w:right w:w="0" w:type="dxa"/>
        </w:tblCellMar>
      </w:tblPr>
      <w:tr>
        <w:trPr>
          <w:trHeight w:val="102"/>
        </w:trPr>
        <w:tc>
          <w:tcPr>
            <w:tcW w:w="32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jc w:val="center"/>
              <w:ind w:right="66"/>
              <w:spacing w:after="0" w:line="102" w:lineRule="exact"/>
              <w:rPr>
                <w:sz w:val="20"/>
                <w:szCs w:val="20"/>
                <w:color w:val="auto"/>
              </w:rPr>
            </w:pPr>
            <w:r>
              <w:rPr>
                <w:rFonts w:ascii="Arial" w:cs="Arial" w:eastAsia="Arial" w:hAnsi="Arial"/>
                <w:sz w:val="11"/>
                <w:szCs w:val="11"/>
                <w:b w:val="1"/>
                <w:bCs w:val="1"/>
                <w:color w:val="112B19"/>
                <w:w w:val="95"/>
              </w:rPr>
              <w:t>RSUs</w:t>
            </w:r>
          </w:p>
        </w:tc>
      </w:tr>
      <w:tr>
        <w:trPr>
          <w:trHeight w:val="122"/>
        </w:trPr>
        <w:tc>
          <w:tcPr>
            <w:tcW w:w="3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326"/>
              <w:spacing w:after="0" w:line="122" w:lineRule="exact"/>
              <w:rPr>
                <w:sz w:val="20"/>
                <w:szCs w:val="20"/>
                <w:color w:val="auto"/>
              </w:rPr>
            </w:pPr>
            <w:r>
              <w:rPr>
                <w:rFonts w:ascii="Arial" w:cs="Arial" w:eastAsia="Arial" w:hAnsi="Arial"/>
                <w:sz w:val="11"/>
                <w:szCs w:val="11"/>
                <w:b w:val="1"/>
                <w:bCs w:val="1"/>
                <w:color w:val="112B19"/>
              </w:rPr>
              <w:t>Cash</w:t>
            </w:r>
          </w:p>
        </w:tc>
        <w:tc>
          <w:tcPr>
            <w:tcW w:w="140" w:type="dxa"/>
            <w:vAlign w:val="bottom"/>
          </w:tcPr>
          <w:p>
            <w:pPr>
              <w:spacing w:after="0"/>
              <w:rPr>
                <w:sz w:val="10"/>
                <w:szCs w:val="10"/>
                <w:color w:val="auto"/>
              </w:rPr>
            </w:pPr>
          </w:p>
        </w:tc>
        <w:tc>
          <w:tcPr>
            <w:tcW w:w="980" w:type="dxa"/>
            <w:vAlign w:val="bottom"/>
          </w:tcPr>
          <w:p>
            <w:pPr>
              <w:jc w:val="right"/>
              <w:ind w:right="326"/>
              <w:spacing w:after="0" w:line="122" w:lineRule="exact"/>
              <w:rPr>
                <w:sz w:val="20"/>
                <w:szCs w:val="20"/>
                <w:color w:val="auto"/>
              </w:rPr>
            </w:pPr>
            <w:r>
              <w:rPr>
                <w:rFonts w:ascii="Arial" w:cs="Arial" w:eastAsia="Arial" w:hAnsi="Arial"/>
                <w:sz w:val="11"/>
                <w:szCs w:val="11"/>
                <w:b w:val="1"/>
                <w:bCs w:val="1"/>
                <w:color w:val="112B19"/>
              </w:rPr>
              <w:t>RSUs</w:t>
            </w:r>
          </w:p>
        </w:tc>
        <w:tc>
          <w:tcPr>
            <w:tcW w:w="200" w:type="dxa"/>
            <w:vAlign w:val="bottom"/>
          </w:tcPr>
          <w:p>
            <w:pPr>
              <w:spacing w:after="0"/>
              <w:rPr>
                <w:sz w:val="10"/>
                <w:szCs w:val="10"/>
                <w:color w:val="auto"/>
              </w:rPr>
            </w:pPr>
          </w:p>
        </w:tc>
        <w:tc>
          <w:tcPr>
            <w:tcW w:w="104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112B19"/>
                <w:w w:val="96"/>
              </w:rPr>
              <w:t>(Stock Awards</w:t>
            </w:r>
          </w:p>
        </w:tc>
      </w:tr>
      <w:tr>
        <w:trPr>
          <w:trHeight w:val="135"/>
        </w:trPr>
        <w:tc>
          <w:tcPr>
            <w:tcW w:w="3280" w:type="dxa"/>
            <w:vAlign w:val="bottom"/>
            <w:tcBorders>
              <w:bottom w:val="single" w:sz="8" w:color="112B19"/>
            </w:tcBorders>
          </w:tcPr>
          <w:p>
            <w:pPr>
              <w:spacing w:after="0"/>
              <w:rPr>
                <w:sz w:val="20"/>
                <w:szCs w:val="20"/>
                <w:color w:val="auto"/>
              </w:rPr>
            </w:pPr>
            <w:r>
              <w:rPr>
                <w:rFonts w:ascii="Arial" w:cs="Arial" w:eastAsia="Arial" w:hAnsi="Arial"/>
                <w:sz w:val="11"/>
                <w:szCs w:val="11"/>
                <w:b w:val="1"/>
                <w:bCs w:val="1"/>
                <w:color w:val="112B19"/>
              </w:rPr>
              <w:t>Name</w:t>
            </w:r>
          </w:p>
        </w:tc>
        <w:tc>
          <w:tcPr>
            <w:tcW w:w="680" w:type="dxa"/>
            <w:vAlign w:val="bottom"/>
            <w:tcBorders>
              <w:bottom w:val="single" w:sz="8" w:color="112B19"/>
            </w:tcBorders>
          </w:tcPr>
          <w:p>
            <w:pPr>
              <w:ind w:left="320"/>
              <w:spacing w:after="0"/>
              <w:rPr>
                <w:sz w:val="20"/>
                <w:szCs w:val="20"/>
                <w:color w:val="auto"/>
              </w:rPr>
            </w:pPr>
            <w:r>
              <w:rPr>
                <w:rFonts w:ascii="Arial" w:cs="Arial" w:eastAsia="Arial" w:hAnsi="Arial"/>
                <w:sz w:val="11"/>
                <w:szCs w:val="11"/>
                <w:b w:val="1"/>
                <w:bCs w:val="1"/>
                <w:color w:val="112B19"/>
              </w:rPr>
              <w:t>Year</w:t>
            </w:r>
          </w:p>
        </w:tc>
        <w:tc>
          <w:tcPr>
            <w:tcW w:w="200" w:type="dxa"/>
            <w:vAlign w:val="bottom"/>
            <w:tcBorders>
              <w:bottom w:val="single" w:sz="8" w:color="112B19"/>
            </w:tcBorders>
          </w:tcPr>
          <w:p>
            <w:pPr>
              <w:spacing w:after="0"/>
              <w:rPr>
                <w:sz w:val="11"/>
                <w:szCs w:val="11"/>
                <w:color w:val="auto"/>
              </w:rPr>
            </w:pPr>
          </w:p>
        </w:tc>
        <w:tc>
          <w:tcPr>
            <w:tcW w:w="980" w:type="dxa"/>
            <w:vAlign w:val="bottom"/>
            <w:tcBorders>
              <w:bottom w:val="single" w:sz="8" w:color="112B19"/>
            </w:tcBorders>
          </w:tcPr>
          <w:p>
            <w:pPr>
              <w:jc w:val="right"/>
              <w:ind w:right="46"/>
              <w:spacing w:after="0"/>
              <w:rPr>
                <w:sz w:val="20"/>
                <w:szCs w:val="20"/>
                <w:color w:val="auto"/>
              </w:rPr>
            </w:pPr>
            <w:r>
              <w:rPr>
                <w:rFonts w:ascii="Arial" w:cs="Arial" w:eastAsia="Arial" w:hAnsi="Arial"/>
                <w:sz w:val="11"/>
                <w:szCs w:val="11"/>
                <w:b w:val="1"/>
                <w:bCs w:val="1"/>
                <w:color w:val="112B19"/>
              </w:rPr>
              <w:t>(Bonus Column)</w:t>
            </w:r>
          </w:p>
        </w:tc>
        <w:tc>
          <w:tcPr>
            <w:tcW w:w="140" w:type="dxa"/>
            <w:vAlign w:val="bottom"/>
            <w:tcBorders>
              <w:bottom w:val="single" w:sz="8" w:color="112B19"/>
            </w:tcBorders>
          </w:tcPr>
          <w:p>
            <w:pPr>
              <w:spacing w:after="0"/>
              <w:rPr>
                <w:sz w:val="11"/>
                <w:szCs w:val="11"/>
                <w:color w:val="auto"/>
              </w:rPr>
            </w:pPr>
          </w:p>
        </w:tc>
        <w:tc>
          <w:tcPr>
            <w:tcW w:w="980" w:type="dxa"/>
            <w:vAlign w:val="bottom"/>
            <w:tcBorders>
              <w:bottom w:val="single" w:sz="8" w:color="112B19"/>
            </w:tcBorders>
          </w:tcPr>
          <w:p>
            <w:pPr>
              <w:jc w:val="right"/>
              <w:ind w:right="66"/>
              <w:spacing w:after="0"/>
              <w:rPr>
                <w:sz w:val="20"/>
                <w:szCs w:val="20"/>
                <w:color w:val="auto"/>
              </w:rPr>
            </w:pPr>
            <w:r>
              <w:rPr>
                <w:rFonts w:ascii="Arial" w:cs="Arial" w:eastAsia="Arial" w:hAnsi="Arial"/>
                <w:sz w:val="11"/>
                <w:szCs w:val="11"/>
                <w:b w:val="1"/>
                <w:bCs w:val="1"/>
                <w:color w:val="112B19"/>
                <w:w w:val="98"/>
              </w:rPr>
              <w:t>(Bonus Column)</w:t>
            </w:r>
          </w:p>
        </w:tc>
        <w:tc>
          <w:tcPr>
            <w:tcW w:w="200" w:type="dxa"/>
            <w:vAlign w:val="bottom"/>
            <w:tcBorders>
              <w:bottom w:val="single" w:sz="8" w:color="112B19"/>
            </w:tcBorders>
          </w:tcPr>
          <w:p>
            <w:pPr>
              <w:spacing w:after="0"/>
              <w:rPr>
                <w:sz w:val="11"/>
                <w:szCs w:val="11"/>
                <w:color w:val="auto"/>
              </w:rPr>
            </w:pPr>
          </w:p>
        </w:tc>
        <w:tc>
          <w:tcPr>
            <w:tcW w:w="1040" w:type="dxa"/>
            <w:vAlign w:val="bottom"/>
            <w:tcBorders>
              <w:bottom w:val="single" w:sz="8" w:color="112B19"/>
            </w:tcBorders>
          </w:tcPr>
          <w:p>
            <w:pPr>
              <w:jc w:val="center"/>
              <w:ind w:right="66"/>
              <w:spacing w:after="0"/>
              <w:rPr>
                <w:sz w:val="20"/>
                <w:szCs w:val="20"/>
                <w:color w:val="auto"/>
              </w:rPr>
            </w:pPr>
            <w:r>
              <w:rPr>
                <w:rFonts w:ascii="Arial" w:cs="Arial" w:eastAsia="Arial" w:hAnsi="Arial"/>
                <w:sz w:val="11"/>
                <w:szCs w:val="11"/>
                <w:b w:val="1"/>
                <w:bCs w:val="1"/>
                <w:color w:val="112B19"/>
                <w:w w:val="98"/>
              </w:rPr>
              <w:t>Column)</w:t>
            </w:r>
          </w:p>
        </w:tc>
      </w:tr>
      <w:tr>
        <w:trPr>
          <w:trHeight w:val="217"/>
        </w:trPr>
        <w:tc>
          <w:tcPr>
            <w:tcW w:w="3280" w:type="dxa"/>
            <w:vAlign w:val="bottom"/>
          </w:tcPr>
          <w:p>
            <w:pPr>
              <w:ind w:left="60"/>
              <w:spacing w:after="0"/>
              <w:rPr>
                <w:sz w:val="20"/>
                <w:szCs w:val="20"/>
                <w:color w:val="auto"/>
              </w:rPr>
            </w:pPr>
            <w:r>
              <w:rPr>
                <w:rFonts w:ascii="Arial" w:cs="Arial" w:eastAsia="Arial" w:hAnsi="Arial"/>
                <w:sz w:val="11"/>
                <w:szCs w:val="11"/>
                <w:color w:val="auto"/>
              </w:rPr>
              <w:t>Luke A. Sarsfield III</w:t>
            </w:r>
          </w:p>
        </w:tc>
        <w:tc>
          <w:tcPr>
            <w:tcW w:w="680" w:type="dxa"/>
            <w:vAlign w:val="bottom"/>
          </w:tcPr>
          <w:p>
            <w:pPr>
              <w:ind w:left="320"/>
              <w:spacing w:after="0"/>
              <w:rPr>
                <w:sz w:val="20"/>
                <w:szCs w:val="20"/>
                <w:color w:val="auto"/>
              </w:rPr>
            </w:pPr>
            <w:r>
              <w:rPr>
                <w:rFonts w:ascii="Arial" w:cs="Arial" w:eastAsia="Arial" w:hAnsi="Arial"/>
                <w:sz w:val="11"/>
                <w:szCs w:val="11"/>
                <w:color w:val="auto"/>
              </w:rPr>
              <w:t>2025</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1,625,500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174,500</w:t>
            </w: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26,175</w:t>
            </w:r>
          </w:p>
        </w:tc>
      </w:tr>
      <w:tr>
        <w:trPr>
          <w:trHeight w:val="216"/>
        </w:trPr>
        <w:tc>
          <w:tcPr>
            <w:tcW w:w="328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1"/>
                <w:szCs w:val="11"/>
                <w:color w:val="auto"/>
              </w:rPr>
              <w:t>2024</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1,800,000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200,000</w:t>
            </w: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30,000</w:t>
            </w:r>
          </w:p>
        </w:tc>
      </w:tr>
      <w:tr>
        <w:trPr>
          <w:trHeight w:val="209"/>
        </w:trPr>
        <w:tc>
          <w:tcPr>
            <w:tcW w:w="328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1"/>
                <w:szCs w:val="11"/>
                <w:color w:val="auto"/>
              </w:rPr>
              <w:t>2023</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w:t>
            </w:r>
          </w:p>
        </w:tc>
      </w:tr>
      <w:tr>
        <w:trPr>
          <w:trHeight w:val="203"/>
        </w:trPr>
        <w:tc>
          <w:tcPr>
            <w:tcW w:w="3280" w:type="dxa"/>
            <w:vAlign w:val="bottom"/>
            <w:shd w:val="clear" w:color="auto" w:fill="EDEDED"/>
          </w:tcPr>
          <w:p>
            <w:pPr>
              <w:ind w:left="60"/>
              <w:spacing w:after="0"/>
              <w:rPr>
                <w:sz w:val="20"/>
                <w:szCs w:val="20"/>
                <w:color w:val="auto"/>
              </w:rPr>
            </w:pPr>
            <w:r>
              <w:rPr>
                <w:rFonts w:ascii="Arial" w:cs="Arial" w:eastAsia="Arial" w:hAnsi="Arial"/>
                <w:sz w:val="11"/>
                <w:szCs w:val="11"/>
                <w:color w:val="auto"/>
              </w:rPr>
              <w:t>Amanda Coussens</w:t>
            </w:r>
          </w:p>
        </w:tc>
        <w:tc>
          <w:tcPr>
            <w:tcW w:w="680" w:type="dxa"/>
            <w:vAlign w:val="bottom"/>
            <w:shd w:val="clear" w:color="auto" w:fill="EDEDED"/>
          </w:tcPr>
          <w:p>
            <w:pPr>
              <w:ind w:left="320"/>
              <w:spacing w:after="0"/>
              <w:rPr>
                <w:sz w:val="20"/>
                <w:szCs w:val="20"/>
                <w:color w:val="auto"/>
              </w:rPr>
            </w:pPr>
            <w:r>
              <w:rPr>
                <w:rFonts w:ascii="Arial" w:cs="Arial" w:eastAsia="Arial" w:hAnsi="Arial"/>
                <w:sz w:val="11"/>
                <w:szCs w:val="11"/>
                <w:color w:val="auto"/>
              </w:rPr>
              <w:t>2025</w:t>
            </w:r>
          </w:p>
        </w:tc>
        <w:tc>
          <w:tcPr>
            <w:tcW w:w="20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980" w:type="dxa"/>
            <w:vAlign w:val="bottom"/>
            <w:shd w:val="clear" w:color="auto" w:fill="EDEDED"/>
          </w:tcPr>
          <w:p>
            <w:pPr>
              <w:jc w:val="right"/>
              <w:spacing w:after="0"/>
              <w:rPr>
                <w:sz w:val="20"/>
                <w:szCs w:val="20"/>
                <w:color w:val="auto"/>
              </w:rPr>
            </w:pPr>
            <w:r>
              <w:rPr>
                <w:rFonts w:ascii="Arial" w:cs="Arial" w:eastAsia="Arial" w:hAnsi="Arial"/>
                <w:sz w:val="11"/>
                <w:szCs w:val="11"/>
                <w:color w:val="auto"/>
              </w:rPr>
              <w:t>300,000</w:t>
            </w:r>
          </w:p>
        </w:tc>
        <w:tc>
          <w:tcPr>
            <w:tcW w:w="14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980" w:type="dxa"/>
            <w:vAlign w:val="bottom"/>
            <w:shd w:val="clear" w:color="auto" w:fill="EDEDED"/>
          </w:tcPr>
          <w:p>
            <w:pPr>
              <w:jc w:val="right"/>
              <w:ind w:right="26"/>
              <w:spacing w:after="0"/>
              <w:rPr>
                <w:sz w:val="20"/>
                <w:szCs w:val="20"/>
                <w:color w:val="auto"/>
              </w:rPr>
            </w:pPr>
            <w:r>
              <w:rPr>
                <w:rFonts w:ascii="Arial" w:cs="Arial" w:eastAsia="Arial" w:hAnsi="Arial"/>
                <w:sz w:val="11"/>
                <w:szCs w:val="11"/>
                <w:color w:val="auto"/>
              </w:rPr>
              <w:t>100,000</w:t>
            </w:r>
          </w:p>
        </w:tc>
        <w:tc>
          <w:tcPr>
            <w:tcW w:w="20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shd w:val="clear" w:color="auto" w:fill="EDEDED"/>
          </w:tcPr>
          <w:p>
            <w:pPr>
              <w:jc w:val="right"/>
              <w:ind w:right="26"/>
              <w:spacing w:after="0"/>
              <w:rPr>
                <w:sz w:val="20"/>
                <w:szCs w:val="20"/>
                <w:color w:val="auto"/>
              </w:rPr>
            </w:pPr>
            <w:r>
              <w:rPr>
                <w:rFonts w:ascii="Arial" w:cs="Arial" w:eastAsia="Arial" w:hAnsi="Arial"/>
                <w:sz w:val="11"/>
                <w:szCs w:val="11"/>
                <w:color w:val="auto"/>
              </w:rPr>
              <w:t>15,003</w:t>
            </w:r>
          </w:p>
        </w:tc>
      </w:tr>
      <w:tr>
        <w:trPr>
          <w:trHeight w:val="203"/>
        </w:trPr>
        <w:tc>
          <w:tcPr>
            <w:tcW w:w="3280" w:type="dxa"/>
            <w:vAlign w:val="bottom"/>
            <w:shd w:val="clear" w:color="auto" w:fill="EDEDED"/>
          </w:tcPr>
          <w:p>
            <w:pPr>
              <w:spacing w:after="0"/>
              <w:rPr>
                <w:sz w:val="17"/>
                <w:szCs w:val="17"/>
                <w:color w:val="auto"/>
              </w:rPr>
            </w:pPr>
          </w:p>
        </w:tc>
        <w:tc>
          <w:tcPr>
            <w:tcW w:w="680" w:type="dxa"/>
            <w:vAlign w:val="bottom"/>
            <w:shd w:val="clear" w:color="auto" w:fill="EDEDED"/>
          </w:tcPr>
          <w:p>
            <w:pPr>
              <w:ind w:left="320"/>
              <w:spacing w:after="0"/>
              <w:rPr>
                <w:sz w:val="20"/>
                <w:szCs w:val="20"/>
                <w:color w:val="auto"/>
              </w:rPr>
            </w:pPr>
            <w:r>
              <w:rPr>
                <w:rFonts w:ascii="Arial" w:cs="Arial" w:eastAsia="Arial" w:hAnsi="Arial"/>
                <w:sz w:val="11"/>
                <w:szCs w:val="11"/>
                <w:color w:val="auto"/>
              </w:rPr>
              <w:t>2024</w:t>
            </w:r>
          </w:p>
        </w:tc>
        <w:tc>
          <w:tcPr>
            <w:tcW w:w="20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980" w:type="dxa"/>
            <w:vAlign w:val="bottom"/>
            <w:shd w:val="clear" w:color="auto" w:fill="EDEDED"/>
          </w:tcPr>
          <w:p>
            <w:pPr>
              <w:jc w:val="right"/>
              <w:spacing w:after="0"/>
              <w:rPr>
                <w:sz w:val="20"/>
                <w:szCs w:val="20"/>
                <w:color w:val="auto"/>
              </w:rPr>
            </w:pPr>
            <w:r>
              <w:rPr>
                <w:rFonts w:ascii="Arial" w:cs="Arial" w:eastAsia="Arial" w:hAnsi="Arial"/>
                <w:sz w:val="11"/>
                <w:szCs w:val="11"/>
                <w:color w:val="auto"/>
              </w:rPr>
              <w:t>400,000</w:t>
            </w:r>
          </w:p>
        </w:tc>
        <w:tc>
          <w:tcPr>
            <w:tcW w:w="14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980" w:type="dxa"/>
            <w:vAlign w:val="bottom"/>
            <w:shd w:val="clear" w:color="auto" w:fill="EDEDED"/>
          </w:tcPr>
          <w:p>
            <w:pPr>
              <w:jc w:val="right"/>
              <w:ind w:right="26"/>
              <w:spacing w:after="0"/>
              <w:rPr>
                <w:sz w:val="20"/>
                <w:szCs w:val="20"/>
                <w:color w:val="auto"/>
              </w:rPr>
            </w:pPr>
            <w:r>
              <w:rPr>
                <w:rFonts w:ascii="Arial" w:cs="Arial" w:eastAsia="Arial" w:hAnsi="Arial"/>
                <w:sz w:val="11"/>
                <w:szCs w:val="11"/>
                <w:color w:val="auto"/>
              </w:rPr>
              <w:t>100,000</w:t>
            </w:r>
          </w:p>
        </w:tc>
        <w:tc>
          <w:tcPr>
            <w:tcW w:w="20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shd w:val="clear" w:color="auto" w:fill="EDEDED"/>
          </w:tcPr>
          <w:p>
            <w:pPr>
              <w:jc w:val="right"/>
              <w:ind w:right="26"/>
              <w:spacing w:after="0"/>
              <w:rPr>
                <w:sz w:val="20"/>
                <w:szCs w:val="20"/>
                <w:color w:val="auto"/>
              </w:rPr>
            </w:pPr>
            <w:r>
              <w:rPr>
                <w:rFonts w:ascii="Arial" w:cs="Arial" w:eastAsia="Arial" w:hAnsi="Arial"/>
                <w:sz w:val="11"/>
                <w:szCs w:val="11"/>
                <w:color w:val="auto"/>
              </w:rPr>
              <w:t>15,003</w:t>
            </w:r>
          </w:p>
        </w:tc>
      </w:tr>
      <w:tr>
        <w:trPr>
          <w:trHeight w:val="203"/>
        </w:trPr>
        <w:tc>
          <w:tcPr>
            <w:tcW w:w="3280" w:type="dxa"/>
            <w:vAlign w:val="bottom"/>
            <w:shd w:val="clear" w:color="auto" w:fill="EDEDED"/>
          </w:tcPr>
          <w:p>
            <w:pPr>
              <w:spacing w:after="0"/>
              <w:rPr>
                <w:sz w:val="17"/>
                <w:szCs w:val="17"/>
                <w:color w:val="auto"/>
              </w:rPr>
            </w:pPr>
          </w:p>
        </w:tc>
        <w:tc>
          <w:tcPr>
            <w:tcW w:w="680" w:type="dxa"/>
            <w:vAlign w:val="bottom"/>
            <w:shd w:val="clear" w:color="auto" w:fill="EDEDED"/>
          </w:tcPr>
          <w:p>
            <w:pPr>
              <w:ind w:left="320"/>
              <w:spacing w:after="0"/>
              <w:rPr>
                <w:sz w:val="20"/>
                <w:szCs w:val="20"/>
                <w:color w:val="auto"/>
              </w:rPr>
            </w:pPr>
            <w:r>
              <w:rPr>
                <w:rFonts w:ascii="Arial" w:cs="Arial" w:eastAsia="Arial" w:hAnsi="Arial"/>
                <w:sz w:val="11"/>
                <w:szCs w:val="11"/>
                <w:color w:val="auto"/>
              </w:rPr>
              <w:t>2023</w:t>
            </w:r>
          </w:p>
        </w:tc>
        <w:tc>
          <w:tcPr>
            <w:tcW w:w="20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980" w:type="dxa"/>
            <w:vAlign w:val="bottom"/>
            <w:shd w:val="clear" w:color="auto" w:fill="EDEDED"/>
          </w:tcPr>
          <w:p>
            <w:pPr>
              <w:jc w:val="right"/>
              <w:spacing w:after="0"/>
              <w:rPr>
                <w:sz w:val="20"/>
                <w:szCs w:val="20"/>
                <w:color w:val="auto"/>
              </w:rPr>
            </w:pPr>
            <w:r>
              <w:rPr>
                <w:rFonts w:ascii="Arial" w:cs="Arial" w:eastAsia="Arial" w:hAnsi="Arial"/>
                <w:sz w:val="11"/>
                <w:szCs w:val="11"/>
                <w:color w:val="auto"/>
              </w:rPr>
              <w:t>167,492</w:t>
            </w:r>
          </w:p>
        </w:tc>
        <w:tc>
          <w:tcPr>
            <w:tcW w:w="14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980" w:type="dxa"/>
            <w:vAlign w:val="bottom"/>
            <w:shd w:val="clear" w:color="auto" w:fill="EDEDED"/>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shd w:val="clear" w:color="auto" w:fill="EDEDED"/>
          </w:tcPr>
          <w:p>
            <w:pPr>
              <w:jc w:val="right"/>
              <w:ind w:right="26"/>
              <w:spacing w:after="0"/>
              <w:rPr>
                <w:sz w:val="20"/>
                <w:szCs w:val="20"/>
                <w:color w:val="auto"/>
              </w:rPr>
            </w:pPr>
            <w:r>
              <w:rPr>
                <w:rFonts w:ascii="Arial" w:cs="Arial" w:eastAsia="Arial" w:hAnsi="Arial"/>
                <w:sz w:val="11"/>
                <w:szCs w:val="11"/>
                <w:color w:val="auto"/>
              </w:rPr>
              <w:t>-</w:t>
            </w:r>
          </w:p>
        </w:tc>
      </w:tr>
      <w:tr>
        <w:trPr>
          <w:trHeight w:val="210"/>
        </w:trPr>
        <w:tc>
          <w:tcPr>
            <w:tcW w:w="3280" w:type="dxa"/>
            <w:vAlign w:val="bottom"/>
          </w:tcPr>
          <w:p>
            <w:pPr>
              <w:ind w:left="60"/>
              <w:spacing w:after="0"/>
              <w:rPr>
                <w:sz w:val="20"/>
                <w:szCs w:val="20"/>
                <w:color w:val="auto"/>
              </w:rPr>
            </w:pPr>
            <w:r>
              <w:rPr>
                <w:rFonts w:ascii="Arial" w:cs="Arial" w:eastAsia="Arial" w:hAnsi="Arial"/>
                <w:sz w:val="11"/>
                <w:szCs w:val="11"/>
                <w:color w:val="auto"/>
              </w:rPr>
              <w:t>Mark Hood</w:t>
            </w:r>
          </w:p>
        </w:tc>
        <w:tc>
          <w:tcPr>
            <w:tcW w:w="680" w:type="dxa"/>
            <w:vAlign w:val="bottom"/>
          </w:tcPr>
          <w:p>
            <w:pPr>
              <w:ind w:left="320"/>
              <w:spacing w:after="0"/>
              <w:rPr>
                <w:sz w:val="20"/>
                <w:szCs w:val="20"/>
                <w:color w:val="auto"/>
              </w:rPr>
            </w:pPr>
            <w:r>
              <w:rPr>
                <w:rFonts w:ascii="Arial" w:cs="Arial" w:eastAsia="Arial" w:hAnsi="Arial"/>
                <w:sz w:val="11"/>
                <w:szCs w:val="11"/>
                <w:color w:val="auto"/>
              </w:rPr>
              <w:t>2025</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250,000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100,000</w:t>
            </w: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15,003</w:t>
            </w:r>
          </w:p>
        </w:tc>
      </w:tr>
      <w:tr>
        <w:trPr>
          <w:trHeight w:val="203"/>
        </w:trPr>
        <w:tc>
          <w:tcPr>
            <w:tcW w:w="3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1"/>
                <w:szCs w:val="11"/>
                <w:color w:val="auto"/>
              </w:rPr>
              <w:t>2024</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500,000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w:t>
            </w:r>
          </w:p>
        </w:tc>
      </w:tr>
      <w:tr>
        <w:trPr>
          <w:trHeight w:val="195"/>
        </w:trPr>
        <w:tc>
          <w:tcPr>
            <w:tcW w:w="3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1"/>
                <w:szCs w:val="11"/>
                <w:color w:val="auto"/>
              </w:rPr>
              <w:t>2023</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117,492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w:t>
            </w:r>
          </w:p>
        </w:tc>
      </w:tr>
      <w:tr>
        <w:trPr>
          <w:trHeight w:val="203"/>
        </w:trPr>
        <w:tc>
          <w:tcPr>
            <w:tcW w:w="3280" w:type="dxa"/>
            <w:vAlign w:val="bottom"/>
            <w:shd w:val="clear" w:color="auto" w:fill="EDEDED"/>
          </w:tcPr>
          <w:p>
            <w:pPr>
              <w:ind w:left="60"/>
              <w:spacing w:after="0"/>
              <w:rPr>
                <w:sz w:val="20"/>
                <w:szCs w:val="20"/>
                <w:color w:val="auto"/>
              </w:rPr>
            </w:pPr>
            <w:r>
              <w:rPr>
                <w:rFonts w:ascii="Arial" w:cs="Arial" w:eastAsia="Arial" w:hAnsi="Arial"/>
                <w:sz w:val="11"/>
                <w:szCs w:val="11"/>
                <w:color w:val="auto"/>
              </w:rPr>
              <w:t>Sarita Jairath</w:t>
            </w:r>
          </w:p>
        </w:tc>
        <w:tc>
          <w:tcPr>
            <w:tcW w:w="680" w:type="dxa"/>
            <w:vAlign w:val="bottom"/>
            <w:shd w:val="clear" w:color="auto" w:fill="EDEDED"/>
          </w:tcPr>
          <w:p>
            <w:pPr>
              <w:ind w:left="320"/>
              <w:spacing w:after="0"/>
              <w:rPr>
                <w:sz w:val="20"/>
                <w:szCs w:val="20"/>
                <w:color w:val="auto"/>
              </w:rPr>
            </w:pPr>
            <w:r>
              <w:rPr>
                <w:rFonts w:ascii="Arial" w:cs="Arial" w:eastAsia="Arial" w:hAnsi="Arial"/>
                <w:sz w:val="11"/>
                <w:szCs w:val="11"/>
                <w:color w:val="auto"/>
              </w:rPr>
              <w:t>2025</w:t>
            </w:r>
          </w:p>
        </w:tc>
        <w:tc>
          <w:tcPr>
            <w:tcW w:w="20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980" w:type="dxa"/>
            <w:vAlign w:val="bottom"/>
            <w:shd w:val="clear" w:color="auto" w:fill="EDEDED"/>
          </w:tcPr>
          <w:p>
            <w:pPr>
              <w:jc w:val="right"/>
              <w:spacing w:after="0"/>
              <w:rPr>
                <w:sz w:val="20"/>
                <w:szCs w:val="20"/>
                <w:color w:val="auto"/>
              </w:rPr>
            </w:pPr>
            <w:r>
              <w:rPr>
                <w:rFonts w:ascii="Arial" w:cs="Arial" w:eastAsia="Arial" w:hAnsi="Arial"/>
                <w:sz w:val="11"/>
                <w:szCs w:val="11"/>
                <w:color w:val="auto"/>
              </w:rPr>
              <w:t>300,000</w:t>
            </w:r>
          </w:p>
        </w:tc>
        <w:tc>
          <w:tcPr>
            <w:tcW w:w="140" w:type="dxa"/>
            <w:vAlign w:val="bottom"/>
            <w:shd w:val="clear" w:color="auto" w:fill="EDEDED"/>
          </w:tcPr>
          <w:p>
            <w:pPr>
              <w:jc w:val="right"/>
              <w:spacing w:after="0"/>
              <w:rPr>
                <w:sz w:val="20"/>
                <w:szCs w:val="20"/>
                <w:color w:val="auto"/>
              </w:rPr>
            </w:pPr>
            <w:r>
              <w:rPr>
                <w:rFonts w:ascii="Arial" w:cs="Arial" w:eastAsia="Arial" w:hAnsi="Arial"/>
                <w:sz w:val="11"/>
                <w:szCs w:val="11"/>
                <w:color w:val="auto"/>
              </w:rPr>
              <w:t>$</w:t>
            </w:r>
          </w:p>
        </w:tc>
        <w:tc>
          <w:tcPr>
            <w:tcW w:w="980" w:type="dxa"/>
            <w:vAlign w:val="bottom"/>
            <w:shd w:val="clear" w:color="auto" w:fill="EDEDED"/>
          </w:tcPr>
          <w:p>
            <w:pPr>
              <w:jc w:val="right"/>
              <w:ind w:right="26"/>
              <w:spacing w:after="0"/>
              <w:rPr>
                <w:sz w:val="20"/>
                <w:szCs w:val="20"/>
                <w:color w:val="auto"/>
              </w:rPr>
            </w:pPr>
            <w:r>
              <w:rPr>
                <w:rFonts w:ascii="Arial" w:cs="Arial" w:eastAsia="Arial" w:hAnsi="Arial"/>
                <w:sz w:val="11"/>
                <w:szCs w:val="11"/>
                <w:color w:val="auto"/>
              </w:rPr>
              <w:t>100,000</w:t>
            </w:r>
          </w:p>
        </w:tc>
        <w:tc>
          <w:tcPr>
            <w:tcW w:w="20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shd w:val="clear" w:color="auto" w:fill="EDEDED"/>
          </w:tcPr>
          <w:p>
            <w:pPr>
              <w:jc w:val="right"/>
              <w:ind w:right="26"/>
              <w:spacing w:after="0"/>
              <w:rPr>
                <w:sz w:val="20"/>
                <w:szCs w:val="20"/>
                <w:color w:val="auto"/>
              </w:rPr>
            </w:pPr>
            <w:r>
              <w:rPr>
                <w:rFonts w:ascii="Arial" w:cs="Arial" w:eastAsia="Arial" w:hAnsi="Arial"/>
                <w:sz w:val="11"/>
                <w:szCs w:val="11"/>
                <w:color w:val="auto"/>
              </w:rPr>
              <w:t>15,003</w:t>
            </w:r>
          </w:p>
        </w:tc>
      </w:tr>
      <w:tr>
        <w:trPr>
          <w:trHeight w:val="210"/>
        </w:trPr>
        <w:tc>
          <w:tcPr>
            <w:tcW w:w="3280" w:type="dxa"/>
            <w:vAlign w:val="bottom"/>
          </w:tcPr>
          <w:p>
            <w:pPr>
              <w:ind w:left="60"/>
              <w:spacing w:after="0"/>
              <w:rPr>
                <w:sz w:val="20"/>
                <w:szCs w:val="20"/>
                <w:color w:val="auto"/>
              </w:rPr>
            </w:pPr>
            <w:r>
              <w:rPr>
                <w:rFonts w:ascii="Arial" w:cs="Arial" w:eastAsia="Arial" w:hAnsi="Arial"/>
                <w:sz w:val="11"/>
                <w:szCs w:val="11"/>
                <w:color w:val="auto"/>
              </w:rPr>
              <w:t>Richard J. (Arjay) Jensen</w:t>
            </w:r>
          </w:p>
        </w:tc>
        <w:tc>
          <w:tcPr>
            <w:tcW w:w="680" w:type="dxa"/>
            <w:vAlign w:val="bottom"/>
          </w:tcPr>
          <w:p>
            <w:pPr>
              <w:ind w:left="320"/>
              <w:spacing w:after="0"/>
              <w:rPr>
                <w:sz w:val="20"/>
                <w:szCs w:val="20"/>
                <w:color w:val="auto"/>
              </w:rPr>
            </w:pPr>
            <w:r>
              <w:rPr>
                <w:rFonts w:ascii="Arial" w:cs="Arial" w:eastAsia="Arial" w:hAnsi="Arial"/>
                <w:sz w:val="11"/>
                <w:szCs w:val="11"/>
                <w:color w:val="auto"/>
              </w:rPr>
              <w:t>2025</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250,000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6"/>
              <w:spacing w:after="0"/>
              <w:rPr>
                <w:sz w:val="20"/>
                <w:szCs w:val="20"/>
                <w:color w:val="auto"/>
              </w:rPr>
            </w:pPr>
            <w:r>
              <w:rPr>
                <w:rFonts w:ascii="Arial" w:cs="Arial" w:eastAsia="Arial" w:hAnsi="Arial"/>
                <w:sz w:val="11"/>
                <w:szCs w:val="11"/>
                <w:color w:val="auto"/>
              </w:rPr>
              <w:t>100,000</w:t>
            </w: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15,003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-3810</wp:posOffset>
            </wp:positionV>
            <wp:extent cx="47663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jc w:val="both"/>
        <w:ind w:left="320" w:right="80" w:hanging="314"/>
        <w:spacing w:after="0" w:line="216" w:lineRule="auto"/>
        <w:tabs>
          <w:tab w:leader="none" w:pos="320" w:val="left"/>
        </w:tabs>
        <w:numPr>
          <w:ilvl w:val="0"/>
          <w:numId w:val="39"/>
        </w:numPr>
        <w:rPr>
          <w:rFonts w:ascii="Times New Roman" w:cs="Times New Roman" w:eastAsia="Times New Roman" w:hAnsi="Times New Roman"/>
          <w:sz w:val="13"/>
          <w:szCs w:val="13"/>
          <w:color w:val="050A35"/>
        </w:rPr>
      </w:pPr>
      <w:r>
        <w:rPr>
          <w:rFonts w:ascii="Arial" w:cs="Arial" w:eastAsia="Arial" w:hAnsi="Arial"/>
          <w:sz w:val="13"/>
          <w:szCs w:val="13"/>
          <w:color w:val="050A35"/>
        </w:rPr>
        <w:t xml:space="preserve">Reflects the grant date fair value of RSU awards, computed in accordance with FASB ASC Topic 718, </w:t>
      </w:r>
      <w:r>
        <w:rPr>
          <w:rFonts w:ascii="Arial" w:cs="Arial" w:eastAsia="Arial" w:hAnsi="Arial"/>
          <w:sz w:val="13"/>
          <w:szCs w:val="13"/>
          <w:i w:val="1"/>
          <w:iCs w:val="1"/>
          <w:color w:val="050A35"/>
        </w:rPr>
        <w:t>Compensation – Stock Compensation</w:t>
      </w:r>
      <w:r>
        <w:rPr>
          <w:rFonts w:ascii="Arial" w:cs="Arial" w:eastAsia="Arial" w:hAnsi="Arial"/>
          <w:sz w:val="13"/>
          <w:szCs w:val="13"/>
          <w:color w:val="050A35"/>
        </w:rPr>
        <w:t>, excluding the effect of estimated forfeitures. See "Stock-Based Compensation Expense" in Note 2, "Significant Accounting Policies" to our consolidated financial statements included in Item 8 of our Annual Report on Form 10-K for the year ended December 31, 2025.</w:t>
      </w:r>
    </w:p>
    <w:p>
      <w:pPr>
        <w:spacing w:after="0" w:line="1" w:lineRule="exact"/>
        <w:rPr>
          <w:rFonts w:ascii="Times New Roman" w:cs="Times New Roman" w:eastAsia="Times New Roman" w:hAnsi="Times New Roman"/>
          <w:sz w:val="13"/>
          <w:szCs w:val="13"/>
          <w:color w:val="050A35"/>
        </w:rPr>
      </w:pPr>
    </w:p>
    <w:p>
      <w:pPr>
        <w:ind w:left="320" w:right="60" w:hanging="314"/>
        <w:spacing w:after="0" w:line="216" w:lineRule="auto"/>
        <w:tabs>
          <w:tab w:leader="none" w:pos="320" w:val="left"/>
        </w:tabs>
        <w:numPr>
          <w:ilvl w:val="0"/>
          <w:numId w:val="39"/>
        </w:numPr>
        <w:rPr>
          <w:rFonts w:ascii="Times New Roman" w:cs="Times New Roman" w:eastAsia="Times New Roman" w:hAnsi="Times New Roman"/>
          <w:sz w:val="13"/>
          <w:szCs w:val="13"/>
          <w:color w:val="050A35"/>
        </w:rPr>
      </w:pPr>
      <w:r>
        <w:rPr>
          <w:rFonts w:ascii="Arial" w:cs="Arial" w:eastAsia="Arial" w:hAnsi="Arial"/>
          <w:sz w:val="13"/>
          <w:szCs w:val="13"/>
          <w:color w:val="050A35"/>
        </w:rPr>
        <w:t xml:space="preserve">Reflects the grant date fair value of stock options, computed in accordance with FASB ASC Topic 718, </w:t>
      </w:r>
      <w:r>
        <w:rPr>
          <w:rFonts w:ascii="Arial" w:cs="Arial" w:eastAsia="Arial" w:hAnsi="Arial"/>
          <w:sz w:val="13"/>
          <w:szCs w:val="13"/>
          <w:i w:val="1"/>
          <w:iCs w:val="1"/>
          <w:color w:val="050A35"/>
        </w:rPr>
        <w:t>Compensation – Stock Compensation</w:t>
      </w:r>
      <w:r>
        <w:rPr>
          <w:rFonts w:ascii="Arial" w:cs="Arial" w:eastAsia="Arial" w:hAnsi="Arial"/>
          <w:sz w:val="13"/>
          <w:szCs w:val="13"/>
          <w:color w:val="050A35"/>
        </w:rPr>
        <w:t>, excluding the effect of estimated forfeitures. See "Stock-Based Compensation Expense" in Note 2, "Significant Accounting Policies" to our consolidated financial statements included in Item 8 of our Annual Report on Form 10-K for the year ended December 31, 2025.</w:t>
      </w:r>
    </w:p>
    <w:p>
      <w:pPr>
        <w:ind w:left="320" w:hanging="314"/>
        <w:spacing w:after="0" w:line="215" w:lineRule="auto"/>
        <w:tabs>
          <w:tab w:leader="none" w:pos="320" w:val="left"/>
        </w:tabs>
        <w:numPr>
          <w:ilvl w:val="0"/>
          <w:numId w:val="39"/>
        </w:numPr>
        <w:rPr>
          <w:rFonts w:ascii="Times New Roman" w:cs="Times New Roman" w:eastAsia="Times New Roman" w:hAnsi="Times New Roman"/>
          <w:sz w:val="13"/>
          <w:szCs w:val="13"/>
          <w:color w:val="050A35"/>
        </w:rPr>
      </w:pPr>
      <w:r>
        <w:rPr>
          <w:rFonts w:ascii="Arial" w:cs="Arial" w:eastAsia="Arial" w:hAnsi="Arial"/>
          <w:sz w:val="13"/>
          <w:szCs w:val="13"/>
          <w:color w:val="050A35"/>
        </w:rPr>
        <w:t>All other compensation in 2025 includes (i) cash distributions in respect of carried interest awards, (ii) cash payments in respect of dividends attributable to</w:t>
      </w:r>
    </w:p>
    <w:p>
      <w:pPr>
        <w:ind w:left="320"/>
        <w:spacing w:after="0" w:line="222" w:lineRule="auto"/>
        <w:rPr>
          <w:sz w:val="20"/>
          <w:szCs w:val="20"/>
          <w:color w:val="auto"/>
        </w:rPr>
      </w:pPr>
      <w:r>
        <w:rPr>
          <w:rFonts w:ascii="Arial" w:cs="Arial" w:eastAsia="Arial" w:hAnsi="Arial"/>
          <w:sz w:val="13"/>
          <w:szCs w:val="13"/>
          <w:color w:val="050A35"/>
        </w:rPr>
        <w:t>outstanding RSUs, and (iii) company 401(k) plan contributions as set forth below:</w:t>
      </w:r>
    </w:p>
    <w:tbl>
      <w:tblPr>
        <w:tblLayout w:type="fixed"/>
        <w:tblInd w:w="960" w:type="dxa"/>
        <w:tblCellMar>
          <w:top w:w="0" w:type="dxa"/>
          <w:left w:w="0" w:type="dxa"/>
          <w:bottom w:w="0" w:type="dxa"/>
          <w:right w:w="0" w:type="dxa"/>
        </w:tblCellMar>
      </w:tblPr>
      <w:tr>
        <w:trPr>
          <w:trHeight w:val="125"/>
        </w:trPr>
        <w:tc>
          <w:tcPr>
            <w:tcW w:w="1540" w:type="dxa"/>
            <w:vAlign w:val="bottom"/>
            <w:tcBorders>
              <w:bottom w:val="single" w:sz="8" w:color="112B19"/>
            </w:tcBorders>
          </w:tcPr>
          <w:p>
            <w:pPr>
              <w:spacing w:after="0" w:line="125" w:lineRule="exact"/>
              <w:rPr>
                <w:sz w:val="20"/>
                <w:szCs w:val="20"/>
                <w:color w:val="auto"/>
              </w:rPr>
            </w:pPr>
            <w:r>
              <w:rPr>
                <w:rFonts w:ascii="Arial" w:cs="Arial" w:eastAsia="Arial" w:hAnsi="Arial"/>
                <w:sz w:val="11"/>
                <w:szCs w:val="11"/>
                <w:b w:val="1"/>
                <w:bCs w:val="1"/>
                <w:color w:val="112B19"/>
              </w:rPr>
              <w:t>Name</w:t>
            </w:r>
          </w:p>
        </w:tc>
        <w:tc>
          <w:tcPr>
            <w:tcW w:w="500" w:type="dxa"/>
            <w:vAlign w:val="bottom"/>
            <w:tcBorders>
              <w:bottom w:val="single" w:sz="8" w:color="112B19"/>
            </w:tcBorders>
          </w:tcPr>
          <w:p>
            <w:pPr>
              <w:spacing w:after="0"/>
              <w:rPr>
                <w:sz w:val="10"/>
                <w:szCs w:val="10"/>
                <w:color w:val="auto"/>
              </w:rPr>
            </w:pPr>
          </w:p>
        </w:tc>
        <w:tc>
          <w:tcPr>
            <w:tcW w:w="1680" w:type="dxa"/>
            <w:vAlign w:val="bottom"/>
            <w:tcBorders>
              <w:bottom w:val="single" w:sz="8" w:color="112B19"/>
            </w:tcBorders>
          </w:tcPr>
          <w:p>
            <w:pPr>
              <w:jc w:val="right"/>
              <w:ind w:right="66"/>
              <w:spacing w:after="0" w:line="125" w:lineRule="exact"/>
              <w:rPr>
                <w:sz w:val="20"/>
                <w:szCs w:val="20"/>
                <w:color w:val="auto"/>
              </w:rPr>
            </w:pPr>
            <w:r>
              <w:rPr>
                <w:rFonts w:ascii="Arial" w:cs="Arial" w:eastAsia="Arial" w:hAnsi="Arial"/>
                <w:sz w:val="11"/>
                <w:szCs w:val="11"/>
                <w:b w:val="1"/>
                <w:bCs w:val="1"/>
                <w:color w:val="112B19"/>
              </w:rPr>
              <w:t>Carried Interest Distributions</w:t>
            </w:r>
          </w:p>
        </w:tc>
        <w:tc>
          <w:tcPr>
            <w:tcW w:w="280" w:type="dxa"/>
            <w:vAlign w:val="bottom"/>
            <w:tcBorders>
              <w:bottom w:val="single" w:sz="8" w:color="112B19"/>
            </w:tcBorders>
          </w:tcPr>
          <w:p>
            <w:pPr>
              <w:spacing w:after="0"/>
              <w:rPr>
                <w:sz w:val="10"/>
                <w:szCs w:val="10"/>
                <w:color w:val="auto"/>
              </w:rPr>
            </w:pPr>
          </w:p>
        </w:tc>
        <w:tc>
          <w:tcPr>
            <w:tcW w:w="1620" w:type="dxa"/>
            <w:vAlign w:val="bottom"/>
            <w:tcBorders>
              <w:bottom w:val="single" w:sz="8" w:color="112B19"/>
            </w:tcBorders>
          </w:tcPr>
          <w:p>
            <w:pPr>
              <w:jc w:val="right"/>
              <w:ind w:right="186"/>
              <w:spacing w:after="0" w:line="125" w:lineRule="exact"/>
              <w:rPr>
                <w:sz w:val="20"/>
                <w:szCs w:val="20"/>
                <w:color w:val="auto"/>
              </w:rPr>
            </w:pPr>
            <w:r>
              <w:rPr>
                <w:rFonts w:ascii="Arial" w:cs="Arial" w:eastAsia="Arial" w:hAnsi="Arial"/>
                <w:sz w:val="11"/>
                <w:szCs w:val="11"/>
                <w:b w:val="1"/>
                <w:bCs w:val="1"/>
                <w:color w:val="112B19"/>
              </w:rPr>
              <w:t>RSU Dividend Payments</w:t>
            </w:r>
          </w:p>
        </w:tc>
        <w:tc>
          <w:tcPr>
            <w:tcW w:w="260" w:type="dxa"/>
            <w:vAlign w:val="bottom"/>
            <w:tcBorders>
              <w:bottom w:val="single" w:sz="8" w:color="112B19"/>
            </w:tcBorders>
          </w:tcPr>
          <w:p>
            <w:pPr>
              <w:spacing w:after="0"/>
              <w:rPr>
                <w:sz w:val="10"/>
                <w:szCs w:val="10"/>
                <w:color w:val="auto"/>
              </w:rPr>
            </w:pPr>
          </w:p>
        </w:tc>
        <w:tc>
          <w:tcPr>
            <w:tcW w:w="1620" w:type="dxa"/>
            <w:vAlign w:val="bottom"/>
            <w:tcBorders>
              <w:bottom w:val="single" w:sz="8" w:color="112B19"/>
            </w:tcBorders>
          </w:tcPr>
          <w:p>
            <w:pPr>
              <w:jc w:val="right"/>
              <w:ind w:right="146"/>
              <w:spacing w:after="0" w:line="125" w:lineRule="exact"/>
              <w:rPr>
                <w:sz w:val="20"/>
                <w:szCs w:val="20"/>
                <w:color w:val="auto"/>
              </w:rPr>
            </w:pPr>
            <w:r>
              <w:rPr>
                <w:rFonts w:ascii="Arial" w:cs="Arial" w:eastAsia="Arial" w:hAnsi="Arial"/>
                <w:sz w:val="11"/>
                <w:szCs w:val="11"/>
                <w:b w:val="1"/>
                <w:bCs w:val="1"/>
                <w:color w:val="112B19"/>
              </w:rPr>
              <w:t>401(k) Plan Contributions</w:t>
            </w:r>
          </w:p>
        </w:tc>
      </w:tr>
      <w:tr>
        <w:trPr>
          <w:trHeight w:val="115"/>
        </w:trPr>
        <w:tc>
          <w:tcPr>
            <w:tcW w:w="1540" w:type="dxa"/>
            <w:vAlign w:val="bottom"/>
          </w:tcPr>
          <w:p>
            <w:pPr>
              <w:ind w:left="60"/>
              <w:spacing w:after="0" w:line="115" w:lineRule="exact"/>
              <w:rPr>
                <w:sz w:val="20"/>
                <w:szCs w:val="20"/>
                <w:color w:val="auto"/>
              </w:rPr>
            </w:pPr>
            <w:r>
              <w:rPr>
                <w:rFonts w:ascii="Arial" w:cs="Arial" w:eastAsia="Arial" w:hAnsi="Arial"/>
                <w:sz w:val="11"/>
                <w:szCs w:val="11"/>
                <w:color w:val="auto"/>
              </w:rPr>
              <w:t>Luke A. Sarsfield III</w:t>
            </w:r>
          </w:p>
        </w:tc>
        <w:tc>
          <w:tcPr>
            <w:tcW w:w="500" w:type="dxa"/>
            <w:vAlign w:val="bottom"/>
          </w:tcPr>
          <w:p>
            <w:pPr>
              <w:jc w:val="right"/>
              <w:ind w:right="6"/>
              <w:spacing w:after="0" w:line="115" w:lineRule="exact"/>
              <w:rPr>
                <w:sz w:val="20"/>
                <w:szCs w:val="20"/>
                <w:color w:val="auto"/>
              </w:rPr>
            </w:pPr>
            <w:r>
              <w:rPr>
                <w:rFonts w:ascii="Arial" w:cs="Arial" w:eastAsia="Arial" w:hAnsi="Arial"/>
                <w:sz w:val="11"/>
                <w:szCs w:val="11"/>
                <w:color w:val="auto"/>
              </w:rPr>
              <w:t>$</w:t>
            </w:r>
          </w:p>
        </w:tc>
        <w:tc>
          <w:tcPr>
            <w:tcW w:w="1680" w:type="dxa"/>
            <w:vAlign w:val="bottom"/>
          </w:tcPr>
          <w:p>
            <w:pPr>
              <w:jc w:val="right"/>
              <w:ind w:right="26"/>
              <w:spacing w:after="0" w:line="115" w:lineRule="exact"/>
              <w:rPr>
                <w:sz w:val="20"/>
                <w:szCs w:val="20"/>
                <w:color w:val="auto"/>
              </w:rPr>
            </w:pPr>
            <w:r>
              <w:rPr>
                <w:rFonts w:ascii="Arial" w:cs="Arial" w:eastAsia="Arial" w:hAnsi="Arial"/>
                <w:sz w:val="11"/>
                <w:szCs w:val="11"/>
                <w:color w:val="auto"/>
              </w:rPr>
              <w:t>314,797</w:t>
            </w:r>
          </w:p>
        </w:tc>
        <w:tc>
          <w:tcPr>
            <w:tcW w:w="280" w:type="dxa"/>
            <w:vAlign w:val="bottom"/>
          </w:tcPr>
          <w:p>
            <w:pPr>
              <w:jc w:val="right"/>
              <w:ind w:right="66"/>
              <w:spacing w:after="0" w:line="115" w:lineRule="exact"/>
              <w:rPr>
                <w:sz w:val="20"/>
                <w:szCs w:val="20"/>
                <w:color w:val="auto"/>
              </w:rPr>
            </w:pPr>
            <w:r>
              <w:rPr>
                <w:rFonts w:ascii="Arial" w:cs="Arial" w:eastAsia="Arial" w:hAnsi="Arial"/>
                <w:sz w:val="11"/>
                <w:szCs w:val="11"/>
                <w:color w:val="auto"/>
              </w:rPr>
              <w:t>$</w:t>
            </w:r>
          </w:p>
        </w:tc>
        <w:tc>
          <w:tcPr>
            <w:tcW w:w="1620" w:type="dxa"/>
            <w:vAlign w:val="bottom"/>
          </w:tcPr>
          <w:p>
            <w:pPr>
              <w:jc w:val="right"/>
              <w:ind w:right="46"/>
              <w:spacing w:after="0" w:line="115" w:lineRule="exact"/>
              <w:rPr>
                <w:sz w:val="20"/>
                <w:szCs w:val="20"/>
                <w:color w:val="auto"/>
              </w:rPr>
            </w:pPr>
            <w:r>
              <w:rPr>
                <w:rFonts w:ascii="Arial" w:cs="Arial" w:eastAsia="Arial" w:hAnsi="Arial"/>
                <w:sz w:val="11"/>
                <w:szCs w:val="11"/>
                <w:color w:val="auto"/>
              </w:rPr>
              <w:t>77,062</w:t>
            </w:r>
          </w:p>
        </w:tc>
        <w:tc>
          <w:tcPr>
            <w:tcW w:w="260" w:type="dxa"/>
            <w:vAlign w:val="bottom"/>
          </w:tcPr>
          <w:p>
            <w:pPr>
              <w:jc w:val="right"/>
              <w:ind w:right="66"/>
              <w:spacing w:after="0" w:line="115" w:lineRule="exact"/>
              <w:rPr>
                <w:sz w:val="20"/>
                <w:szCs w:val="20"/>
                <w:color w:val="auto"/>
              </w:rPr>
            </w:pPr>
            <w:r>
              <w:rPr>
                <w:rFonts w:ascii="Arial" w:cs="Arial" w:eastAsia="Arial" w:hAnsi="Arial"/>
                <w:sz w:val="11"/>
                <w:szCs w:val="11"/>
                <w:color w:val="auto"/>
              </w:rPr>
              <w:t>$</w:t>
            </w:r>
          </w:p>
        </w:tc>
        <w:tc>
          <w:tcPr>
            <w:tcW w:w="1620" w:type="dxa"/>
            <w:vAlign w:val="bottom"/>
          </w:tcPr>
          <w:p>
            <w:pPr>
              <w:jc w:val="right"/>
              <w:ind w:right="26"/>
              <w:spacing w:after="0" w:line="115" w:lineRule="exact"/>
              <w:rPr>
                <w:sz w:val="20"/>
                <w:szCs w:val="20"/>
                <w:color w:val="auto"/>
              </w:rPr>
            </w:pPr>
            <w:r>
              <w:rPr>
                <w:rFonts w:ascii="Arial" w:cs="Arial" w:eastAsia="Arial" w:hAnsi="Arial"/>
                <w:sz w:val="11"/>
                <w:szCs w:val="11"/>
                <w:color w:val="auto"/>
              </w:rPr>
              <w:t>10,500</w:t>
            </w:r>
          </w:p>
        </w:tc>
      </w:tr>
      <w:tr>
        <w:trPr>
          <w:trHeight w:val="121"/>
        </w:trPr>
        <w:tc>
          <w:tcPr>
            <w:tcW w:w="1540" w:type="dxa"/>
            <w:vAlign w:val="bottom"/>
            <w:shd w:val="clear" w:color="auto" w:fill="EDEDED"/>
          </w:tcPr>
          <w:p>
            <w:pPr>
              <w:ind w:left="60"/>
              <w:spacing w:after="0" w:line="122" w:lineRule="exact"/>
              <w:rPr>
                <w:sz w:val="20"/>
                <w:szCs w:val="20"/>
                <w:color w:val="auto"/>
              </w:rPr>
            </w:pPr>
            <w:r>
              <w:rPr>
                <w:rFonts w:ascii="Arial" w:cs="Arial" w:eastAsia="Arial" w:hAnsi="Arial"/>
                <w:sz w:val="11"/>
                <w:szCs w:val="11"/>
                <w:color w:val="auto"/>
              </w:rPr>
              <w:t>Amanda Coussens</w:t>
            </w:r>
          </w:p>
        </w:tc>
        <w:tc>
          <w:tcPr>
            <w:tcW w:w="50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80" w:type="dxa"/>
            <w:vAlign w:val="bottom"/>
            <w:shd w:val="clear" w:color="auto" w:fill="EDEDED"/>
          </w:tcPr>
          <w:p>
            <w:pPr>
              <w:jc w:val="right"/>
              <w:ind w:right="26"/>
              <w:spacing w:after="0" w:line="122" w:lineRule="exact"/>
              <w:rPr>
                <w:sz w:val="20"/>
                <w:szCs w:val="20"/>
                <w:color w:val="auto"/>
              </w:rPr>
            </w:pPr>
            <w:r>
              <w:rPr>
                <w:rFonts w:ascii="Arial" w:cs="Arial" w:eastAsia="Arial" w:hAnsi="Arial"/>
                <w:sz w:val="11"/>
                <w:szCs w:val="11"/>
                <w:color w:val="auto"/>
              </w:rPr>
              <w:t>125,698</w:t>
            </w:r>
          </w:p>
        </w:tc>
        <w:tc>
          <w:tcPr>
            <w:tcW w:w="28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620" w:type="dxa"/>
            <w:vAlign w:val="bottom"/>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11,058</w:t>
            </w:r>
          </w:p>
        </w:tc>
        <w:tc>
          <w:tcPr>
            <w:tcW w:w="26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620" w:type="dxa"/>
            <w:vAlign w:val="bottom"/>
            <w:shd w:val="clear" w:color="auto" w:fill="EDEDED"/>
          </w:tcPr>
          <w:p>
            <w:pPr>
              <w:jc w:val="right"/>
              <w:ind w:right="26"/>
              <w:spacing w:after="0" w:line="122" w:lineRule="exact"/>
              <w:rPr>
                <w:sz w:val="20"/>
                <w:szCs w:val="20"/>
                <w:color w:val="auto"/>
              </w:rPr>
            </w:pPr>
            <w:r>
              <w:rPr>
                <w:rFonts w:ascii="Arial" w:cs="Arial" w:eastAsia="Arial" w:hAnsi="Arial"/>
                <w:sz w:val="11"/>
                <w:szCs w:val="11"/>
                <w:color w:val="auto"/>
              </w:rPr>
              <w:t>10,500</w:t>
            </w:r>
          </w:p>
        </w:tc>
      </w:tr>
      <w:tr>
        <w:trPr>
          <w:trHeight w:val="122"/>
        </w:trPr>
        <w:tc>
          <w:tcPr>
            <w:tcW w:w="1540" w:type="dxa"/>
            <w:vAlign w:val="bottom"/>
          </w:tcPr>
          <w:p>
            <w:pPr>
              <w:ind w:left="60"/>
              <w:spacing w:after="0" w:line="122" w:lineRule="exact"/>
              <w:rPr>
                <w:sz w:val="20"/>
                <w:szCs w:val="20"/>
                <w:color w:val="auto"/>
              </w:rPr>
            </w:pPr>
            <w:r>
              <w:rPr>
                <w:rFonts w:ascii="Arial" w:cs="Arial" w:eastAsia="Arial" w:hAnsi="Arial"/>
                <w:sz w:val="11"/>
                <w:szCs w:val="11"/>
                <w:color w:val="auto"/>
              </w:rPr>
              <w:t>Mark Hood</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122,870</w:t>
            </w:r>
          </w:p>
        </w:tc>
        <w:tc>
          <w:tcPr>
            <w:tcW w:w="2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6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8,364</w:t>
            </w:r>
          </w:p>
        </w:tc>
        <w:tc>
          <w:tcPr>
            <w:tcW w:w="26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6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10,500</w:t>
            </w:r>
          </w:p>
        </w:tc>
      </w:tr>
      <w:tr>
        <w:trPr>
          <w:trHeight w:val="121"/>
        </w:trPr>
        <w:tc>
          <w:tcPr>
            <w:tcW w:w="1540" w:type="dxa"/>
            <w:vAlign w:val="bottom"/>
            <w:shd w:val="clear" w:color="auto" w:fill="EDEDED"/>
          </w:tcPr>
          <w:p>
            <w:pPr>
              <w:ind w:left="60"/>
              <w:spacing w:after="0" w:line="122" w:lineRule="exact"/>
              <w:rPr>
                <w:sz w:val="20"/>
                <w:szCs w:val="20"/>
                <w:color w:val="auto"/>
              </w:rPr>
            </w:pPr>
            <w:r>
              <w:rPr>
                <w:rFonts w:ascii="Arial" w:cs="Arial" w:eastAsia="Arial" w:hAnsi="Arial"/>
                <w:sz w:val="11"/>
                <w:szCs w:val="11"/>
                <w:color w:val="auto"/>
              </w:rPr>
              <w:t>Sarita Jairath</w:t>
            </w:r>
          </w:p>
        </w:tc>
        <w:tc>
          <w:tcPr>
            <w:tcW w:w="50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80" w:type="dxa"/>
            <w:vAlign w:val="bottom"/>
            <w:shd w:val="clear" w:color="auto" w:fill="EDEDED"/>
          </w:tcPr>
          <w:p>
            <w:pPr>
              <w:jc w:val="right"/>
              <w:ind w:right="26"/>
              <w:spacing w:after="0" w:line="122" w:lineRule="exact"/>
              <w:rPr>
                <w:sz w:val="20"/>
                <w:szCs w:val="20"/>
                <w:color w:val="auto"/>
              </w:rPr>
            </w:pPr>
            <w:r>
              <w:rPr>
                <w:rFonts w:ascii="Arial" w:cs="Arial" w:eastAsia="Arial" w:hAnsi="Arial"/>
                <w:sz w:val="11"/>
                <w:szCs w:val="11"/>
                <w:color w:val="auto"/>
              </w:rPr>
              <w:t>71,960</w:t>
            </w:r>
          </w:p>
        </w:tc>
        <w:tc>
          <w:tcPr>
            <w:tcW w:w="28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620" w:type="dxa"/>
            <w:vAlign w:val="bottom"/>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14,225</w:t>
            </w:r>
          </w:p>
        </w:tc>
        <w:tc>
          <w:tcPr>
            <w:tcW w:w="26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620" w:type="dxa"/>
            <w:vAlign w:val="bottom"/>
            <w:shd w:val="clear" w:color="auto" w:fill="EDEDED"/>
          </w:tcPr>
          <w:p>
            <w:pPr>
              <w:jc w:val="right"/>
              <w:ind w:right="26"/>
              <w:spacing w:after="0" w:line="122" w:lineRule="exact"/>
              <w:rPr>
                <w:sz w:val="20"/>
                <w:szCs w:val="20"/>
                <w:color w:val="auto"/>
              </w:rPr>
            </w:pPr>
            <w:r>
              <w:rPr>
                <w:rFonts w:ascii="Arial" w:cs="Arial" w:eastAsia="Arial" w:hAnsi="Arial"/>
                <w:sz w:val="11"/>
                <w:szCs w:val="11"/>
                <w:color w:val="auto"/>
              </w:rPr>
              <w:t>10,500</w:t>
            </w:r>
          </w:p>
        </w:tc>
      </w:tr>
      <w:tr>
        <w:trPr>
          <w:trHeight w:val="122"/>
        </w:trPr>
        <w:tc>
          <w:tcPr>
            <w:tcW w:w="1540" w:type="dxa"/>
            <w:vAlign w:val="bottom"/>
            <w:tcBorders>
              <w:bottom w:val="single" w:sz="8" w:color="auto"/>
            </w:tcBorders>
          </w:tcPr>
          <w:p>
            <w:pPr>
              <w:ind w:left="60"/>
              <w:spacing w:after="0" w:line="122" w:lineRule="exact"/>
              <w:rPr>
                <w:sz w:val="20"/>
                <w:szCs w:val="20"/>
                <w:color w:val="auto"/>
              </w:rPr>
            </w:pPr>
            <w:r>
              <w:rPr>
                <w:rFonts w:ascii="Arial" w:cs="Arial" w:eastAsia="Arial" w:hAnsi="Arial"/>
                <w:sz w:val="11"/>
                <w:szCs w:val="11"/>
                <w:color w:val="auto"/>
              </w:rPr>
              <w:t>Richard (Arjay) Jensen</w:t>
            </w:r>
          </w:p>
        </w:tc>
        <w:tc>
          <w:tcPr>
            <w:tcW w:w="500" w:type="dxa"/>
            <w:vAlign w:val="bottom"/>
            <w:tcBorders>
              <w:bottom w:val="single" w:sz="8" w:color="auto"/>
            </w:tcBorders>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680" w:type="dxa"/>
            <w:vAlign w:val="bottom"/>
            <w:tcBorders>
              <w:bottom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134,917</w:t>
            </w:r>
          </w:p>
        </w:tc>
        <w:tc>
          <w:tcPr>
            <w:tcW w:w="280" w:type="dxa"/>
            <w:vAlign w:val="bottom"/>
            <w:tcBorders>
              <w:bottom w:val="single" w:sz="8" w:color="auto"/>
            </w:tcBorders>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620" w:type="dxa"/>
            <w:vAlign w:val="bottom"/>
            <w:tcBorders>
              <w:bottom w:val="single" w:sz="8" w:color="auto"/>
            </w:tcBorders>
          </w:tcPr>
          <w:p>
            <w:pPr>
              <w:jc w:val="right"/>
              <w:ind w:right="46"/>
              <w:spacing w:after="0" w:line="122" w:lineRule="exact"/>
              <w:rPr>
                <w:sz w:val="20"/>
                <w:szCs w:val="20"/>
                <w:color w:val="auto"/>
              </w:rPr>
            </w:pPr>
            <w:r>
              <w:rPr>
                <w:rFonts w:ascii="Arial" w:cs="Arial" w:eastAsia="Arial" w:hAnsi="Arial"/>
                <w:sz w:val="11"/>
                <w:szCs w:val="11"/>
                <w:color w:val="auto"/>
              </w:rPr>
              <w:t>8,867</w:t>
            </w:r>
          </w:p>
        </w:tc>
        <w:tc>
          <w:tcPr>
            <w:tcW w:w="260" w:type="dxa"/>
            <w:vAlign w:val="bottom"/>
            <w:tcBorders>
              <w:bottom w:val="single" w:sz="8" w:color="auto"/>
            </w:tcBorders>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620" w:type="dxa"/>
            <w:vAlign w:val="bottom"/>
            <w:tcBorders>
              <w:bottom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10,500</w:t>
            </w:r>
          </w:p>
        </w:tc>
      </w:tr>
    </w:tbl>
    <w:p>
      <w:pPr>
        <w:spacing w:after="0" w:line="200" w:lineRule="exact"/>
        <w:rPr>
          <w:sz w:val="20"/>
          <w:szCs w:val="20"/>
          <w:color w:val="auto"/>
        </w:rPr>
      </w:pPr>
    </w:p>
    <w:p>
      <w:pPr>
        <w:spacing w:after="0" w:line="236" w:lineRule="exact"/>
        <w:rPr>
          <w:sz w:val="20"/>
          <w:szCs w:val="20"/>
          <w:color w:val="auto"/>
        </w:rPr>
      </w:pPr>
    </w:p>
    <w:p>
      <w:pPr>
        <w:ind w:left="480" w:hanging="474"/>
        <w:spacing w:after="0"/>
        <w:tabs>
          <w:tab w:leader="none" w:pos="480" w:val="left"/>
        </w:tabs>
        <w:numPr>
          <w:ilvl w:val="0"/>
          <w:numId w:val="40"/>
        </w:numPr>
        <w:rPr>
          <w:rFonts w:ascii="Arial" w:cs="Arial" w:eastAsia="Arial" w:hAnsi="Arial"/>
          <w:sz w:val="14"/>
          <w:szCs w:val="14"/>
          <w:b w:val="1"/>
          <w:bCs w:val="1"/>
          <w:color w:val="050A35"/>
        </w:rPr>
      </w:pPr>
      <w:r>
        <w:rPr>
          <w:rFonts w:ascii="Arial" w:cs="Arial" w:eastAsia="Arial" w:hAnsi="Arial"/>
          <w:sz w:val="14"/>
          <w:szCs w:val="14"/>
          <w:color w:val="050A35"/>
        </w:rPr>
        <w:t>RIDGEPOST CAPITAL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473710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775" w:right="1259" w:bottom="1440" w:gutter="0" w:footer="0" w:header="0"/>
        </w:sectPr>
      </w:pPr>
    </w:p>
    <w:bookmarkStart w:id="24" w:name="page25"/>
    <w:bookmarkEnd w:id="24"/>
    <w:p>
      <w:pPr>
        <w:ind w:left="8560"/>
        <w:spacing w:after="0"/>
        <w:rPr>
          <w:sz w:val="20"/>
          <w:szCs w:val="20"/>
          <w:color w:val="auto"/>
        </w:rPr>
      </w:pPr>
      <w:r>
        <w:rPr>
          <w:rFonts w:ascii="Arial" w:cs="Arial" w:eastAsia="Arial" w:hAnsi="Arial"/>
          <w:sz w:val="13"/>
          <w:szCs w:val="13"/>
          <w:color w:val="050A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22"/>
          <w:szCs w:val="22"/>
          <w:color w:val="050A35"/>
        </w:rPr>
        <w:t>Grants of Plan-Based Awards</w:t>
      </w:r>
    </w:p>
    <w:p>
      <w:pPr>
        <w:spacing w:after="0" w:line="131" w:lineRule="exact"/>
        <w:rPr>
          <w:sz w:val="20"/>
          <w:szCs w:val="20"/>
          <w:color w:val="auto"/>
        </w:rPr>
      </w:pPr>
    </w:p>
    <w:p>
      <w:pPr>
        <w:ind w:left="660" w:right="880"/>
        <w:spacing w:after="0" w:line="264" w:lineRule="auto"/>
        <w:rPr>
          <w:sz w:val="20"/>
          <w:szCs w:val="20"/>
          <w:color w:val="auto"/>
        </w:rPr>
      </w:pPr>
      <w:r>
        <w:rPr>
          <w:rFonts w:ascii="Arial" w:cs="Arial" w:eastAsia="Arial" w:hAnsi="Arial"/>
          <w:sz w:val="15"/>
          <w:szCs w:val="15"/>
          <w:color w:val="050A35"/>
        </w:rPr>
        <w:t>The following table sets forth information regarding grants of plan-based awards to each of our named executive officers during the year ended December 31, 2025.</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b w:val="1"/>
                <w:bCs w:val="1"/>
                <w:color w:val="112B19"/>
              </w:rPr>
              <w:t>All Other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112B19"/>
              </w:rPr>
              <w:t>All Other</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Arial" w:cs="Arial" w:eastAsia="Arial" w:hAnsi="Arial"/>
                <w:sz w:val="14"/>
                <w:szCs w:val="14"/>
                <w:b w:val="1"/>
                <w:bCs w:val="1"/>
                <w:color w:val="112B19"/>
                <w:w w:val="99"/>
              </w:rPr>
              <w:t>Stock</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112B19"/>
              </w:rPr>
              <w:t>Option</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b w:val="1"/>
                <w:bCs w:val="1"/>
                <w:color w:val="112B19"/>
              </w:rPr>
              <w:t>Awards: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112B19"/>
              </w:rPr>
              <w:t>Awards:</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Arial" w:cs="Arial" w:eastAsia="Arial" w:hAnsi="Arial"/>
                <w:sz w:val="14"/>
                <w:szCs w:val="14"/>
                <w:b w:val="1"/>
                <w:bCs w:val="1"/>
                <w:color w:val="112B19"/>
              </w:rPr>
              <w:t>Number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112B19"/>
              </w:rPr>
              <w:t>Number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112B19"/>
              </w:rPr>
              <w:t>Exercise or</w:t>
            </w:r>
          </w:p>
        </w:tc>
        <w:tc>
          <w:tcPr>
            <w:tcW w:w="860" w:type="dxa"/>
            <w:vAlign w:val="bottom"/>
          </w:tcPr>
          <w:p>
            <w:pPr>
              <w:jc w:val="center"/>
              <w:ind w:left="48"/>
              <w:spacing w:after="0"/>
              <w:rPr>
                <w:sz w:val="20"/>
                <w:szCs w:val="20"/>
                <w:color w:val="auto"/>
              </w:rPr>
            </w:pPr>
            <w:r>
              <w:rPr>
                <w:rFonts w:ascii="Arial" w:cs="Arial" w:eastAsia="Arial" w:hAnsi="Arial"/>
                <w:sz w:val="14"/>
                <w:szCs w:val="14"/>
                <w:b w:val="1"/>
                <w:bCs w:val="1"/>
                <w:color w:val="112B19"/>
              </w:rPr>
              <w:t>Grant Date</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b w:val="1"/>
                <w:bCs w:val="1"/>
                <w:color w:val="112B19"/>
              </w:rPr>
              <w:t>of Shares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112B19"/>
              </w:rPr>
              <w:t>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112B19"/>
              </w:rPr>
              <w:t>Base</w:t>
            </w:r>
          </w:p>
        </w:tc>
        <w:tc>
          <w:tcPr>
            <w:tcW w:w="860" w:type="dxa"/>
            <w:vAlign w:val="bottom"/>
          </w:tcPr>
          <w:p>
            <w:pPr>
              <w:jc w:val="center"/>
              <w:ind w:left="88"/>
              <w:spacing w:after="0"/>
              <w:rPr>
                <w:sz w:val="20"/>
                <w:szCs w:val="20"/>
                <w:color w:val="auto"/>
              </w:rPr>
            </w:pPr>
            <w:r>
              <w:rPr>
                <w:rFonts w:ascii="Arial" w:cs="Arial" w:eastAsia="Arial" w:hAnsi="Arial"/>
                <w:sz w:val="14"/>
                <w:szCs w:val="14"/>
                <w:b w:val="1"/>
                <w:bCs w:val="1"/>
                <w:color w:val="112B19"/>
              </w:rPr>
              <w:t>Fair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Arial" w:cs="Arial" w:eastAsia="Arial" w:hAnsi="Arial"/>
                <w:sz w:val="14"/>
                <w:szCs w:val="14"/>
                <w:b w:val="1"/>
                <w:bCs w:val="1"/>
                <w:color w:val="112B19"/>
              </w:rPr>
              <w:t>of</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112B19"/>
              </w:rPr>
              <w:t>Securities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112B19"/>
              </w:rPr>
              <w:t>Price of</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112B19"/>
              </w:rPr>
              <w:t>Value of</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b w:val="1"/>
                <w:bCs w:val="1"/>
                <w:color w:val="112B19"/>
              </w:rPr>
              <w:t>Stock or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112B19"/>
              </w:rPr>
              <w:t>Underlying</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112B19"/>
              </w:rPr>
              <w:t>Option</w:t>
            </w:r>
          </w:p>
        </w:tc>
        <w:tc>
          <w:tcPr>
            <w:tcW w:w="860" w:type="dxa"/>
            <w:vAlign w:val="bottom"/>
          </w:tcPr>
          <w:p>
            <w:pPr>
              <w:jc w:val="center"/>
              <w:ind w:left="68"/>
              <w:spacing w:after="0"/>
              <w:rPr>
                <w:sz w:val="20"/>
                <w:szCs w:val="20"/>
                <w:color w:val="auto"/>
              </w:rPr>
            </w:pPr>
            <w:r>
              <w:rPr>
                <w:rFonts w:ascii="Arial" w:cs="Arial" w:eastAsia="Arial" w:hAnsi="Arial"/>
                <w:sz w:val="14"/>
                <w:szCs w:val="14"/>
                <w:b w:val="1"/>
                <w:bCs w:val="1"/>
                <w:color w:val="112B19"/>
              </w:rPr>
              <w:t>Stock and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80" w:type="dxa"/>
            <w:vAlign w:val="bottom"/>
          </w:tcPr>
          <w:p>
            <w:pPr>
              <w:jc w:val="right"/>
              <w:ind w:right="168"/>
              <w:spacing w:after="0"/>
              <w:rPr>
                <w:sz w:val="20"/>
                <w:szCs w:val="20"/>
                <w:color w:val="auto"/>
              </w:rPr>
            </w:pPr>
            <w:r>
              <w:rPr>
                <w:rFonts w:ascii="Arial" w:cs="Arial" w:eastAsia="Arial" w:hAnsi="Arial"/>
                <w:sz w:val="14"/>
                <w:szCs w:val="14"/>
                <w:b w:val="1"/>
                <w:bCs w:val="1"/>
                <w:color w:val="112B19"/>
              </w:rPr>
              <w:t>Approval</w:t>
            </w:r>
          </w:p>
        </w:tc>
        <w:tc>
          <w:tcPr>
            <w:tcW w:w="920" w:type="dxa"/>
            <w:vAlign w:val="bottom"/>
          </w:tcPr>
          <w:p>
            <w:pPr>
              <w:jc w:val="center"/>
              <w:ind w:right="8"/>
              <w:spacing w:after="0"/>
              <w:rPr>
                <w:sz w:val="20"/>
                <w:szCs w:val="20"/>
                <w:color w:val="auto"/>
              </w:rPr>
            </w:pPr>
            <w:r>
              <w:rPr>
                <w:rFonts w:ascii="Arial" w:cs="Arial" w:eastAsia="Arial" w:hAnsi="Arial"/>
                <w:sz w:val="14"/>
                <w:szCs w:val="14"/>
                <w:b w:val="1"/>
                <w:bCs w:val="1"/>
                <w:color w:val="112B19"/>
              </w:rPr>
              <w:t>Units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112B19"/>
              </w:rPr>
              <w:t>Options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112B19"/>
              </w:rPr>
              <w:t>Awards</w:t>
            </w:r>
          </w:p>
        </w:tc>
        <w:tc>
          <w:tcPr>
            <w:tcW w:w="860" w:type="dxa"/>
            <w:vAlign w:val="bottom"/>
          </w:tcPr>
          <w:p>
            <w:pPr>
              <w:jc w:val="center"/>
              <w:ind w:left="48"/>
              <w:spacing w:after="0"/>
              <w:rPr>
                <w:sz w:val="20"/>
                <w:szCs w:val="20"/>
                <w:color w:val="auto"/>
              </w:rPr>
            </w:pPr>
            <w:r>
              <w:rPr>
                <w:rFonts w:ascii="Arial" w:cs="Arial" w:eastAsia="Arial" w:hAnsi="Arial"/>
                <w:sz w:val="14"/>
                <w:szCs w:val="14"/>
                <w:b w:val="1"/>
                <w:bCs w:val="1"/>
                <w:color w:val="112B19"/>
              </w:rPr>
              <w:t>Option</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b w:val="1"/>
                <w:bCs w:val="1"/>
                <w:color w:val="112B19"/>
              </w:rPr>
              <w:t>Name</w:t>
            </w:r>
          </w:p>
        </w:tc>
        <w:tc>
          <w:tcPr>
            <w:tcW w:w="1860" w:type="dxa"/>
            <w:vAlign w:val="bottom"/>
          </w:tcPr>
          <w:p>
            <w:pPr>
              <w:jc w:val="right"/>
              <w:ind w:right="228"/>
              <w:spacing w:after="0"/>
              <w:rPr>
                <w:sz w:val="20"/>
                <w:szCs w:val="20"/>
                <w:color w:val="auto"/>
              </w:rPr>
            </w:pPr>
            <w:r>
              <w:rPr>
                <w:rFonts w:ascii="Arial" w:cs="Arial" w:eastAsia="Arial" w:hAnsi="Arial"/>
                <w:sz w:val="14"/>
                <w:szCs w:val="14"/>
                <w:b w:val="1"/>
                <w:bCs w:val="1"/>
                <w:color w:val="112B19"/>
              </w:rPr>
              <w:t>Grant Date</w:t>
            </w:r>
          </w:p>
        </w:tc>
        <w:tc>
          <w:tcPr>
            <w:tcW w:w="1080" w:type="dxa"/>
            <w:vAlign w:val="bottom"/>
          </w:tcPr>
          <w:p>
            <w:pPr>
              <w:jc w:val="right"/>
              <w:ind w:right="308"/>
              <w:spacing w:after="0"/>
              <w:rPr>
                <w:sz w:val="20"/>
                <w:szCs w:val="20"/>
                <w:color w:val="auto"/>
              </w:rPr>
            </w:pPr>
            <w:r>
              <w:rPr>
                <w:rFonts w:ascii="Arial" w:cs="Arial" w:eastAsia="Arial" w:hAnsi="Arial"/>
                <w:sz w:val="14"/>
                <w:szCs w:val="14"/>
                <w:b w:val="1"/>
                <w:bCs w:val="1"/>
                <w:color w:val="112B19"/>
              </w:rPr>
              <w:t>Date</w:t>
            </w:r>
          </w:p>
        </w:tc>
        <w:tc>
          <w:tcPr>
            <w:tcW w:w="920" w:type="dxa"/>
            <w:vAlign w:val="bottom"/>
          </w:tcPr>
          <w:p>
            <w:pPr>
              <w:jc w:val="center"/>
              <w:ind w:right="28"/>
              <w:spacing w:after="0"/>
              <w:rPr>
                <w:sz w:val="20"/>
                <w:szCs w:val="20"/>
                <w:color w:val="auto"/>
              </w:rPr>
            </w:pPr>
            <w:r>
              <w:rPr>
                <w:rFonts w:ascii="Arial" w:cs="Arial" w:eastAsia="Arial" w:hAnsi="Arial"/>
                <w:sz w:val="14"/>
                <w:szCs w:val="14"/>
                <w:b w:val="1"/>
                <w:bCs w:val="1"/>
                <w:color w:val="112B19"/>
              </w:rPr>
              <w: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112B19"/>
              </w:rPr>
              <w: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112B19"/>
              </w:rPr>
              <w:t>($/Sh)</w:t>
            </w:r>
          </w:p>
        </w:tc>
        <w:tc>
          <w:tcPr>
            <w:tcW w:w="16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112B19"/>
              </w:rPr>
              <w:t>Awards ($)</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2520" w:type="dxa"/>
            <w:vAlign w:val="bottom"/>
            <w:tcBorders>
              <w:top w:val="single" w:sz="8" w:color="112B19"/>
            </w:tcBorders>
          </w:tcPr>
          <w:p>
            <w:pPr>
              <w:ind w:left="100"/>
              <w:spacing w:after="0"/>
              <w:rPr>
                <w:sz w:val="20"/>
                <w:szCs w:val="20"/>
                <w:color w:val="auto"/>
              </w:rPr>
            </w:pPr>
            <w:r>
              <w:rPr>
                <w:rFonts w:ascii="Arial" w:cs="Arial" w:eastAsia="Arial" w:hAnsi="Arial"/>
                <w:sz w:val="14"/>
                <w:szCs w:val="14"/>
                <w:color w:val="auto"/>
              </w:rPr>
              <w:t>Luke A. Sarsfield III</w:t>
            </w:r>
          </w:p>
        </w:tc>
        <w:tc>
          <w:tcPr>
            <w:tcW w:w="1860" w:type="dxa"/>
            <w:vAlign w:val="bottom"/>
            <w:tcBorders>
              <w:top w:val="single" w:sz="8" w:color="112B19"/>
            </w:tcBorders>
          </w:tcPr>
          <w:p>
            <w:pPr>
              <w:spacing w:after="0"/>
              <w:rPr>
                <w:sz w:val="15"/>
                <w:szCs w:val="15"/>
                <w:color w:val="auto"/>
              </w:rPr>
            </w:pPr>
          </w:p>
        </w:tc>
        <w:tc>
          <w:tcPr>
            <w:tcW w:w="1080" w:type="dxa"/>
            <w:vAlign w:val="bottom"/>
            <w:tcBorders>
              <w:top w:val="single" w:sz="8" w:color="112B19"/>
            </w:tcBorders>
          </w:tcPr>
          <w:p>
            <w:pPr>
              <w:spacing w:after="0"/>
              <w:rPr>
                <w:sz w:val="15"/>
                <w:szCs w:val="15"/>
                <w:color w:val="auto"/>
              </w:rPr>
            </w:pPr>
          </w:p>
        </w:tc>
        <w:tc>
          <w:tcPr>
            <w:tcW w:w="920" w:type="dxa"/>
            <w:vAlign w:val="bottom"/>
            <w:tcBorders>
              <w:top w:val="single" w:sz="8" w:color="112B19"/>
            </w:tcBorders>
          </w:tcPr>
          <w:p>
            <w:pPr>
              <w:spacing w:after="0"/>
              <w:rPr>
                <w:sz w:val="15"/>
                <w:szCs w:val="15"/>
                <w:color w:val="auto"/>
              </w:rPr>
            </w:pPr>
          </w:p>
        </w:tc>
        <w:tc>
          <w:tcPr>
            <w:tcW w:w="980" w:type="dxa"/>
            <w:vAlign w:val="bottom"/>
            <w:tcBorders>
              <w:top w:val="single" w:sz="8" w:color="112B19"/>
            </w:tcBorders>
          </w:tcPr>
          <w:p>
            <w:pPr>
              <w:spacing w:after="0"/>
              <w:rPr>
                <w:sz w:val="15"/>
                <w:szCs w:val="15"/>
                <w:color w:val="auto"/>
              </w:rPr>
            </w:pPr>
          </w:p>
        </w:tc>
        <w:tc>
          <w:tcPr>
            <w:tcW w:w="1020" w:type="dxa"/>
            <w:vAlign w:val="bottom"/>
            <w:tcBorders>
              <w:top w:val="single" w:sz="8" w:color="112B19"/>
            </w:tcBorders>
          </w:tcPr>
          <w:p>
            <w:pPr>
              <w:spacing w:after="0"/>
              <w:rPr>
                <w:sz w:val="15"/>
                <w:szCs w:val="15"/>
                <w:color w:val="auto"/>
              </w:rPr>
            </w:pPr>
          </w:p>
        </w:tc>
        <w:tc>
          <w:tcPr>
            <w:tcW w:w="860" w:type="dxa"/>
            <w:vAlign w:val="bottom"/>
            <w:tcBorders>
              <w:top w:val="single" w:sz="8" w:color="112B19"/>
            </w:tcBorders>
          </w:tcPr>
          <w:p>
            <w:pPr>
              <w:spacing w:after="0"/>
              <w:rPr>
                <w:sz w:val="15"/>
                <w:szCs w:val="15"/>
                <w:color w:val="auto"/>
              </w:rPr>
            </w:pPr>
          </w:p>
        </w:tc>
        <w:tc>
          <w:tcPr>
            <w:tcW w:w="160" w:type="dxa"/>
            <w:vAlign w:val="bottom"/>
            <w:tcBorders>
              <w:top w:val="single" w:sz="8" w:color="112B19"/>
            </w:tcBorders>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2520" w:type="dxa"/>
            <w:vAlign w:val="bottom"/>
          </w:tcPr>
          <w:p>
            <w:pPr>
              <w:ind w:left="180"/>
              <w:spacing w:after="0"/>
              <w:rPr>
                <w:sz w:val="20"/>
                <w:szCs w:val="20"/>
                <w:color w:val="auto"/>
              </w:rPr>
            </w:pPr>
            <w:r>
              <w:rPr>
                <w:rFonts w:ascii="Arial" w:cs="Arial" w:eastAsia="Arial" w:hAnsi="Arial"/>
                <w:sz w:val="14"/>
                <w:szCs w:val="14"/>
                <w:i w:val="1"/>
                <w:iCs w:val="1"/>
                <w:color w:val="auto"/>
              </w:rPr>
              <w:t>Stock Options</w:t>
            </w:r>
          </w:p>
        </w:tc>
        <w:tc>
          <w:tcPr>
            <w:tcW w:w="1860" w:type="dxa"/>
            <w:vAlign w:val="bottom"/>
            <w:vMerge w:val="restart"/>
          </w:tcPr>
          <w:p>
            <w:pPr>
              <w:jc w:val="right"/>
              <w:ind w:right="148"/>
              <w:spacing w:after="0"/>
              <w:rPr>
                <w:sz w:val="20"/>
                <w:szCs w:val="20"/>
                <w:color w:val="auto"/>
              </w:rPr>
            </w:pPr>
            <w:r>
              <w:rPr>
                <w:rFonts w:ascii="Arial" w:cs="Arial" w:eastAsia="Arial" w:hAnsi="Arial"/>
                <w:sz w:val="14"/>
                <w:szCs w:val="14"/>
                <w:color w:val="auto"/>
              </w:rPr>
              <w:t>2/14/2025</w:t>
            </w: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2/11/2025</w:t>
            </w:r>
          </w:p>
        </w:tc>
        <w:tc>
          <w:tcPr>
            <w:tcW w:w="920" w:type="dxa"/>
            <w:vAlign w:val="bottom"/>
          </w:tcPr>
          <w:p>
            <w:pPr>
              <w:spacing w:after="0"/>
              <w:rPr>
                <w:sz w:val="20"/>
                <w:szCs w:val="20"/>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89,767</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12.61</w:t>
            </w:r>
          </w:p>
        </w:tc>
        <w:tc>
          <w:tcPr>
            <w:tcW w:w="10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467,624</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
        </w:trPr>
        <w:tc>
          <w:tcPr>
            <w:tcW w:w="66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52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4"/>
                <w:szCs w:val="14"/>
                <w:i w:val="1"/>
                <w:iCs w:val="1"/>
                <w:color w:val="auto"/>
              </w:rPr>
              <w:t>Restricted Stock Units</w:t>
            </w:r>
          </w:p>
        </w:tc>
        <w:tc>
          <w:tcPr>
            <w:tcW w:w="1860" w:type="dxa"/>
            <w:vAlign w:val="bottom"/>
            <w:tcBorders>
              <w:bottom w:val="single" w:sz="8" w:color="EDEDED"/>
            </w:tcBorders>
            <w:shd w:val="clear" w:color="auto" w:fill="EDEDED"/>
          </w:tcPr>
          <w:p>
            <w:pPr>
              <w:jc w:val="right"/>
              <w:ind w:right="148"/>
              <w:spacing w:after="0"/>
              <w:rPr>
                <w:sz w:val="20"/>
                <w:szCs w:val="20"/>
                <w:color w:val="auto"/>
              </w:rPr>
            </w:pPr>
            <w:r>
              <w:rPr>
                <w:rFonts w:ascii="Arial" w:cs="Arial" w:eastAsia="Arial" w:hAnsi="Arial"/>
                <w:sz w:val="14"/>
                <w:szCs w:val="14"/>
                <w:color w:val="auto"/>
              </w:rPr>
              <w:t>2/14/2025</w:t>
            </w:r>
          </w:p>
        </w:tc>
        <w:tc>
          <w:tcPr>
            <w:tcW w:w="1080" w:type="dxa"/>
            <w:vAlign w:val="bottom"/>
            <w:tcBorders>
              <w:bottom w:val="single" w:sz="8" w:color="EDEDED"/>
            </w:tcBorders>
            <w:shd w:val="clear" w:color="auto" w:fill="EDEDED"/>
          </w:tcPr>
          <w:p>
            <w:pPr>
              <w:jc w:val="right"/>
              <w:ind w:right="8"/>
              <w:spacing w:after="0"/>
              <w:rPr>
                <w:sz w:val="20"/>
                <w:szCs w:val="20"/>
                <w:color w:val="auto"/>
              </w:rPr>
            </w:pPr>
            <w:r>
              <w:rPr>
                <w:rFonts w:ascii="Arial" w:cs="Arial" w:eastAsia="Arial" w:hAnsi="Arial"/>
                <w:sz w:val="14"/>
                <w:szCs w:val="14"/>
                <w:color w:val="auto"/>
              </w:rPr>
              <w:t>2/11/2025</w:t>
            </w:r>
          </w:p>
        </w:tc>
        <w:tc>
          <w:tcPr>
            <w:tcW w:w="920" w:type="dxa"/>
            <w:vAlign w:val="bottom"/>
            <w:tcBorders>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118,954</w:t>
            </w:r>
          </w:p>
        </w:tc>
        <w:tc>
          <w:tcPr>
            <w:tcW w:w="980" w:type="dxa"/>
            <w:vAlign w:val="bottom"/>
            <w:tcBorders>
              <w:bottom w:val="single" w:sz="8" w:color="EDEDED"/>
            </w:tcBorders>
            <w:shd w:val="clear" w:color="auto" w:fill="EDEDED"/>
          </w:tcPr>
          <w:p>
            <w:pPr>
              <w:spacing w:after="0"/>
              <w:rPr>
                <w:sz w:val="19"/>
                <w:szCs w:val="19"/>
                <w:color w:val="auto"/>
              </w:rPr>
            </w:pPr>
          </w:p>
        </w:tc>
        <w:tc>
          <w:tcPr>
            <w:tcW w:w="1020" w:type="dxa"/>
            <w:vAlign w:val="bottom"/>
            <w:tcBorders>
              <w:bottom w:val="single" w:sz="8" w:color="EDEDED"/>
            </w:tcBorders>
            <w:shd w:val="clear" w:color="auto" w:fill="EDEDED"/>
          </w:tcPr>
          <w:p>
            <w:pPr>
              <w:spacing w:after="0"/>
              <w:rPr>
                <w:sz w:val="19"/>
                <w:szCs w:val="19"/>
                <w:color w:val="auto"/>
              </w:rPr>
            </w:pPr>
          </w:p>
        </w:tc>
        <w:tc>
          <w:tcPr>
            <w:tcW w:w="1020" w:type="dxa"/>
            <w:vAlign w:val="bottom"/>
            <w:tcBorders>
              <w:bottom w:val="single" w:sz="8" w:color="EDEDED"/>
            </w:tcBorders>
            <w:gridSpan w:val="2"/>
            <w:shd w:val="clear" w:color="auto" w:fill="EDEDED"/>
          </w:tcPr>
          <w:p>
            <w:pPr>
              <w:jc w:val="right"/>
              <w:ind w:right="8"/>
              <w:spacing w:after="0"/>
              <w:rPr>
                <w:sz w:val="20"/>
                <w:szCs w:val="20"/>
                <w:color w:val="auto"/>
              </w:rPr>
            </w:pPr>
            <w:r>
              <w:rPr>
                <w:rFonts w:ascii="Arial" w:cs="Arial" w:eastAsia="Arial" w:hAnsi="Arial"/>
                <w:sz w:val="14"/>
                <w:szCs w:val="14"/>
                <w:color w:val="auto"/>
              </w:rPr>
              <w:t>1,500,010</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520" w:type="dxa"/>
            <w:vAlign w:val="bottom"/>
          </w:tcPr>
          <w:p>
            <w:pPr>
              <w:ind w:left="180"/>
              <w:spacing w:after="0"/>
              <w:rPr>
                <w:sz w:val="20"/>
                <w:szCs w:val="20"/>
                <w:color w:val="auto"/>
              </w:rPr>
            </w:pPr>
            <w:r>
              <w:rPr>
                <w:rFonts w:ascii="Arial" w:cs="Arial" w:eastAsia="Arial" w:hAnsi="Arial"/>
                <w:sz w:val="14"/>
                <w:szCs w:val="14"/>
                <w:i w:val="1"/>
                <w:iCs w:val="1"/>
                <w:color w:val="auto"/>
              </w:rPr>
              <w:t>Restricted Stock Units</w:t>
            </w:r>
          </w:p>
        </w:tc>
        <w:tc>
          <w:tcPr>
            <w:tcW w:w="1860" w:type="dxa"/>
            <w:vAlign w:val="bottom"/>
            <w:vMerge w:val="restart"/>
          </w:tcPr>
          <w:p>
            <w:pPr>
              <w:jc w:val="right"/>
              <w:ind w:right="148"/>
              <w:spacing w:after="0"/>
              <w:rPr>
                <w:sz w:val="20"/>
                <w:szCs w:val="20"/>
                <w:color w:val="auto"/>
              </w:rPr>
            </w:pPr>
            <w:r>
              <w:rPr>
                <w:rFonts w:ascii="Arial" w:cs="Arial" w:eastAsia="Arial" w:hAnsi="Arial"/>
                <w:sz w:val="14"/>
                <w:szCs w:val="14"/>
                <w:color w:val="auto"/>
              </w:rPr>
              <w:t>2/14/2025</w:t>
            </w: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2/11/2025</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15,914</w:t>
            </w: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200,676</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6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52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4"/>
                <w:szCs w:val="14"/>
                <w:color w:val="auto"/>
              </w:rPr>
              <w:t>Amanda Coussens</w:t>
            </w:r>
          </w:p>
        </w:tc>
        <w:tc>
          <w:tcPr>
            <w:tcW w:w="1860" w:type="dxa"/>
            <w:vAlign w:val="bottom"/>
            <w:tcBorders>
              <w:bottom w:val="single" w:sz="8" w:color="EDEDED"/>
            </w:tcBorders>
            <w:shd w:val="clear" w:color="auto" w:fill="EDEDED"/>
          </w:tcPr>
          <w:p>
            <w:pPr>
              <w:spacing w:after="0"/>
              <w:rPr>
                <w:sz w:val="19"/>
                <w:szCs w:val="19"/>
                <w:color w:val="auto"/>
              </w:rPr>
            </w:pPr>
          </w:p>
        </w:tc>
        <w:tc>
          <w:tcPr>
            <w:tcW w:w="1080" w:type="dxa"/>
            <w:vAlign w:val="bottom"/>
            <w:tcBorders>
              <w:bottom w:val="single" w:sz="8" w:color="EDEDED"/>
            </w:tcBorders>
            <w:shd w:val="clear" w:color="auto" w:fill="EDEDED"/>
          </w:tcPr>
          <w:p>
            <w:pPr>
              <w:spacing w:after="0"/>
              <w:rPr>
                <w:sz w:val="19"/>
                <w:szCs w:val="19"/>
                <w:color w:val="auto"/>
              </w:rPr>
            </w:pPr>
          </w:p>
        </w:tc>
        <w:tc>
          <w:tcPr>
            <w:tcW w:w="920" w:type="dxa"/>
            <w:vAlign w:val="bottom"/>
            <w:tcBorders>
              <w:bottom w:val="single" w:sz="8" w:color="EDEDED"/>
            </w:tcBorders>
            <w:shd w:val="clear" w:color="auto" w:fill="EDEDED"/>
          </w:tcPr>
          <w:p>
            <w:pPr>
              <w:spacing w:after="0"/>
              <w:rPr>
                <w:sz w:val="19"/>
                <w:szCs w:val="19"/>
                <w:color w:val="auto"/>
              </w:rPr>
            </w:pPr>
          </w:p>
        </w:tc>
        <w:tc>
          <w:tcPr>
            <w:tcW w:w="980" w:type="dxa"/>
            <w:vAlign w:val="bottom"/>
            <w:tcBorders>
              <w:bottom w:val="single" w:sz="8" w:color="EDEDED"/>
            </w:tcBorders>
            <w:shd w:val="clear" w:color="auto" w:fill="EDEDED"/>
          </w:tcPr>
          <w:p>
            <w:pPr>
              <w:spacing w:after="0"/>
              <w:rPr>
                <w:sz w:val="19"/>
                <w:szCs w:val="19"/>
                <w:color w:val="auto"/>
              </w:rPr>
            </w:pPr>
          </w:p>
        </w:tc>
        <w:tc>
          <w:tcPr>
            <w:tcW w:w="1020" w:type="dxa"/>
            <w:vAlign w:val="bottom"/>
            <w:tcBorders>
              <w:bottom w:val="single" w:sz="8" w:color="EDEDED"/>
            </w:tcBorders>
            <w:shd w:val="clear" w:color="auto" w:fill="EDEDED"/>
          </w:tcPr>
          <w:p>
            <w:pPr>
              <w:spacing w:after="0"/>
              <w:rPr>
                <w:sz w:val="19"/>
                <w:szCs w:val="19"/>
                <w:color w:val="auto"/>
              </w:rPr>
            </w:pPr>
          </w:p>
        </w:tc>
        <w:tc>
          <w:tcPr>
            <w:tcW w:w="860" w:type="dxa"/>
            <w:vAlign w:val="bottom"/>
            <w:tcBorders>
              <w:bottom w:val="single" w:sz="8" w:color="EDEDED"/>
            </w:tcBorders>
            <w:shd w:val="clear" w:color="auto" w:fill="EDEDED"/>
          </w:tcPr>
          <w:p>
            <w:pPr>
              <w:spacing w:after="0"/>
              <w:rPr>
                <w:sz w:val="19"/>
                <w:szCs w:val="19"/>
                <w:color w:val="auto"/>
              </w:rPr>
            </w:pPr>
          </w:p>
        </w:tc>
        <w:tc>
          <w:tcPr>
            <w:tcW w:w="160" w:type="dxa"/>
            <w:vAlign w:val="bottom"/>
            <w:tcBorders>
              <w:bottom w:val="single" w:sz="8" w:color="EDEDED"/>
            </w:tcBorders>
            <w:shd w:val="clear" w:color="auto" w:fill="EDEDED"/>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520" w:type="dxa"/>
            <w:vAlign w:val="bottom"/>
          </w:tcPr>
          <w:p>
            <w:pPr>
              <w:ind w:left="180"/>
              <w:spacing w:after="0"/>
              <w:rPr>
                <w:sz w:val="20"/>
                <w:szCs w:val="20"/>
                <w:color w:val="auto"/>
              </w:rPr>
            </w:pPr>
            <w:r>
              <w:rPr>
                <w:rFonts w:ascii="Arial" w:cs="Arial" w:eastAsia="Arial" w:hAnsi="Arial"/>
                <w:sz w:val="14"/>
                <w:szCs w:val="14"/>
                <w:i w:val="1"/>
                <w:iCs w:val="1"/>
                <w:color w:val="auto"/>
              </w:rPr>
              <w:t>Stock Options</w:t>
            </w:r>
          </w:p>
        </w:tc>
        <w:tc>
          <w:tcPr>
            <w:tcW w:w="1860" w:type="dxa"/>
            <w:vAlign w:val="bottom"/>
            <w:vMerge w:val="restart"/>
          </w:tcPr>
          <w:p>
            <w:pPr>
              <w:jc w:val="right"/>
              <w:ind w:right="148"/>
              <w:spacing w:after="0"/>
              <w:rPr>
                <w:sz w:val="20"/>
                <w:szCs w:val="20"/>
                <w:color w:val="auto"/>
              </w:rPr>
            </w:pPr>
            <w:r>
              <w:rPr>
                <w:rFonts w:ascii="Arial" w:cs="Arial" w:eastAsia="Arial" w:hAnsi="Arial"/>
                <w:sz w:val="14"/>
                <w:szCs w:val="14"/>
                <w:color w:val="auto"/>
              </w:rPr>
              <w:t>2/14/2025</w:t>
            </w: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2/11/2025</w:t>
            </w:r>
          </w:p>
        </w:tc>
        <w:tc>
          <w:tcPr>
            <w:tcW w:w="92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17,953</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12.61</w:t>
            </w:r>
          </w:p>
        </w:tc>
        <w:tc>
          <w:tcPr>
            <w:tcW w:w="10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93,523</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6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52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4"/>
                <w:szCs w:val="14"/>
                <w:i w:val="1"/>
                <w:iCs w:val="1"/>
                <w:color w:val="auto"/>
              </w:rPr>
              <w:t>Restricted Stock Units</w:t>
            </w:r>
          </w:p>
        </w:tc>
        <w:tc>
          <w:tcPr>
            <w:tcW w:w="1860" w:type="dxa"/>
            <w:vAlign w:val="bottom"/>
            <w:tcBorders>
              <w:bottom w:val="single" w:sz="8" w:color="EDEDED"/>
            </w:tcBorders>
            <w:shd w:val="clear" w:color="auto" w:fill="EDEDED"/>
          </w:tcPr>
          <w:p>
            <w:pPr>
              <w:jc w:val="right"/>
              <w:ind w:right="148"/>
              <w:spacing w:after="0"/>
              <w:rPr>
                <w:sz w:val="20"/>
                <w:szCs w:val="20"/>
                <w:color w:val="auto"/>
              </w:rPr>
            </w:pPr>
            <w:r>
              <w:rPr>
                <w:rFonts w:ascii="Arial" w:cs="Arial" w:eastAsia="Arial" w:hAnsi="Arial"/>
                <w:sz w:val="14"/>
                <w:szCs w:val="14"/>
                <w:color w:val="auto"/>
              </w:rPr>
              <w:t>2/14/2025</w:t>
            </w:r>
          </w:p>
        </w:tc>
        <w:tc>
          <w:tcPr>
            <w:tcW w:w="1080" w:type="dxa"/>
            <w:vAlign w:val="bottom"/>
            <w:tcBorders>
              <w:bottom w:val="single" w:sz="8" w:color="EDEDED"/>
            </w:tcBorders>
            <w:shd w:val="clear" w:color="auto" w:fill="EDEDED"/>
          </w:tcPr>
          <w:p>
            <w:pPr>
              <w:jc w:val="right"/>
              <w:ind w:right="8"/>
              <w:spacing w:after="0"/>
              <w:rPr>
                <w:sz w:val="20"/>
                <w:szCs w:val="20"/>
                <w:color w:val="auto"/>
              </w:rPr>
            </w:pPr>
            <w:r>
              <w:rPr>
                <w:rFonts w:ascii="Arial" w:cs="Arial" w:eastAsia="Arial" w:hAnsi="Arial"/>
                <w:sz w:val="14"/>
                <w:szCs w:val="14"/>
                <w:color w:val="auto"/>
              </w:rPr>
              <w:t>2/11/2025</w:t>
            </w:r>
          </w:p>
        </w:tc>
        <w:tc>
          <w:tcPr>
            <w:tcW w:w="920" w:type="dxa"/>
            <w:vAlign w:val="bottom"/>
            <w:tcBorders>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47,582</w:t>
            </w:r>
          </w:p>
        </w:tc>
        <w:tc>
          <w:tcPr>
            <w:tcW w:w="980" w:type="dxa"/>
            <w:vAlign w:val="bottom"/>
            <w:tcBorders>
              <w:bottom w:val="single" w:sz="8" w:color="EDEDED"/>
            </w:tcBorders>
            <w:shd w:val="clear" w:color="auto" w:fill="EDEDED"/>
          </w:tcPr>
          <w:p>
            <w:pPr>
              <w:spacing w:after="0"/>
              <w:rPr>
                <w:sz w:val="19"/>
                <w:szCs w:val="19"/>
                <w:color w:val="auto"/>
              </w:rPr>
            </w:pPr>
          </w:p>
        </w:tc>
        <w:tc>
          <w:tcPr>
            <w:tcW w:w="1020" w:type="dxa"/>
            <w:vAlign w:val="bottom"/>
            <w:tcBorders>
              <w:bottom w:val="single" w:sz="8" w:color="EDEDED"/>
            </w:tcBorders>
            <w:shd w:val="clear" w:color="auto" w:fill="EDEDED"/>
          </w:tcPr>
          <w:p>
            <w:pPr>
              <w:spacing w:after="0"/>
              <w:rPr>
                <w:sz w:val="19"/>
                <w:szCs w:val="19"/>
                <w:color w:val="auto"/>
              </w:rPr>
            </w:pPr>
          </w:p>
        </w:tc>
        <w:tc>
          <w:tcPr>
            <w:tcW w:w="1020" w:type="dxa"/>
            <w:vAlign w:val="bottom"/>
            <w:tcBorders>
              <w:bottom w:val="single" w:sz="8" w:color="EDEDED"/>
            </w:tcBorders>
            <w:gridSpan w:val="2"/>
            <w:shd w:val="clear" w:color="auto" w:fill="EDEDED"/>
          </w:tcPr>
          <w:p>
            <w:pPr>
              <w:jc w:val="right"/>
              <w:ind w:right="8"/>
              <w:spacing w:after="0"/>
              <w:rPr>
                <w:sz w:val="20"/>
                <w:szCs w:val="20"/>
                <w:color w:val="auto"/>
              </w:rPr>
            </w:pPr>
            <w:r>
              <w:rPr>
                <w:rFonts w:ascii="Arial" w:cs="Arial" w:eastAsia="Arial" w:hAnsi="Arial"/>
                <w:sz w:val="14"/>
                <w:szCs w:val="14"/>
                <w:color w:val="auto"/>
              </w:rPr>
              <w:t>600,009</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520" w:type="dxa"/>
            <w:vAlign w:val="bottom"/>
          </w:tcPr>
          <w:p>
            <w:pPr>
              <w:ind w:left="180"/>
              <w:spacing w:after="0"/>
              <w:rPr>
                <w:sz w:val="20"/>
                <w:szCs w:val="20"/>
                <w:color w:val="auto"/>
              </w:rPr>
            </w:pPr>
            <w:r>
              <w:rPr>
                <w:rFonts w:ascii="Arial" w:cs="Arial" w:eastAsia="Arial" w:hAnsi="Arial"/>
                <w:sz w:val="14"/>
                <w:szCs w:val="14"/>
                <w:i w:val="1"/>
                <w:iCs w:val="1"/>
                <w:color w:val="auto"/>
              </w:rPr>
              <w:t>Restricted Stock Units</w:t>
            </w:r>
          </w:p>
        </w:tc>
        <w:tc>
          <w:tcPr>
            <w:tcW w:w="1860" w:type="dxa"/>
            <w:vAlign w:val="bottom"/>
            <w:vMerge w:val="restart"/>
          </w:tcPr>
          <w:p>
            <w:pPr>
              <w:jc w:val="right"/>
              <w:ind w:right="148"/>
              <w:spacing w:after="0"/>
              <w:rPr>
                <w:sz w:val="20"/>
                <w:szCs w:val="20"/>
                <w:color w:val="auto"/>
              </w:rPr>
            </w:pPr>
            <w:r>
              <w:rPr>
                <w:rFonts w:ascii="Arial" w:cs="Arial" w:eastAsia="Arial" w:hAnsi="Arial"/>
                <w:sz w:val="14"/>
                <w:szCs w:val="14"/>
                <w:color w:val="auto"/>
              </w:rPr>
              <w:t>2/14/2025</w:t>
            </w: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2/11/2025</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9,120</w:t>
            </w: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115,003</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6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52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4"/>
                <w:szCs w:val="14"/>
                <w:color w:val="auto"/>
              </w:rPr>
              <w:t>Mark Hood</w:t>
            </w:r>
          </w:p>
        </w:tc>
        <w:tc>
          <w:tcPr>
            <w:tcW w:w="1860" w:type="dxa"/>
            <w:vAlign w:val="bottom"/>
            <w:tcBorders>
              <w:bottom w:val="single" w:sz="8" w:color="EDEDED"/>
            </w:tcBorders>
            <w:shd w:val="clear" w:color="auto" w:fill="EDEDED"/>
          </w:tcPr>
          <w:p>
            <w:pPr>
              <w:spacing w:after="0"/>
              <w:rPr>
                <w:sz w:val="19"/>
                <w:szCs w:val="19"/>
                <w:color w:val="auto"/>
              </w:rPr>
            </w:pPr>
          </w:p>
        </w:tc>
        <w:tc>
          <w:tcPr>
            <w:tcW w:w="1080" w:type="dxa"/>
            <w:vAlign w:val="bottom"/>
            <w:tcBorders>
              <w:bottom w:val="single" w:sz="8" w:color="EDEDED"/>
            </w:tcBorders>
            <w:shd w:val="clear" w:color="auto" w:fill="EDEDED"/>
          </w:tcPr>
          <w:p>
            <w:pPr>
              <w:spacing w:after="0"/>
              <w:rPr>
                <w:sz w:val="19"/>
                <w:szCs w:val="19"/>
                <w:color w:val="auto"/>
              </w:rPr>
            </w:pPr>
          </w:p>
        </w:tc>
        <w:tc>
          <w:tcPr>
            <w:tcW w:w="920" w:type="dxa"/>
            <w:vAlign w:val="bottom"/>
            <w:tcBorders>
              <w:bottom w:val="single" w:sz="8" w:color="EDEDED"/>
            </w:tcBorders>
            <w:shd w:val="clear" w:color="auto" w:fill="EDEDED"/>
          </w:tcPr>
          <w:p>
            <w:pPr>
              <w:spacing w:after="0"/>
              <w:rPr>
                <w:sz w:val="19"/>
                <w:szCs w:val="19"/>
                <w:color w:val="auto"/>
              </w:rPr>
            </w:pPr>
          </w:p>
        </w:tc>
        <w:tc>
          <w:tcPr>
            <w:tcW w:w="980" w:type="dxa"/>
            <w:vAlign w:val="bottom"/>
            <w:tcBorders>
              <w:bottom w:val="single" w:sz="8" w:color="EDEDED"/>
            </w:tcBorders>
            <w:shd w:val="clear" w:color="auto" w:fill="EDEDED"/>
          </w:tcPr>
          <w:p>
            <w:pPr>
              <w:spacing w:after="0"/>
              <w:rPr>
                <w:sz w:val="19"/>
                <w:szCs w:val="19"/>
                <w:color w:val="auto"/>
              </w:rPr>
            </w:pPr>
          </w:p>
        </w:tc>
        <w:tc>
          <w:tcPr>
            <w:tcW w:w="1020" w:type="dxa"/>
            <w:vAlign w:val="bottom"/>
            <w:tcBorders>
              <w:bottom w:val="single" w:sz="8" w:color="EDEDED"/>
            </w:tcBorders>
            <w:shd w:val="clear" w:color="auto" w:fill="EDEDED"/>
          </w:tcPr>
          <w:p>
            <w:pPr>
              <w:spacing w:after="0"/>
              <w:rPr>
                <w:sz w:val="19"/>
                <w:szCs w:val="19"/>
                <w:color w:val="auto"/>
              </w:rPr>
            </w:pPr>
          </w:p>
        </w:tc>
        <w:tc>
          <w:tcPr>
            <w:tcW w:w="860" w:type="dxa"/>
            <w:vAlign w:val="bottom"/>
            <w:tcBorders>
              <w:bottom w:val="single" w:sz="8" w:color="EDEDED"/>
            </w:tcBorders>
            <w:shd w:val="clear" w:color="auto" w:fill="EDEDED"/>
          </w:tcPr>
          <w:p>
            <w:pPr>
              <w:spacing w:after="0"/>
              <w:rPr>
                <w:sz w:val="19"/>
                <w:szCs w:val="19"/>
                <w:color w:val="auto"/>
              </w:rPr>
            </w:pPr>
          </w:p>
        </w:tc>
        <w:tc>
          <w:tcPr>
            <w:tcW w:w="160" w:type="dxa"/>
            <w:vAlign w:val="bottom"/>
            <w:tcBorders>
              <w:bottom w:val="single" w:sz="8" w:color="EDEDED"/>
            </w:tcBorders>
            <w:shd w:val="clear" w:color="auto" w:fill="EDEDED"/>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520" w:type="dxa"/>
            <w:vAlign w:val="bottom"/>
          </w:tcPr>
          <w:p>
            <w:pPr>
              <w:ind w:left="180"/>
              <w:spacing w:after="0"/>
              <w:rPr>
                <w:sz w:val="20"/>
                <w:szCs w:val="20"/>
                <w:color w:val="auto"/>
              </w:rPr>
            </w:pPr>
            <w:r>
              <w:rPr>
                <w:rFonts w:ascii="Arial" w:cs="Arial" w:eastAsia="Arial" w:hAnsi="Arial"/>
                <w:sz w:val="14"/>
                <w:szCs w:val="14"/>
                <w:i w:val="1"/>
                <w:iCs w:val="1"/>
                <w:color w:val="auto"/>
              </w:rPr>
              <w:t>Restricted Stock Units</w:t>
            </w:r>
          </w:p>
        </w:tc>
        <w:tc>
          <w:tcPr>
            <w:tcW w:w="1860" w:type="dxa"/>
            <w:vAlign w:val="bottom"/>
            <w:vMerge w:val="restart"/>
          </w:tcPr>
          <w:p>
            <w:pPr>
              <w:jc w:val="right"/>
              <w:ind w:right="148"/>
              <w:spacing w:after="0"/>
              <w:rPr>
                <w:sz w:val="20"/>
                <w:szCs w:val="20"/>
                <w:color w:val="auto"/>
              </w:rPr>
            </w:pPr>
            <w:r>
              <w:rPr>
                <w:rFonts w:ascii="Arial" w:cs="Arial" w:eastAsia="Arial" w:hAnsi="Arial"/>
                <w:sz w:val="14"/>
                <w:szCs w:val="14"/>
                <w:color w:val="auto"/>
              </w:rPr>
              <w:t>2/14/2025</w:t>
            </w: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2/11/2025</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47,582</w:t>
            </w: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600,009</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6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52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4"/>
                <w:szCs w:val="14"/>
                <w:i w:val="1"/>
                <w:iCs w:val="1"/>
                <w:color w:val="auto"/>
              </w:rPr>
              <w:t>Restricted Stock Units</w:t>
            </w:r>
          </w:p>
        </w:tc>
        <w:tc>
          <w:tcPr>
            <w:tcW w:w="1860" w:type="dxa"/>
            <w:vAlign w:val="bottom"/>
            <w:tcBorders>
              <w:bottom w:val="single" w:sz="8" w:color="EDEDED"/>
            </w:tcBorders>
            <w:shd w:val="clear" w:color="auto" w:fill="EDEDED"/>
          </w:tcPr>
          <w:p>
            <w:pPr>
              <w:jc w:val="right"/>
              <w:ind w:right="148"/>
              <w:spacing w:after="0"/>
              <w:rPr>
                <w:sz w:val="20"/>
                <w:szCs w:val="20"/>
                <w:color w:val="auto"/>
              </w:rPr>
            </w:pPr>
            <w:r>
              <w:rPr>
                <w:rFonts w:ascii="Arial" w:cs="Arial" w:eastAsia="Arial" w:hAnsi="Arial"/>
                <w:sz w:val="14"/>
                <w:szCs w:val="14"/>
                <w:color w:val="auto"/>
              </w:rPr>
              <w:t>2/14/2025</w:t>
            </w:r>
          </w:p>
        </w:tc>
        <w:tc>
          <w:tcPr>
            <w:tcW w:w="1080" w:type="dxa"/>
            <w:vAlign w:val="bottom"/>
            <w:tcBorders>
              <w:bottom w:val="single" w:sz="8" w:color="EDEDED"/>
            </w:tcBorders>
            <w:shd w:val="clear" w:color="auto" w:fill="EDEDED"/>
          </w:tcPr>
          <w:p>
            <w:pPr>
              <w:jc w:val="right"/>
              <w:ind w:right="8"/>
              <w:spacing w:after="0"/>
              <w:rPr>
                <w:sz w:val="20"/>
                <w:szCs w:val="20"/>
                <w:color w:val="auto"/>
              </w:rPr>
            </w:pPr>
            <w:r>
              <w:rPr>
                <w:rFonts w:ascii="Arial" w:cs="Arial" w:eastAsia="Arial" w:hAnsi="Arial"/>
                <w:sz w:val="14"/>
                <w:szCs w:val="14"/>
                <w:color w:val="auto"/>
              </w:rPr>
              <w:t>2/11/2025</w:t>
            </w:r>
          </w:p>
        </w:tc>
        <w:tc>
          <w:tcPr>
            <w:tcW w:w="920" w:type="dxa"/>
            <w:vAlign w:val="bottom"/>
            <w:tcBorders>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9,120</w:t>
            </w:r>
          </w:p>
        </w:tc>
        <w:tc>
          <w:tcPr>
            <w:tcW w:w="980" w:type="dxa"/>
            <w:vAlign w:val="bottom"/>
            <w:tcBorders>
              <w:bottom w:val="single" w:sz="8" w:color="EDEDED"/>
            </w:tcBorders>
            <w:shd w:val="clear" w:color="auto" w:fill="EDEDED"/>
          </w:tcPr>
          <w:p>
            <w:pPr>
              <w:spacing w:after="0"/>
              <w:rPr>
                <w:sz w:val="19"/>
                <w:szCs w:val="19"/>
                <w:color w:val="auto"/>
              </w:rPr>
            </w:pPr>
          </w:p>
        </w:tc>
        <w:tc>
          <w:tcPr>
            <w:tcW w:w="1020" w:type="dxa"/>
            <w:vAlign w:val="bottom"/>
            <w:tcBorders>
              <w:bottom w:val="single" w:sz="8" w:color="EDEDED"/>
            </w:tcBorders>
            <w:shd w:val="clear" w:color="auto" w:fill="EDEDED"/>
          </w:tcPr>
          <w:p>
            <w:pPr>
              <w:spacing w:after="0"/>
              <w:rPr>
                <w:sz w:val="19"/>
                <w:szCs w:val="19"/>
                <w:color w:val="auto"/>
              </w:rPr>
            </w:pPr>
          </w:p>
        </w:tc>
        <w:tc>
          <w:tcPr>
            <w:tcW w:w="1020" w:type="dxa"/>
            <w:vAlign w:val="bottom"/>
            <w:tcBorders>
              <w:bottom w:val="single" w:sz="8" w:color="EDEDED"/>
            </w:tcBorders>
            <w:gridSpan w:val="2"/>
            <w:shd w:val="clear" w:color="auto" w:fill="EDEDED"/>
          </w:tcPr>
          <w:p>
            <w:pPr>
              <w:jc w:val="right"/>
              <w:ind w:right="8"/>
              <w:spacing w:after="0"/>
              <w:rPr>
                <w:sz w:val="20"/>
                <w:szCs w:val="20"/>
                <w:color w:val="auto"/>
              </w:rPr>
            </w:pPr>
            <w:r>
              <w:rPr>
                <w:rFonts w:ascii="Arial" w:cs="Arial" w:eastAsia="Arial" w:hAnsi="Arial"/>
                <w:sz w:val="14"/>
                <w:szCs w:val="14"/>
                <w:color w:val="auto"/>
              </w:rPr>
              <w:t>115,003</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2520" w:type="dxa"/>
            <w:vAlign w:val="bottom"/>
          </w:tcPr>
          <w:p>
            <w:pPr>
              <w:ind w:left="100"/>
              <w:spacing w:after="0"/>
              <w:rPr>
                <w:sz w:val="20"/>
                <w:szCs w:val="20"/>
                <w:color w:val="auto"/>
              </w:rPr>
            </w:pPr>
            <w:r>
              <w:rPr>
                <w:rFonts w:ascii="Arial" w:cs="Arial" w:eastAsia="Arial" w:hAnsi="Arial"/>
                <w:sz w:val="14"/>
                <w:szCs w:val="14"/>
                <w:color w:val="auto"/>
              </w:rPr>
              <w:t>Sarita Jairath</w:t>
            </w:r>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6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52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4"/>
                <w:szCs w:val="14"/>
                <w:i w:val="1"/>
                <w:iCs w:val="1"/>
                <w:color w:val="auto"/>
              </w:rPr>
              <w:t>Restricted Stock Units</w:t>
            </w:r>
          </w:p>
        </w:tc>
        <w:tc>
          <w:tcPr>
            <w:tcW w:w="1860" w:type="dxa"/>
            <w:vAlign w:val="bottom"/>
            <w:tcBorders>
              <w:bottom w:val="single" w:sz="8" w:color="EDEDED"/>
            </w:tcBorders>
            <w:shd w:val="clear" w:color="auto" w:fill="EDEDED"/>
          </w:tcPr>
          <w:p>
            <w:pPr>
              <w:jc w:val="right"/>
              <w:ind w:right="148"/>
              <w:spacing w:after="0"/>
              <w:rPr>
                <w:sz w:val="20"/>
                <w:szCs w:val="20"/>
                <w:color w:val="auto"/>
              </w:rPr>
            </w:pPr>
            <w:r>
              <w:rPr>
                <w:rFonts w:ascii="Arial" w:cs="Arial" w:eastAsia="Arial" w:hAnsi="Arial"/>
                <w:sz w:val="14"/>
                <w:szCs w:val="14"/>
                <w:color w:val="auto"/>
              </w:rPr>
              <w:t>2/14/2025</w:t>
            </w:r>
          </w:p>
        </w:tc>
        <w:tc>
          <w:tcPr>
            <w:tcW w:w="1080" w:type="dxa"/>
            <w:vAlign w:val="bottom"/>
            <w:tcBorders>
              <w:bottom w:val="single" w:sz="8" w:color="EDEDED"/>
            </w:tcBorders>
            <w:shd w:val="clear" w:color="auto" w:fill="EDEDED"/>
          </w:tcPr>
          <w:p>
            <w:pPr>
              <w:jc w:val="right"/>
              <w:ind w:right="8"/>
              <w:spacing w:after="0"/>
              <w:rPr>
                <w:sz w:val="20"/>
                <w:szCs w:val="20"/>
                <w:color w:val="auto"/>
              </w:rPr>
            </w:pPr>
            <w:r>
              <w:rPr>
                <w:rFonts w:ascii="Arial" w:cs="Arial" w:eastAsia="Arial" w:hAnsi="Arial"/>
                <w:sz w:val="14"/>
                <w:szCs w:val="14"/>
                <w:color w:val="auto"/>
              </w:rPr>
              <w:t>2/11/2025</w:t>
            </w:r>
          </w:p>
        </w:tc>
        <w:tc>
          <w:tcPr>
            <w:tcW w:w="920" w:type="dxa"/>
            <w:vAlign w:val="bottom"/>
            <w:tcBorders>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31,115</w:t>
            </w:r>
          </w:p>
        </w:tc>
        <w:tc>
          <w:tcPr>
            <w:tcW w:w="980" w:type="dxa"/>
            <w:vAlign w:val="bottom"/>
            <w:tcBorders>
              <w:bottom w:val="single" w:sz="8" w:color="EDEDED"/>
            </w:tcBorders>
            <w:shd w:val="clear" w:color="auto" w:fill="EDEDED"/>
          </w:tcPr>
          <w:p>
            <w:pPr>
              <w:spacing w:after="0"/>
              <w:rPr>
                <w:sz w:val="19"/>
                <w:szCs w:val="19"/>
                <w:color w:val="auto"/>
              </w:rPr>
            </w:pPr>
          </w:p>
        </w:tc>
        <w:tc>
          <w:tcPr>
            <w:tcW w:w="1020" w:type="dxa"/>
            <w:vAlign w:val="bottom"/>
            <w:tcBorders>
              <w:bottom w:val="single" w:sz="8" w:color="EDEDED"/>
            </w:tcBorders>
            <w:shd w:val="clear" w:color="auto" w:fill="EDEDED"/>
          </w:tcPr>
          <w:p>
            <w:pPr>
              <w:spacing w:after="0"/>
              <w:rPr>
                <w:sz w:val="19"/>
                <w:szCs w:val="19"/>
                <w:color w:val="auto"/>
              </w:rPr>
            </w:pPr>
          </w:p>
        </w:tc>
        <w:tc>
          <w:tcPr>
            <w:tcW w:w="1020" w:type="dxa"/>
            <w:vAlign w:val="bottom"/>
            <w:tcBorders>
              <w:bottom w:val="single" w:sz="8" w:color="EDEDED"/>
            </w:tcBorders>
            <w:gridSpan w:val="2"/>
            <w:shd w:val="clear" w:color="auto" w:fill="EDEDED"/>
          </w:tcPr>
          <w:p>
            <w:pPr>
              <w:jc w:val="right"/>
              <w:ind w:right="8"/>
              <w:spacing w:after="0"/>
              <w:rPr>
                <w:sz w:val="20"/>
                <w:szCs w:val="20"/>
                <w:color w:val="auto"/>
              </w:rPr>
            </w:pPr>
            <w:r>
              <w:rPr>
                <w:rFonts w:ascii="Arial" w:cs="Arial" w:eastAsia="Arial" w:hAnsi="Arial"/>
                <w:sz w:val="14"/>
                <w:szCs w:val="14"/>
                <w:color w:val="auto"/>
              </w:rPr>
              <w:t>392,360</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520" w:type="dxa"/>
            <w:vAlign w:val="bottom"/>
          </w:tcPr>
          <w:p>
            <w:pPr>
              <w:ind w:left="180"/>
              <w:spacing w:after="0"/>
              <w:rPr>
                <w:sz w:val="20"/>
                <w:szCs w:val="20"/>
                <w:color w:val="auto"/>
              </w:rPr>
            </w:pPr>
            <w:r>
              <w:rPr>
                <w:rFonts w:ascii="Arial" w:cs="Arial" w:eastAsia="Arial" w:hAnsi="Arial"/>
                <w:sz w:val="14"/>
                <w:szCs w:val="14"/>
                <w:i w:val="1"/>
                <w:iCs w:val="1"/>
                <w:color w:val="auto"/>
              </w:rPr>
              <w:t>Restricted Stock Units</w:t>
            </w:r>
          </w:p>
        </w:tc>
        <w:tc>
          <w:tcPr>
            <w:tcW w:w="1860" w:type="dxa"/>
            <w:vAlign w:val="bottom"/>
            <w:vMerge w:val="restart"/>
          </w:tcPr>
          <w:p>
            <w:pPr>
              <w:jc w:val="right"/>
              <w:ind w:right="148"/>
              <w:spacing w:after="0"/>
              <w:rPr>
                <w:sz w:val="20"/>
                <w:szCs w:val="20"/>
                <w:color w:val="auto"/>
              </w:rPr>
            </w:pPr>
            <w:r>
              <w:rPr>
                <w:rFonts w:ascii="Arial" w:cs="Arial" w:eastAsia="Arial" w:hAnsi="Arial"/>
                <w:sz w:val="14"/>
                <w:szCs w:val="14"/>
                <w:color w:val="auto"/>
              </w:rPr>
              <w:t>2/14/2025</w:t>
            </w: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2/11/2025</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9,120</w:t>
            </w: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115,003</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6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52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4"/>
                <w:szCs w:val="14"/>
                <w:color w:val="auto"/>
              </w:rPr>
              <w:t>Richard J. (Arjay) Jensen</w:t>
            </w:r>
          </w:p>
        </w:tc>
        <w:tc>
          <w:tcPr>
            <w:tcW w:w="1860" w:type="dxa"/>
            <w:vAlign w:val="bottom"/>
            <w:tcBorders>
              <w:bottom w:val="single" w:sz="8" w:color="EDEDED"/>
            </w:tcBorders>
            <w:shd w:val="clear" w:color="auto" w:fill="EDEDED"/>
          </w:tcPr>
          <w:p>
            <w:pPr>
              <w:spacing w:after="0"/>
              <w:rPr>
                <w:sz w:val="19"/>
                <w:szCs w:val="19"/>
                <w:color w:val="auto"/>
              </w:rPr>
            </w:pPr>
          </w:p>
        </w:tc>
        <w:tc>
          <w:tcPr>
            <w:tcW w:w="1080" w:type="dxa"/>
            <w:vAlign w:val="bottom"/>
            <w:tcBorders>
              <w:bottom w:val="single" w:sz="8" w:color="EDEDED"/>
            </w:tcBorders>
            <w:shd w:val="clear" w:color="auto" w:fill="EDEDED"/>
          </w:tcPr>
          <w:p>
            <w:pPr>
              <w:spacing w:after="0"/>
              <w:rPr>
                <w:sz w:val="19"/>
                <w:szCs w:val="19"/>
                <w:color w:val="auto"/>
              </w:rPr>
            </w:pPr>
          </w:p>
        </w:tc>
        <w:tc>
          <w:tcPr>
            <w:tcW w:w="920" w:type="dxa"/>
            <w:vAlign w:val="bottom"/>
            <w:tcBorders>
              <w:bottom w:val="single" w:sz="8" w:color="EDEDED"/>
            </w:tcBorders>
            <w:shd w:val="clear" w:color="auto" w:fill="EDEDED"/>
          </w:tcPr>
          <w:p>
            <w:pPr>
              <w:spacing w:after="0"/>
              <w:rPr>
                <w:sz w:val="19"/>
                <w:szCs w:val="19"/>
                <w:color w:val="auto"/>
              </w:rPr>
            </w:pPr>
          </w:p>
        </w:tc>
        <w:tc>
          <w:tcPr>
            <w:tcW w:w="980" w:type="dxa"/>
            <w:vAlign w:val="bottom"/>
            <w:tcBorders>
              <w:bottom w:val="single" w:sz="8" w:color="EDEDED"/>
            </w:tcBorders>
            <w:shd w:val="clear" w:color="auto" w:fill="EDEDED"/>
          </w:tcPr>
          <w:p>
            <w:pPr>
              <w:spacing w:after="0"/>
              <w:rPr>
                <w:sz w:val="19"/>
                <w:szCs w:val="19"/>
                <w:color w:val="auto"/>
              </w:rPr>
            </w:pPr>
          </w:p>
        </w:tc>
        <w:tc>
          <w:tcPr>
            <w:tcW w:w="1020" w:type="dxa"/>
            <w:vAlign w:val="bottom"/>
            <w:tcBorders>
              <w:bottom w:val="single" w:sz="8" w:color="EDEDED"/>
            </w:tcBorders>
            <w:shd w:val="clear" w:color="auto" w:fill="EDEDED"/>
          </w:tcPr>
          <w:p>
            <w:pPr>
              <w:spacing w:after="0"/>
              <w:rPr>
                <w:sz w:val="19"/>
                <w:szCs w:val="19"/>
                <w:color w:val="auto"/>
              </w:rPr>
            </w:pPr>
          </w:p>
        </w:tc>
        <w:tc>
          <w:tcPr>
            <w:tcW w:w="860" w:type="dxa"/>
            <w:vAlign w:val="bottom"/>
            <w:tcBorders>
              <w:bottom w:val="single" w:sz="8" w:color="EDEDED"/>
            </w:tcBorders>
            <w:shd w:val="clear" w:color="auto" w:fill="EDEDED"/>
          </w:tcPr>
          <w:p>
            <w:pPr>
              <w:spacing w:after="0"/>
              <w:rPr>
                <w:sz w:val="19"/>
                <w:szCs w:val="19"/>
                <w:color w:val="auto"/>
              </w:rPr>
            </w:pPr>
          </w:p>
        </w:tc>
        <w:tc>
          <w:tcPr>
            <w:tcW w:w="160" w:type="dxa"/>
            <w:vAlign w:val="bottom"/>
            <w:tcBorders>
              <w:bottom w:val="single" w:sz="8" w:color="EDEDED"/>
            </w:tcBorders>
            <w:shd w:val="clear" w:color="auto" w:fill="EDEDED"/>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520" w:type="dxa"/>
            <w:vAlign w:val="bottom"/>
          </w:tcPr>
          <w:p>
            <w:pPr>
              <w:ind w:left="180"/>
              <w:spacing w:after="0"/>
              <w:rPr>
                <w:sz w:val="20"/>
                <w:szCs w:val="20"/>
                <w:color w:val="auto"/>
              </w:rPr>
            </w:pPr>
            <w:r>
              <w:rPr>
                <w:rFonts w:ascii="Arial" w:cs="Arial" w:eastAsia="Arial" w:hAnsi="Arial"/>
                <w:sz w:val="14"/>
                <w:szCs w:val="14"/>
                <w:i w:val="1"/>
                <w:iCs w:val="1"/>
                <w:color w:val="auto"/>
              </w:rPr>
              <w:t>Stock Options</w:t>
            </w:r>
          </w:p>
        </w:tc>
        <w:tc>
          <w:tcPr>
            <w:tcW w:w="1860" w:type="dxa"/>
            <w:vAlign w:val="bottom"/>
            <w:vMerge w:val="restart"/>
          </w:tcPr>
          <w:p>
            <w:pPr>
              <w:jc w:val="right"/>
              <w:ind w:right="148"/>
              <w:spacing w:after="0"/>
              <w:rPr>
                <w:sz w:val="20"/>
                <w:szCs w:val="20"/>
                <w:color w:val="auto"/>
              </w:rPr>
            </w:pPr>
            <w:r>
              <w:rPr>
                <w:rFonts w:ascii="Arial" w:cs="Arial" w:eastAsia="Arial" w:hAnsi="Arial"/>
                <w:sz w:val="14"/>
                <w:szCs w:val="14"/>
                <w:color w:val="auto"/>
              </w:rPr>
              <w:t>2/14/2025</w:t>
            </w: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2/11/2025</w:t>
            </w:r>
          </w:p>
        </w:tc>
        <w:tc>
          <w:tcPr>
            <w:tcW w:w="920" w:type="dxa"/>
            <w:vAlign w:val="bottom"/>
          </w:tcPr>
          <w:p>
            <w:pPr>
              <w:spacing w:after="0"/>
              <w:rPr>
                <w:sz w:val="16"/>
                <w:szCs w:val="16"/>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color w:val="auto"/>
              </w:rPr>
              <w:t>17,953</w:t>
            </w: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12.61</w:t>
            </w:r>
          </w:p>
        </w:tc>
        <w:tc>
          <w:tcPr>
            <w:tcW w:w="10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93,523</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6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52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4"/>
                <w:szCs w:val="14"/>
                <w:i w:val="1"/>
                <w:iCs w:val="1"/>
                <w:color w:val="auto"/>
              </w:rPr>
              <w:t>Restricted Stock Units</w:t>
            </w:r>
          </w:p>
        </w:tc>
        <w:tc>
          <w:tcPr>
            <w:tcW w:w="1860" w:type="dxa"/>
            <w:vAlign w:val="bottom"/>
            <w:tcBorders>
              <w:bottom w:val="single" w:sz="8" w:color="EDEDED"/>
            </w:tcBorders>
            <w:shd w:val="clear" w:color="auto" w:fill="EDEDED"/>
          </w:tcPr>
          <w:p>
            <w:pPr>
              <w:jc w:val="right"/>
              <w:ind w:right="148"/>
              <w:spacing w:after="0"/>
              <w:rPr>
                <w:sz w:val="20"/>
                <w:szCs w:val="20"/>
                <w:color w:val="auto"/>
              </w:rPr>
            </w:pPr>
            <w:r>
              <w:rPr>
                <w:rFonts w:ascii="Arial" w:cs="Arial" w:eastAsia="Arial" w:hAnsi="Arial"/>
                <w:sz w:val="14"/>
                <w:szCs w:val="14"/>
                <w:color w:val="auto"/>
              </w:rPr>
              <w:t>2/14/2025</w:t>
            </w:r>
          </w:p>
        </w:tc>
        <w:tc>
          <w:tcPr>
            <w:tcW w:w="1080" w:type="dxa"/>
            <w:vAlign w:val="bottom"/>
            <w:tcBorders>
              <w:bottom w:val="single" w:sz="8" w:color="EDEDED"/>
            </w:tcBorders>
            <w:shd w:val="clear" w:color="auto" w:fill="EDEDED"/>
          </w:tcPr>
          <w:p>
            <w:pPr>
              <w:jc w:val="right"/>
              <w:ind w:right="8"/>
              <w:spacing w:after="0"/>
              <w:rPr>
                <w:sz w:val="20"/>
                <w:szCs w:val="20"/>
                <w:color w:val="auto"/>
              </w:rPr>
            </w:pPr>
            <w:r>
              <w:rPr>
                <w:rFonts w:ascii="Arial" w:cs="Arial" w:eastAsia="Arial" w:hAnsi="Arial"/>
                <w:sz w:val="14"/>
                <w:szCs w:val="14"/>
                <w:color w:val="auto"/>
              </w:rPr>
              <w:t>2/11/2025</w:t>
            </w:r>
          </w:p>
        </w:tc>
        <w:tc>
          <w:tcPr>
            <w:tcW w:w="920" w:type="dxa"/>
            <w:vAlign w:val="bottom"/>
            <w:tcBorders>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47,582</w:t>
            </w:r>
          </w:p>
        </w:tc>
        <w:tc>
          <w:tcPr>
            <w:tcW w:w="980" w:type="dxa"/>
            <w:vAlign w:val="bottom"/>
            <w:tcBorders>
              <w:bottom w:val="single" w:sz="8" w:color="EDEDED"/>
            </w:tcBorders>
            <w:shd w:val="clear" w:color="auto" w:fill="EDEDED"/>
          </w:tcPr>
          <w:p>
            <w:pPr>
              <w:spacing w:after="0"/>
              <w:rPr>
                <w:sz w:val="19"/>
                <w:szCs w:val="19"/>
                <w:color w:val="auto"/>
              </w:rPr>
            </w:pPr>
          </w:p>
        </w:tc>
        <w:tc>
          <w:tcPr>
            <w:tcW w:w="1020" w:type="dxa"/>
            <w:vAlign w:val="bottom"/>
            <w:tcBorders>
              <w:bottom w:val="single" w:sz="8" w:color="EDEDED"/>
            </w:tcBorders>
            <w:shd w:val="clear" w:color="auto" w:fill="EDEDED"/>
          </w:tcPr>
          <w:p>
            <w:pPr>
              <w:spacing w:after="0"/>
              <w:rPr>
                <w:sz w:val="19"/>
                <w:szCs w:val="19"/>
                <w:color w:val="auto"/>
              </w:rPr>
            </w:pPr>
          </w:p>
        </w:tc>
        <w:tc>
          <w:tcPr>
            <w:tcW w:w="1020" w:type="dxa"/>
            <w:vAlign w:val="bottom"/>
            <w:tcBorders>
              <w:bottom w:val="single" w:sz="8" w:color="EDEDED"/>
            </w:tcBorders>
            <w:gridSpan w:val="2"/>
            <w:shd w:val="clear" w:color="auto" w:fill="EDEDED"/>
          </w:tcPr>
          <w:p>
            <w:pPr>
              <w:jc w:val="right"/>
              <w:ind w:right="8"/>
              <w:spacing w:after="0"/>
              <w:rPr>
                <w:sz w:val="20"/>
                <w:szCs w:val="20"/>
                <w:color w:val="auto"/>
              </w:rPr>
            </w:pPr>
            <w:r>
              <w:rPr>
                <w:rFonts w:ascii="Arial" w:cs="Arial" w:eastAsia="Arial" w:hAnsi="Arial"/>
                <w:sz w:val="14"/>
                <w:szCs w:val="14"/>
                <w:color w:val="auto"/>
              </w:rPr>
              <w:t>600,009</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520" w:type="dxa"/>
            <w:vAlign w:val="bottom"/>
          </w:tcPr>
          <w:p>
            <w:pPr>
              <w:ind w:left="180"/>
              <w:spacing w:after="0"/>
              <w:rPr>
                <w:sz w:val="20"/>
                <w:szCs w:val="20"/>
                <w:color w:val="auto"/>
              </w:rPr>
            </w:pPr>
            <w:r>
              <w:rPr>
                <w:rFonts w:ascii="Arial" w:cs="Arial" w:eastAsia="Arial" w:hAnsi="Arial"/>
                <w:sz w:val="14"/>
                <w:szCs w:val="14"/>
                <w:i w:val="1"/>
                <w:iCs w:val="1"/>
                <w:color w:val="auto"/>
              </w:rPr>
              <w:t>Restricted Stock Units</w:t>
            </w:r>
          </w:p>
        </w:tc>
        <w:tc>
          <w:tcPr>
            <w:tcW w:w="1860" w:type="dxa"/>
            <w:vAlign w:val="bottom"/>
            <w:vMerge w:val="restart"/>
          </w:tcPr>
          <w:p>
            <w:pPr>
              <w:jc w:val="right"/>
              <w:ind w:right="148"/>
              <w:spacing w:after="0"/>
              <w:rPr>
                <w:sz w:val="20"/>
                <w:szCs w:val="20"/>
                <w:color w:val="auto"/>
              </w:rPr>
            </w:pPr>
            <w:r>
              <w:rPr>
                <w:rFonts w:ascii="Arial" w:cs="Arial" w:eastAsia="Arial" w:hAnsi="Arial"/>
                <w:sz w:val="14"/>
                <w:szCs w:val="14"/>
                <w:color w:val="auto"/>
              </w:rPr>
              <w:t>2/14/2025</w:t>
            </w: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2/11/2025</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9,120</w:t>
            </w: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115,003</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660" w:type="dxa"/>
            <w:vAlign w:val="bottom"/>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vMerge w:val="continue"/>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9"/>
        </w:trPr>
        <w:tc>
          <w:tcPr>
            <w:tcW w:w="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780" w:type="dxa"/>
            <w:vAlign w:val="bottom"/>
            <w:gridSpan w:val="4"/>
          </w:tcPr>
          <w:p>
            <w:pPr>
              <w:ind w:left="440"/>
              <w:spacing w:after="0"/>
              <w:rPr>
                <w:sz w:val="20"/>
                <w:szCs w:val="20"/>
                <w:color w:val="auto"/>
              </w:rPr>
            </w:pPr>
            <w:r>
              <w:rPr>
                <w:rFonts w:ascii="Arial" w:cs="Arial" w:eastAsia="Arial" w:hAnsi="Arial"/>
                <w:sz w:val="14"/>
                <w:szCs w:val="14"/>
                <w:color w:val="050A35"/>
              </w:rPr>
              <w:t>RIDGEPOST CAPITAL | 2026 Proxy Statement</w:t>
            </w:r>
          </w:p>
        </w:tc>
        <w:tc>
          <w:tcPr>
            <w:tcW w:w="8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050A35"/>
                <w:w w:val="89"/>
              </w:rPr>
              <w:t>21</w:t>
            </w:r>
          </w:p>
        </w:tc>
        <w:tc>
          <w:tcPr>
            <w:tcW w:w="0" w:type="dxa"/>
            <w:vAlign w:val="bottom"/>
          </w:tcPr>
          <w:p>
            <w:pPr>
              <w:spacing w:after="0"/>
              <w:rPr>
                <w:sz w:val="1"/>
                <w:szCs w:val="1"/>
                <w:color w:val="auto"/>
              </w:rPr>
            </w:pPr>
          </w:p>
        </w:tc>
      </w:tr>
      <w:tr>
        <w:trPr>
          <w:trHeight w:val="738"/>
        </w:trPr>
        <w:tc>
          <w:tcPr>
            <w:tcW w:w="6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sectPr>
      </w:pPr>
    </w:p>
    <w:bookmarkStart w:id="25" w:name="page26"/>
    <w:bookmarkEnd w:id="25"/>
    <w:p>
      <w:pPr>
        <w:spacing w:after="0"/>
        <w:rPr>
          <w:sz w:val="20"/>
          <w:szCs w:val="20"/>
          <w:color w:val="auto"/>
        </w:rPr>
      </w:pPr>
      <w:r>
        <w:rPr>
          <w:rFonts w:ascii="Arial" w:cs="Arial" w:eastAsia="Arial" w:hAnsi="Arial"/>
          <w:sz w:val="13"/>
          <w:szCs w:val="13"/>
          <w:color w:val="050A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9664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050A35"/>
        </w:rPr>
        <w:t>Outstanding Equity Awards at December 31, 2025</w:t>
      </w:r>
    </w:p>
    <w:p>
      <w:pPr>
        <w:spacing w:after="0" w:line="131" w:lineRule="exact"/>
        <w:rPr>
          <w:sz w:val="20"/>
          <w:szCs w:val="20"/>
          <w:color w:val="auto"/>
        </w:rPr>
      </w:pPr>
    </w:p>
    <w:p>
      <w:pPr>
        <w:ind w:right="240"/>
        <w:spacing w:after="0" w:line="244" w:lineRule="auto"/>
        <w:rPr>
          <w:sz w:val="20"/>
          <w:szCs w:val="20"/>
          <w:color w:val="auto"/>
        </w:rPr>
      </w:pPr>
      <w:r>
        <w:rPr>
          <w:rFonts w:ascii="Arial" w:cs="Arial" w:eastAsia="Arial" w:hAnsi="Arial"/>
          <w:sz w:val="15"/>
          <w:szCs w:val="15"/>
          <w:color w:val="050A35"/>
        </w:rPr>
        <w:t>The following table provides information regarding outstanding stock options and RSU awards held by our named executive officers at December 31, 2025. The market value of RSU awards is based on the closing market price for our common stock ($9.81) on December 31, 2025, the last business day of our fiscal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580" w:type="dxa"/>
            <w:vAlign w:val="bottom"/>
          </w:tcPr>
          <w:p>
            <w:pPr>
              <w:spacing w:after="0"/>
              <w:rPr>
                <w:sz w:val="11"/>
                <w:szCs w:val="11"/>
                <w:color w:val="auto"/>
              </w:rPr>
            </w:pPr>
          </w:p>
        </w:tc>
        <w:tc>
          <w:tcPr>
            <w:tcW w:w="700" w:type="dxa"/>
            <w:vAlign w:val="bottom"/>
            <w:tcBorders>
              <w:bottom w:val="single" w:sz="8" w:color="112B19"/>
            </w:tcBorders>
          </w:tcPr>
          <w:p>
            <w:pPr>
              <w:spacing w:after="0"/>
              <w:rPr>
                <w:sz w:val="11"/>
                <w:szCs w:val="11"/>
                <w:color w:val="auto"/>
              </w:rPr>
            </w:pPr>
          </w:p>
        </w:tc>
        <w:tc>
          <w:tcPr>
            <w:tcW w:w="180" w:type="dxa"/>
            <w:vAlign w:val="bottom"/>
            <w:tcBorders>
              <w:bottom w:val="single" w:sz="8" w:color="112B19"/>
            </w:tcBorders>
          </w:tcPr>
          <w:p>
            <w:pPr>
              <w:spacing w:after="0"/>
              <w:rPr>
                <w:sz w:val="11"/>
                <w:szCs w:val="11"/>
                <w:color w:val="auto"/>
              </w:rPr>
            </w:pPr>
          </w:p>
        </w:tc>
        <w:tc>
          <w:tcPr>
            <w:tcW w:w="900" w:type="dxa"/>
            <w:vAlign w:val="bottom"/>
            <w:tcBorders>
              <w:bottom w:val="single" w:sz="8" w:color="112B19"/>
            </w:tcBorders>
          </w:tcPr>
          <w:p>
            <w:pPr>
              <w:spacing w:after="0"/>
              <w:rPr>
                <w:sz w:val="11"/>
                <w:szCs w:val="11"/>
                <w:color w:val="auto"/>
              </w:rPr>
            </w:pPr>
          </w:p>
        </w:tc>
        <w:tc>
          <w:tcPr>
            <w:tcW w:w="80" w:type="dxa"/>
            <w:vAlign w:val="bottom"/>
            <w:tcBorders>
              <w:bottom w:val="single" w:sz="8" w:color="112B19"/>
            </w:tcBorders>
          </w:tcPr>
          <w:p>
            <w:pPr>
              <w:spacing w:after="0"/>
              <w:rPr>
                <w:sz w:val="11"/>
                <w:szCs w:val="11"/>
                <w:color w:val="auto"/>
              </w:rPr>
            </w:pPr>
          </w:p>
        </w:tc>
        <w:tc>
          <w:tcPr>
            <w:tcW w:w="1600" w:type="dxa"/>
            <w:vAlign w:val="bottom"/>
            <w:tcBorders>
              <w:bottom w:val="single" w:sz="8" w:color="112B19"/>
            </w:tcBorders>
            <w:gridSpan w:val="2"/>
          </w:tcPr>
          <w:p>
            <w:pPr>
              <w:jc w:val="right"/>
              <w:spacing w:after="0"/>
              <w:rPr>
                <w:sz w:val="20"/>
                <w:szCs w:val="20"/>
                <w:color w:val="auto"/>
              </w:rPr>
            </w:pPr>
            <w:r>
              <w:rPr>
                <w:rFonts w:ascii="Arial" w:cs="Arial" w:eastAsia="Arial" w:hAnsi="Arial"/>
                <w:sz w:val="11"/>
                <w:szCs w:val="11"/>
                <w:b w:val="1"/>
                <w:bCs w:val="1"/>
                <w:color w:val="112B19"/>
              </w:rPr>
              <w:t>Option Awards</w:t>
            </w:r>
          </w:p>
        </w:tc>
        <w:tc>
          <w:tcPr>
            <w:tcW w:w="920" w:type="dxa"/>
            <w:vAlign w:val="bottom"/>
            <w:tcBorders>
              <w:bottom w:val="single" w:sz="8" w:color="112B19"/>
            </w:tcBorders>
          </w:tcPr>
          <w:p>
            <w:pPr>
              <w:spacing w:after="0"/>
              <w:rPr>
                <w:sz w:val="11"/>
                <w:szCs w:val="11"/>
                <w:color w:val="auto"/>
              </w:rPr>
            </w:pPr>
          </w:p>
        </w:tc>
        <w:tc>
          <w:tcPr>
            <w:tcW w:w="1020" w:type="dxa"/>
            <w:vAlign w:val="bottom"/>
            <w:tcBorders>
              <w:bottom w:val="single" w:sz="8" w:color="112B19"/>
            </w:tcBorders>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tcBorders>
              <w:bottom w:val="single" w:sz="8" w:color="112B19"/>
            </w:tcBorders>
            <w:gridSpan w:val="4"/>
          </w:tcPr>
          <w:p>
            <w:pPr>
              <w:ind w:left="820"/>
              <w:spacing w:after="0"/>
              <w:rPr>
                <w:sz w:val="20"/>
                <w:szCs w:val="20"/>
                <w:color w:val="auto"/>
              </w:rPr>
            </w:pPr>
            <w:r>
              <w:rPr>
                <w:rFonts w:ascii="Arial" w:cs="Arial" w:eastAsia="Arial" w:hAnsi="Arial"/>
                <w:sz w:val="11"/>
                <w:szCs w:val="11"/>
                <w:b w:val="1"/>
                <w:bCs w:val="1"/>
                <w:color w:val="112B19"/>
              </w:rPr>
              <w:t>Stock Awards</w:t>
            </w:r>
          </w:p>
        </w:tc>
        <w:tc>
          <w:tcPr>
            <w:tcW w:w="0" w:type="dxa"/>
            <w:vAlign w:val="bottom"/>
          </w:tcPr>
          <w:p>
            <w:pPr>
              <w:spacing w:after="0"/>
              <w:rPr>
                <w:sz w:val="1"/>
                <w:szCs w:val="1"/>
                <w:color w:val="auto"/>
              </w:rPr>
            </w:pPr>
          </w:p>
        </w:tc>
      </w:tr>
      <w:tr>
        <w:trPr>
          <w:trHeight w:val="102"/>
        </w:trPr>
        <w:tc>
          <w:tcPr>
            <w:tcW w:w="1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66"/>
              <w:spacing w:after="0" w:line="102" w:lineRule="exact"/>
              <w:rPr>
                <w:sz w:val="20"/>
                <w:szCs w:val="20"/>
                <w:color w:val="auto"/>
              </w:rPr>
            </w:pPr>
            <w:r>
              <w:rPr>
                <w:rFonts w:ascii="Arial" w:cs="Arial" w:eastAsia="Arial" w:hAnsi="Arial"/>
                <w:sz w:val="11"/>
                <w:szCs w:val="11"/>
                <w:b w:val="1"/>
                <w:bCs w:val="1"/>
                <w:color w:val="112B19"/>
                <w:w w:val="98"/>
              </w:rPr>
              <w:t>Number of</w:t>
            </w:r>
          </w:p>
        </w:tc>
        <w:tc>
          <w:tcPr>
            <w:tcW w:w="80" w:type="dxa"/>
            <w:vAlign w:val="bottom"/>
          </w:tcPr>
          <w:p>
            <w:pPr>
              <w:spacing w:after="0"/>
              <w:rPr>
                <w:sz w:val="8"/>
                <w:szCs w:val="8"/>
                <w:color w:val="auto"/>
              </w:rPr>
            </w:pPr>
          </w:p>
        </w:tc>
        <w:tc>
          <w:tcPr>
            <w:tcW w:w="1300" w:type="dxa"/>
            <w:vAlign w:val="bottom"/>
          </w:tcPr>
          <w:p>
            <w:pPr>
              <w:jc w:val="center"/>
              <w:spacing w:after="0" w:line="102" w:lineRule="exact"/>
              <w:rPr>
                <w:sz w:val="20"/>
                <w:szCs w:val="20"/>
                <w:color w:val="auto"/>
              </w:rPr>
            </w:pPr>
            <w:r>
              <w:rPr>
                <w:rFonts w:ascii="Arial" w:cs="Arial" w:eastAsia="Arial" w:hAnsi="Arial"/>
                <w:sz w:val="11"/>
                <w:szCs w:val="11"/>
                <w:b w:val="1"/>
                <w:bCs w:val="1"/>
                <w:color w:val="112B19"/>
                <w:w w:val="98"/>
              </w:rPr>
              <w:t>Number of</w:t>
            </w: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jc w:val="center"/>
              <w:spacing w:after="0" w:line="102" w:lineRule="exact"/>
              <w:rPr>
                <w:sz w:val="20"/>
                <w:szCs w:val="20"/>
                <w:color w:val="auto"/>
              </w:rPr>
            </w:pPr>
            <w:r>
              <w:rPr>
                <w:rFonts w:ascii="Arial" w:cs="Arial" w:eastAsia="Arial" w:hAnsi="Arial"/>
                <w:sz w:val="11"/>
                <w:szCs w:val="11"/>
                <w:b w:val="1"/>
                <w:bCs w:val="1"/>
                <w:color w:val="112B19"/>
                <w:w w:val="98"/>
              </w:rPr>
              <w:t>Number of</w:t>
            </w:r>
          </w:p>
        </w:tc>
        <w:tc>
          <w:tcPr>
            <w:tcW w:w="240" w:type="dxa"/>
            <w:vAlign w:val="bottom"/>
          </w:tcPr>
          <w:p>
            <w:pPr>
              <w:spacing w:after="0"/>
              <w:rPr>
                <w:sz w:val="8"/>
                <w:szCs w:val="8"/>
                <w:color w:val="auto"/>
              </w:rPr>
            </w:pPr>
          </w:p>
        </w:tc>
        <w:tc>
          <w:tcPr>
            <w:tcW w:w="112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112B19"/>
              </w:rPr>
              <w:t>Market</w:t>
            </w: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112B19"/>
                <w:w w:val="98"/>
              </w:rPr>
              <w:t>Securities</w:t>
            </w:r>
          </w:p>
        </w:tc>
        <w:tc>
          <w:tcPr>
            <w:tcW w:w="8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112B19"/>
                <w:w w:val="94"/>
              </w:rPr>
              <w:t>Securities</w:t>
            </w: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112B19"/>
                <w:w w:val="99"/>
              </w:rPr>
              <w:t>Shares of</w:t>
            </w:r>
          </w:p>
        </w:tc>
        <w:tc>
          <w:tcPr>
            <w:tcW w:w="24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112B19"/>
                <w:w w:val="98"/>
              </w:rPr>
              <w:t>Value of</w:t>
            </w: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112B19"/>
                <w:w w:val="97"/>
              </w:rPr>
              <w:t>Underlying</w:t>
            </w:r>
          </w:p>
        </w:tc>
        <w:tc>
          <w:tcPr>
            <w:tcW w:w="8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112B19"/>
              </w:rPr>
              <w:t>Underlying</w:t>
            </w: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112B19"/>
                <w:w w:val="99"/>
              </w:rPr>
              <w:t>Stock</w:t>
            </w:r>
          </w:p>
        </w:tc>
        <w:tc>
          <w:tcPr>
            <w:tcW w:w="240" w:type="dxa"/>
            <w:vAlign w:val="bottom"/>
          </w:tcPr>
          <w:p>
            <w:pPr>
              <w:spacing w:after="0"/>
              <w:rPr>
                <w:sz w:val="10"/>
                <w:szCs w:val="10"/>
                <w:color w:val="auto"/>
              </w:rPr>
            </w:pPr>
          </w:p>
        </w:tc>
        <w:tc>
          <w:tcPr>
            <w:tcW w:w="11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112B19"/>
                <w:w w:val="95"/>
              </w:rPr>
              <w:t>Shares of</w:t>
            </w: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112B19"/>
                <w:w w:val="97"/>
              </w:rPr>
              <w:t>Unexercised</w:t>
            </w:r>
          </w:p>
        </w:tc>
        <w:tc>
          <w:tcPr>
            <w:tcW w:w="8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112B19"/>
              </w:rPr>
              <w:t>Unexercised</w:t>
            </w:r>
          </w:p>
        </w:tc>
        <w:tc>
          <w:tcPr>
            <w:tcW w:w="300" w:type="dxa"/>
            <w:vAlign w:val="bottom"/>
          </w:tcPr>
          <w:p>
            <w:pPr>
              <w:spacing w:after="0"/>
              <w:rPr>
                <w:sz w:val="10"/>
                <w:szCs w:val="10"/>
                <w:color w:val="auto"/>
              </w:rPr>
            </w:pPr>
          </w:p>
        </w:tc>
        <w:tc>
          <w:tcPr>
            <w:tcW w:w="920" w:type="dxa"/>
            <w:vAlign w:val="bottom"/>
          </w:tcPr>
          <w:p>
            <w:pPr>
              <w:jc w:val="center"/>
              <w:ind w:right="306"/>
              <w:spacing w:after="0" w:line="122" w:lineRule="exact"/>
              <w:rPr>
                <w:sz w:val="20"/>
                <w:szCs w:val="20"/>
                <w:color w:val="auto"/>
              </w:rPr>
            </w:pPr>
            <w:r>
              <w:rPr>
                <w:rFonts w:ascii="Arial" w:cs="Arial" w:eastAsia="Arial" w:hAnsi="Arial"/>
                <w:sz w:val="11"/>
                <w:szCs w:val="11"/>
                <w:b w:val="1"/>
                <w:bCs w:val="1"/>
                <w:color w:val="112B19"/>
              </w:rPr>
              <w:t>Option</w:t>
            </w:r>
          </w:p>
        </w:tc>
        <w:tc>
          <w:tcPr>
            <w:tcW w:w="102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112B19"/>
                <w:w w:val="95"/>
              </w:rPr>
              <w:t>Option</w:t>
            </w:r>
          </w:p>
        </w:tc>
        <w:tc>
          <w:tcPr>
            <w:tcW w:w="8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112B19"/>
                <w:w w:val="94"/>
              </w:rPr>
              <w:t>That</w:t>
            </w:r>
          </w:p>
        </w:tc>
        <w:tc>
          <w:tcPr>
            <w:tcW w:w="240" w:type="dxa"/>
            <w:vAlign w:val="bottom"/>
          </w:tcPr>
          <w:p>
            <w:pPr>
              <w:spacing w:after="0"/>
              <w:rPr>
                <w:sz w:val="10"/>
                <w:szCs w:val="10"/>
                <w:color w:val="auto"/>
              </w:rPr>
            </w:pPr>
          </w:p>
        </w:tc>
        <w:tc>
          <w:tcPr>
            <w:tcW w:w="11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112B19"/>
                <w:w w:val="99"/>
              </w:rPr>
              <w:t>Stock That</w:t>
            </w: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112B19"/>
                <w:w w:val="98"/>
              </w:rPr>
              <w:t>Options –</w:t>
            </w:r>
          </w:p>
        </w:tc>
        <w:tc>
          <w:tcPr>
            <w:tcW w:w="8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112B19"/>
                <w:w w:val="98"/>
              </w:rPr>
              <w:t>Options –</w:t>
            </w:r>
          </w:p>
        </w:tc>
        <w:tc>
          <w:tcPr>
            <w:tcW w:w="300" w:type="dxa"/>
            <w:vAlign w:val="bottom"/>
          </w:tcPr>
          <w:p>
            <w:pPr>
              <w:spacing w:after="0"/>
              <w:rPr>
                <w:sz w:val="10"/>
                <w:szCs w:val="10"/>
                <w:color w:val="auto"/>
              </w:rPr>
            </w:pPr>
          </w:p>
        </w:tc>
        <w:tc>
          <w:tcPr>
            <w:tcW w:w="920" w:type="dxa"/>
            <w:vAlign w:val="bottom"/>
          </w:tcPr>
          <w:p>
            <w:pPr>
              <w:jc w:val="center"/>
              <w:ind w:right="306"/>
              <w:spacing w:after="0" w:line="122" w:lineRule="exact"/>
              <w:rPr>
                <w:sz w:val="20"/>
                <w:szCs w:val="20"/>
                <w:color w:val="auto"/>
              </w:rPr>
            </w:pPr>
            <w:r>
              <w:rPr>
                <w:rFonts w:ascii="Arial" w:cs="Arial" w:eastAsia="Arial" w:hAnsi="Arial"/>
                <w:sz w:val="11"/>
                <w:szCs w:val="11"/>
                <w:b w:val="1"/>
                <w:bCs w:val="1"/>
                <w:color w:val="112B19"/>
                <w:w w:val="97"/>
              </w:rPr>
              <w:t>Exercise</w:t>
            </w:r>
          </w:p>
        </w:tc>
        <w:tc>
          <w:tcPr>
            <w:tcW w:w="102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112B19"/>
              </w:rPr>
              <w:t>Expiration</w:t>
            </w:r>
          </w:p>
        </w:tc>
        <w:tc>
          <w:tcPr>
            <w:tcW w:w="8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112B19"/>
                <w:w w:val="96"/>
              </w:rPr>
              <w:t>Have Not</w:t>
            </w:r>
          </w:p>
        </w:tc>
        <w:tc>
          <w:tcPr>
            <w:tcW w:w="240" w:type="dxa"/>
            <w:vAlign w:val="bottom"/>
          </w:tcPr>
          <w:p>
            <w:pPr>
              <w:spacing w:after="0"/>
              <w:rPr>
                <w:sz w:val="10"/>
                <w:szCs w:val="10"/>
                <w:color w:val="auto"/>
              </w:rPr>
            </w:pPr>
          </w:p>
        </w:tc>
        <w:tc>
          <w:tcPr>
            <w:tcW w:w="11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112B19"/>
              </w:rPr>
              <w:t>Have Not</w:t>
            </w:r>
          </w:p>
        </w:tc>
        <w:tc>
          <w:tcPr>
            <w:tcW w:w="0" w:type="dxa"/>
            <w:vAlign w:val="bottom"/>
          </w:tcPr>
          <w:p>
            <w:pPr>
              <w:spacing w:after="0"/>
              <w:rPr>
                <w:sz w:val="1"/>
                <w:szCs w:val="1"/>
                <w:color w:val="auto"/>
              </w:rPr>
            </w:pPr>
          </w:p>
        </w:tc>
      </w:tr>
      <w:tr>
        <w:trPr>
          <w:trHeight w:val="135"/>
        </w:trPr>
        <w:tc>
          <w:tcPr>
            <w:tcW w:w="1580" w:type="dxa"/>
            <w:vAlign w:val="bottom"/>
            <w:tcBorders>
              <w:bottom w:val="single" w:sz="8" w:color="112B19"/>
            </w:tcBorders>
          </w:tcPr>
          <w:p>
            <w:pPr>
              <w:spacing w:after="0"/>
              <w:rPr>
                <w:sz w:val="20"/>
                <w:szCs w:val="20"/>
                <w:color w:val="auto"/>
              </w:rPr>
            </w:pPr>
            <w:r>
              <w:rPr>
                <w:rFonts w:ascii="Arial" w:cs="Arial" w:eastAsia="Arial" w:hAnsi="Arial"/>
                <w:sz w:val="11"/>
                <w:szCs w:val="11"/>
                <w:b w:val="1"/>
                <w:bCs w:val="1"/>
                <w:color w:val="112B19"/>
              </w:rPr>
              <w:t>Name</w:t>
            </w:r>
          </w:p>
        </w:tc>
        <w:tc>
          <w:tcPr>
            <w:tcW w:w="700" w:type="dxa"/>
            <w:vAlign w:val="bottom"/>
            <w:tcBorders>
              <w:bottom w:val="single" w:sz="8" w:color="112B19"/>
            </w:tcBorders>
          </w:tcPr>
          <w:p>
            <w:pPr>
              <w:ind w:left="60"/>
              <w:spacing w:after="0"/>
              <w:rPr>
                <w:sz w:val="20"/>
                <w:szCs w:val="20"/>
                <w:color w:val="auto"/>
              </w:rPr>
            </w:pPr>
            <w:r>
              <w:rPr>
                <w:rFonts w:ascii="Arial" w:cs="Arial" w:eastAsia="Arial" w:hAnsi="Arial"/>
                <w:sz w:val="11"/>
                <w:szCs w:val="11"/>
                <w:b w:val="1"/>
                <w:bCs w:val="1"/>
                <w:color w:val="112B19"/>
              </w:rPr>
              <w:t>Grant Date</w:t>
            </w:r>
          </w:p>
        </w:tc>
        <w:tc>
          <w:tcPr>
            <w:tcW w:w="180" w:type="dxa"/>
            <w:vAlign w:val="bottom"/>
            <w:tcBorders>
              <w:bottom w:val="single" w:sz="8" w:color="112B19"/>
            </w:tcBorders>
          </w:tcPr>
          <w:p>
            <w:pPr>
              <w:spacing w:after="0"/>
              <w:rPr>
                <w:sz w:val="11"/>
                <w:szCs w:val="11"/>
                <w:color w:val="auto"/>
              </w:rPr>
            </w:pPr>
          </w:p>
        </w:tc>
        <w:tc>
          <w:tcPr>
            <w:tcW w:w="900" w:type="dxa"/>
            <w:vAlign w:val="bottom"/>
            <w:tcBorders>
              <w:bottom w:val="single" w:sz="8" w:color="112B19"/>
            </w:tcBorders>
          </w:tcPr>
          <w:p>
            <w:pPr>
              <w:jc w:val="center"/>
              <w:ind w:right="46"/>
              <w:spacing w:after="0"/>
              <w:rPr>
                <w:sz w:val="20"/>
                <w:szCs w:val="20"/>
                <w:color w:val="auto"/>
              </w:rPr>
            </w:pPr>
            <w:r>
              <w:rPr>
                <w:rFonts w:ascii="Arial" w:cs="Arial" w:eastAsia="Arial" w:hAnsi="Arial"/>
                <w:sz w:val="11"/>
                <w:szCs w:val="11"/>
                <w:b w:val="1"/>
                <w:bCs w:val="1"/>
                <w:color w:val="112B19"/>
                <w:w w:val="98"/>
              </w:rPr>
              <w:t>Exercisable</w:t>
            </w:r>
          </w:p>
        </w:tc>
        <w:tc>
          <w:tcPr>
            <w:tcW w:w="80" w:type="dxa"/>
            <w:vAlign w:val="bottom"/>
            <w:tcBorders>
              <w:bottom w:val="single" w:sz="8" w:color="112B19"/>
            </w:tcBorders>
          </w:tcPr>
          <w:p>
            <w:pPr>
              <w:spacing w:after="0"/>
              <w:rPr>
                <w:sz w:val="11"/>
                <w:szCs w:val="11"/>
                <w:color w:val="auto"/>
              </w:rPr>
            </w:pPr>
          </w:p>
        </w:tc>
        <w:tc>
          <w:tcPr>
            <w:tcW w:w="1300" w:type="dxa"/>
            <w:vAlign w:val="bottom"/>
            <w:tcBorders>
              <w:bottom w:val="single" w:sz="8" w:color="112B19"/>
            </w:tcBorders>
          </w:tcPr>
          <w:p>
            <w:pPr>
              <w:jc w:val="center"/>
              <w:spacing w:after="0"/>
              <w:rPr>
                <w:sz w:val="20"/>
                <w:szCs w:val="20"/>
                <w:color w:val="auto"/>
              </w:rPr>
            </w:pPr>
            <w:r>
              <w:rPr>
                <w:rFonts w:ascii="Arial" w:cs="Arial" w:eastAsia="Arial" w:hAnsi="Arial"/>
                <w:sz w:val="11"/>
                <w:szCs w:val="11"/>
                <w:b w:val="1"/>
                <w:bCs w:val="1"/>
                <w:color w:val="112B19"/>
                <w:w w:val="99"/>
              </w:rPr>
              <w:t>Unexercisable</w:t>
            </w:r>
          </w:p>
        </w:tc>
        <w:tc>
          <w:tcPr>
            <w:tcW w:w="300" w:type="dxa"/>
            <w:vAlign w:val="bottom"/>
            <w:tcBorders>
              <w:bottom w:val="single" w:sz="8" w:color="112B19"/>
            </w:tcBorders>
          </w:tcPr>
          <w:p>
            <w:pPr>
              <w:spacing w:after="0"/>
              <w:rPr>
                <w:sz w:val="11"/>
                <w:szCs w:val="11"/>
                <w:color w:val="auto"/>
              </w:rPr>
            </w:pPr>
          </w:p>
        </w:tc>
        <w:tc>
          <w:tcPr>
            <w:tcW w:w="920" w:type="dxa"/>
            <w:vAlign w:val="bottom"/>
            <w:tcBorders>
              <w:bottom w:val="single" w:sz="8" w:color="112B19"/>
            </w:tcBorders>
          </w:tcPr>
          <w:p>
            <w:pPr>
              <w:jc w:val="center"/>
              <w:ind w:right="306"/>
              <w:spacing w:after="0"/>
              <w:rPr>
                <w:sz w:val="20"/>
                <w:szCs w:val="20"/>
                <w:color w:val="auto"/>
              </w:rPr>
            </w:pPr>
            <w:r>
              <w:rPr>
                <w:rFonts w:ascii="Arial" w:cs="Arial" w:eastAsia="Arial" w:hAnsi="Arial"/>
                <w:sz w:val="11"/>
                <w:szCs w:val="11"/>
                <w:b w:val="1"/>
                <w:bCs w:val="1"/>
                <w:color w:val="112B19"/>
              </w:rPr>
              <w:t>Price</w:t>
            </w:r>
          </w:p>
        </w:tc>
        <w:tc>
          <w:tcPr>
            <w:tcW w:w="1020" w:type="dxa"/>
            <w:vAlign w:val="bottom"/>
            <w:tcBorders>
              <w:bottom w:val="single" w:sz="8" w:color="112B19"/>
            </w:tcBorders>
          </w:tcPr>
          <w:p>
            <w:pPr>
              <w:jc w:val="center"/>
              <w:ind w:right="66"/>
              <w:spacing w:after="0"/>
              <w:rPr>
                <w:sz w:val="20"/>
                <w:szCs w:val="20"/>
                <w:color w:val="auto"/>
              </w:rPr>
            </w:pPr>
            <w:r>
              <w:rPr>
                <w:rFonts w:ascii="Arial" w:cs="Arial" w:eastAsia="Arial" w:hAnsi="Arial"/>
                <w:sz w:val="11"/>
                <w:szCs w:val="11"/>
                <w:b w:val="1"/>
                <w:bCs w:val="1"/>
                <w:color w:val="112B19"/>
                <w:w w:val="92"/>
              </w:rPr>
              <w:t>Date</w:t>
            </w:r>
          </w:p>
        </w:tc>
        <w:tc>
          <w:tcPr>
            <w:tcW w:w="80" w:type="dxa"/>
            <w:vAlign w:val="bottom"/>
            <w:tcBorders>
              <w:bottom w:val="single" w:sz="8" w:color="112B19"/>
            </w:tcBorders>
          </w:tcPr>
          <w:p>
            <w:pPr>
              <w:spacing w:after="0"/>
              <w:rPr>
                <w:sz w:val="11"/>
                <w:szCs w:val="11"/>
                <w:color w:val="auto"/>
              </w:rPr>
            </w:pPr>
          </w:p>
        </w:tc>
        <w:tc>
          <w:tcPr>
            <w:tcW w:w="980" w:type="dxa"/>
            <w:vAlign w:val="bottom"/>
            <w:tcBorders>
              <w:bottom w:val="single" w:sz="8" w:color="112B19"/>
            </w:tcBorders>
          </w:tcPr>
          <w:p>
            <w:pPr>
              <w:jc w:val="center"/>
              <w:ind w:right="6"/>
              <w:spacing w:after="0"/>
              <w:rPr>
                <w:sz w:val="20"/>
                <w:szCs w:val="20"/>
                <w:color w:val="auto"/>
              </w:rPr>
            </w:pPr>
            <w:r>
              <w:rPr>
                <w:rFonts w:ascii="Arial" w:cs="Arial" w:eastAsia="Arial" w:hAnsi="Arial"/>
                <w:sz w:val="11"/>
                <w:szCs w:val="11"/>
                <w:b w:val="1"/>
                <w:bCs w:val="1"/>
                <w:color w:val="112B19"/>
                <w:w w:val="99"/>
              </w:rPr>
              <w:t>Vested</w:t>
            </w:r>
          </w:p>
        </w:tc>
        <w:tc>
          <w:tcPr>
            <w:tcW w:w="240" w:type="dxa"/>
            <w:vAlign w:val="bottom"/>
            <w:tcBorders>
              <w:bottom w:val="single" w:sz="8" w:color="112B19"/>
            </w:tcBorders>
          </w:tcPr>
          <w:p>
            <w:pPr>
              <w:spacing w:after="0"/>
              <w:rPr>
                <w:sz w:val="11"/>
                <w:szCs w:val="11"/>
                <w:color w:val="auto"/>
              </w:rPr>
            </w:pPr>
          </w:p>
        </w:tc>
        <w:tc>
          <w:tcPr>
            <w:tcW w:w="1120" w:type="dxa"/>
            <w:vAlign w:val="bottom"/>
            <w:tcBorders>
              <w:bottom w:val="single" w:sz="8" w:color="112B19"/>
            </w:tcBorders>
            <w:gridSpan w:val="2"/>
          </w:tcPr>
          <w:p>
            <w:pPr>
              <w:jc w:val="center"/>
              <w:ind w:right="200"/>
              <w:spacing w:after="0"/>
              <w:rPr>
                <w:sz w:val="20"/>
                <w:szCs w:val="20"/>
                <w:color w:val="auto"/>
              </w:rPr>
            </w:pPr>
            <w:r>
              <w:rPr>
                <w:rFonts w:ascii="Arial" w:cs="Arial" w:eastAsia="Arial" w:hAnsi="Arial"/>
                <w:sz w:val="11"/>
                <w:szCs w:val="11"/>
                <w:b w:val="1"/>
                <w:bCs w:val="1"/>
                <w:color w:val="112B19"/>
                <w:w w:val="99"/>
              </w:rPr>
              <w:t>Vested</w:t>
            </w:r>
          </w:p>
        </w:tc>
        <w:tc>
          <w:tcPr>
            <w:tcW w:w="0" w:type="dxa"/>
            <w:vAlign w:val="bottom"/>
          </w:tcPr>
          <w:p>
            <w:pPr>
              <w:spacing w:after="0"/>
              <w:rPr>
                <w:sz w:val="1"/>
                <w:szCs w:val="1"/>
                <w:color w:val="auto"/>
              </w:rPr>
            </w:pPr>
          </w:p>
        </w:tc>
      </w:tr>
      <w:tr>
        <w:trPr>
          <w:trHeight w:val="57"/>
        </w:trPr>
        <w:tc>
          <w:tcPr>
            <w:tcW w:w="1580" w:type="dxa"/>
            <w:vAlign w:val="bottom"/>
            <w:vMerge w:val="restart"/>
          </w:tcPr>
          <w:p>
            <w:pPr>
              <w:ind w:left="80"/>
              <w:spacing w:after="0"/>
              <w:rPr>
                <w:sz w:val="20"/>
                <w:szCs w:val="20"/>
                <w:color w:val="auto"/>
              </w:rPr>
            </w:pPr>
            <w:r>
              <w:rPr>
                <w:rFonts w:ascii="Arial" w:cs="Arial" w:eastAsia="Arial" w:hAnsi="Arial"/>
                <w:sz w:val="11"/>
                <w:szCs w:val="11"/>
                <w:color w:val="auto"/>
              </w:rPr>
              <w:t>Luke A. Sarsfield III</w:t>
            </w: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jc w:val="right"/>
              <w:ind w:right="135"/>
              <w:spacing w:after="0" w:line="57" w:lineRule="exact"/>
              <w:rPr>
                <w:sz w:val="20"/>
                <w:szCs w:val="20"/>
                <w:color w:val="auto"/>
              </w:rPr>
            </w:pPr>
            <w:r>
              <w:rPr>
                <w:rFonts w:ascii="Arial" w:cs="Arial" w:eastAsia="Arial" w:hAnsi="Arial"/>
                <w:sz w:val="6"/>
                <w:szCs w:val="6"/>
                <w:color w:val="auto"/>
              </w:rPr>
              <w:t>(1</w:t>
            </w: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1580" w:type="dxa"/>
            <w:vAlign w:val="bottom"/>
            <w:vMerge w:val="continue"/>
          </w:tcPr>
          <w:p>
            <w:pPr>
              <w:spacing w:after="0"/>
              <w:rPr>
                <w:sz w:val="6"/>
                <w:szCs w:val="6"/>
                <w:color w:val="auto"/>
              </w:rPr>
            </w:pPr>
          </w:p>
        </w:tc>
        <w:tc>
          <w:tcPr>
            <w:tcW w:w="700" w:type="dxa"/>
            <w:vAlign w:val="bottom"/>
            <w:vMerge w:val="restart"/>
          </w:tcPr>
          <w:p>
            <w:pPr>
              <w:jc w:val="center"/>
              <w:spacing w:after="0" w:line="122" w:lineRule="exact"/>
              <w:rPr>
                <w:sz w:val="20"/>
                <w:szCs w:val="20"/>
                <w:color w:val="auto"/>
              </w:rPr>
            </w:pPr>
            <w:r>
              <w:rPr>
                <w:rFonts w:ascii="Arial" w:cs="Arial" w:eastAsia="Arial" w:hAnsi="Arial"/>
                <w:sz w:val="11"/>
                <w:szCs w:val="11"/>
                <w:color w:val="auto"/>
                <w:w w:val="97"/>
              </w:rPr>
              <w:t>2/14/2025</w:t>
            </w:r>
          </w:p>
        </w:tc>
        <w:tc>
          <w:tcPr>
            <w:tcW w:w="180" w:type="dxa"/>
            <w:vAlign w:val="bottom"/>
          </w:tcPr>
          <w:p>
            <w:pPr>
              <w:spacing w:after="0"/>
              <w:rPr>
                <w:sz w:val="6"/>
                <w:szCs w:val="6"/>
                <w:color w:val="auto"/>
              </w:rPr>
            </w:pPr>
          </w:p>
        </w:tc>
        <w:tc>
          <w:tcPr>
            <w:tcW w:w="90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w:t>
            </w:r>
          </w:p>
        </w:tc>
        <w:tc>
          <w:tcPr>
            <w:tcW w:w="1380" w:type="dxa"/>
            <w:vAlign w:val="bottom"/>
            <w:gridSpan w:val="2"/>
            <w:vMerge w:val="restart"/>
          </w:tcPr>
          <w:p>
            <w:pPr>
              <w:jc w:val="right"/>
              <w:ind w:right="6"/>
              <w:spacing w:after="0" w:line="122" w:lineRule="exact"/>
              <w:rPr>
                <w:sz w:val="20"/>
                <w:szCs w:val="20"/>
                <w:color w:val="auto"/>
              </w:rPr>
            </w:pPr>
            <w:r>
              <w:rPr>
                <w:rFonts w:ascii="Arial" w:cs="Arial" w:eastAsia="Arial" w:hAnsi="Arial"/>
                <w:sz w:val="11"/>
                <w:szCs w:val="11"/>
                <w:color w:val="auto"/>
              </w:rPr>
              <w:t>89,767</w:t>
            </w:r>
          </w:p>
        </w:tc>
        <w:tc>
          <w:tcPr>
            <w:tcW w:w="300" w:type="dxa"/>
            <w:vAlign w:val="bottom"/>
            <w:vMerge w:val="restart"/>
          </w:tcPr>
          <w:p>
            <w:pPr>
              <w:jc w:val="right"/>
              <w:ind w:right="55"/>
              <w:spacing w:after="0" w:line="122" w:lineRule="exact"/>
              <w:rPr>
                <w:sz w:val="20"/>
                <w:szCs w:val="20"/>
                <w:color w:val="auto"/>
              </w:rPr>
            </w:pPr>
            <w:r>
              <w:rPr>
                <w:rFonts w:ascii="Arial" w:cs="Arial" w:eastAsia="Arial" w:hAnsi="Arial"/>
                <w:sz w:val="14"/>
                <w:szCs w:val="14"/>
                <w:color w:val="auto"/>
                <w:vertAlign w:val="superscript"/>
              </w:rPr>
              <w:t>)</w:t>
            </w:r>
            <w:r>
              <w:rPr>
                <w:rFonts w:ascii="Arial" w:cs="Arial" w:eastAsia="Arial" w:hAnsi="Arial"/>
                <w:sz w:val="11"/>
                <w:szCs w:val="11"/>
                <w:color w:val="auto"/>
              </w:rPr>
              <w:t xml:space="preserve"> $</w:t>
            </w:r>
          </w:p>
        </w:tc>
        <w:tc>
          <w:tcPr>
            <w:tcW w:w="920" w:type="dxa"/>
            <w:vAlign w:val="bottom"/>
            <w:vMerge w:val="restart"/>
          </w:tcPr>
          <w:p>
            <w:pPr>
              <w:jc w:val="right"/>
              <w:ind w:right="146"/>
              <w:spacing w:after="0" w:line="122" w:lineRule="exact"/>
              <w:rPr>
                <w:sz w:val="20"/>
                <w:szCs w:val="20"/>
                <w:color w:val="auto"/>
              </w:rPr>
            </w:pPr>
            <w:r>
              <w:rPr>
                <w:rFonts w:ascii="Arial" w:cs="Arial" w:eastAsia="Arial" w:hAnsi="Arial"/>
                <w:sz w:val="11"/>
                <w:szCs w:val="11"/>
                <w:color w:val="auto"/>
              </w:rPr>
              <w:t>12.61</w:t>
            </w:r>
          </w:p>
        </w:tc>
        <w:tc>
          <w:tcPr>
            <w:tcW w:w="1020" w:type="dxa"/>
            <w:vAlign w:val="bottom"/>
            <w:vMerge w:val="restart"/>
          </w:tcPr>
          <w:p>
            <w:pPr>
              <w:jc w:val="right"/>
              <w:ind w:right="66"/>
              <w:spacing w:after="0" w:line="122" w:lineRule="exact"/>
              <w:rPr>
                <w:sz w:val="20"/>
                <w:szCs w:val="20"/>
                <w:color w:val="auto"/>
              </w:rPr>
            </w:pPr>
            <w:r>
              <w:rPr>
                <w:rFonts w:ascii="Arial" w:cs="Arial" w:eastAsia="Arial" w:hAnsi="Arial"/>
                <w:sz w:val="11"/>
                <w:szCs w:val="11"/>
                <w:color w:val="auto"/>
              </w:rPr>
              <w:t>2/14/2035</w:t>
            </w:r>
          </w:p>
        </w:tc>
        <w:tc>
          <w:tcPr>
            <w:tcW w:w="80" w:type="dxa"/>
            <w:vAlign w:val="bottom"/>
          </w:tcPr>
          <w:p>
            <w:pPr>
              <w:spacing w:after="0"/>
              <w:rPr>
                <w:sz w:val="6"/>
                <w:szCs w:val="6"/>
                <w:color w:val="auto"/>
              </w:rPr>
            </w:pPr>
          </w:p>
        </w:tc>
        <w:tc>
          <w:tcPr>
            <w:tcW w:w="980" w:type="dxa"/>
            <w:vAlign w:val="bottom"/>
            <w:vMerge w:val="restart"/>
          </w:tcPr>
          <w:p>
            <w:pPr>
              <w:jc w:val="right"/>
              <w:ind w:right="6"/>
              <w:spacing w:after="0" w:line="122" w:lineRule="exact"/>
              <w:rPr>
                <w:sz w:val="20"/>
                <w:szCs w:val="20"/>
                <w:color w:val="auto"/>
              </w:rPr>
            </w:pPr>
            <w:r>
              <w:rPr>
                <w:rFonts w:ascii="Arial" w:cs="Arial" w:eastAsia="Arial" w:hAnsi="Arial"/>
                <w:sz w:val="11"/>
                <w:szCs w:val="11"/>
                <w:color w:val="auto"/>
              </w:rPr>
              <w:t>—</w:t>
            </w:r>
          </w:p>
        </w:tc>
        <w:tc>
          <w:tcPr>
            <w:tcW w:w="24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w:t>
            </w:r>
          </w:p>
        </w:tc>
        <w:tc>
          <w:tcPr>
            <w:tcW w:w="1120" w:type="dxa"/>
            <w:vAlign w:val="bottom"/>
            <w:gridSpan w:val="2"/>
            <w:vMerge w:val="restart"/>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3"/>
        </w:trPr>
        <w:tc>
          <w:tcPr>
            <w:tcW w:w="1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jc w:val="right"/>
              <w:ind w:right="58"/>
              <w:spacing w:after="0"/>
              <w:rPr>
                <w:sz w:val="20"/>
                <w:szCs w:val="20"/>
                <w:color w:val="auto"/>
              </w:rPr>
            </w:pPr>
            <w:r>
              <w:rPr>
                <w:rFonts w:ascii="Arial" w:cs="Arial" w:eastAsia="Arial" w:hAnsi="Arial"/>
                <w:sz w:val="7"/>
                <w:szCs w:val="7"/>
                <w:color w:val="auto"/>
              </w:rPr>
              <w:t>(2</w:t>
            </w: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97"/>
              </w:rPr>
              <w:t>2/14/2025</w:t>
            </w: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3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jc w:val="right"/>
              <w:ind w:right="55"/>
              <w:spacing w:after="0" w:line="122" w:lineRule="exact"/>
              <w:rPr>
                <w:sz w:val="20"/>
                <w:szCs w:val="20"/>
                <w:color w:val="auto"/>
              </w:rPr>
            </w:pPr>
            <w:r>
              <w:rPr>
                <w:rFonts w:ascii="Arial" w:cs="Arial" w:eastAsia="Arial" w:hAnsi="Arial"/>
                <w:sz w:val="11"/>
                <w:szCs w:val="11"/>
                <w:color w:val="auto"/>
              </w:rPr>
              <w:t>$</w:t>
            </w:r>
          </w:p>
        </w:tc>
        <w:tc>
          <w:tcPr>
            <w:tcW w:w="9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118,954</w:t>
            </w:r>
          </w:p>
        </w:tc>
        <w:tc>
          <w:tcPr>
            <w:tcW w:w="240" w:type="dxa"/>
            <w:vAlign w:val="bottom"/>
          </w:tcPr>
          <w:p>
            <w:pPr>
              <w:jc w:val="right"/>
              <w:spacing w:after="0" w:line="122" w:lineRule="exact"/>
              <w:rPr>
                <w:sz w:val="20"/>
                <w:szCs w:val="20"/>
                <w:color w:val="auto"/>
              </w:rPr>
            </w:pPr>
            <w:r>
              <w:rPr>
                <w:rFonts w:ascii="Arial" w:cs="Arial" w:eastAsia="Arial" w:hAnsi="Arial"/>
                <w:sz w:val="14"/>
                <w:szCs w:val="14"/>
                <w:color w:val="auto"/>
                <w:vertAlign w:val="superscript"/>
              </w:rPr>
              <w:t>)</w:t>
            </w:r>
            <w:r>
              <w:rPr>
                <w:rFonts w:ascii="Arial" w:cs="Arial" w:eastAsia="Arial" w:hAnsi="Arial"/>
                <w:sz w:val="11"/>
                <w:szCs w:val="11"/>
                <w:color w:val="auto"/>
              </w:rPr>
              <w:t xml:space="preserve"> $</w:t>
            </w:r>
          </w:p>
        </w:tc>
        <w:tc>
          <w:tcPr>
            <w:tcW w:w="10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1,166,939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jc w:val="right"/>
              <w:ind w:right="58"/>
              <w:spacing w:after="0"/>
              <w:rPr>
                <w:sz w:val="20"/>
                <w:szCs w:val="20"/>
                <w:color w:val="auto"/>
              </w:rPr>
            </w:pPr>
            <w:r>
              <w:rPr>
                <w:rFonts w:ascii="Arial" w:cs="Arial" w:eastAsia="Arial" w:hAnsi="Arial"/>
                <w:sz w:val="7"/>
                <w:szCs w:val="7"/>
                <w:color w:val="auto"/>
              </w:rPr>
              <w:t>(3</w:t>
            </w: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97"/>
              </w:rPr>
              <w:t>2/14/2025</w:t>
            </w: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3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jc w:val="right"/>
              <w:ind w:right="55"/>
              <w:spacing w:after="0" w:line="122" w:lineRule="exact"/>
              <w:rPr>
                <w:sz w:val="20"/>
                <w:szCs w:val="20"/>
                <w:color w:val="auto"/>
              </w:rPr>
            </w:pPr>
            <w:r>
              <w:rPr>
                <w:rFonts w:ascii="Arial" w:cs="Arial" w:eastAsia="Arial" w:hAnsi="Arial"/>
                <w:sz w:val="11"/>
                <w:szCs w:val="11"/>
                <w:color w:val="auto"/>
              </w:rPr>
              <w:t>$</w:t>
            </w:r>
          </w:p>
        </w:tc>
        <w:tc>
          <w:tcPr>
            <w:tcW w:w="9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15,914</w:t>
            </w:r>
          </w:p>
        </w:tc>
        <w:tc>
          <w:tcPr>
            <w:tcW w:w="240" w:type="dxa"/>
            <w:vAlign w:val="bottom"/>
          </w:tcPr>
          <w:p>
            <w:pPr>
              <w:jc w:val="right"/>
              <w:spacing w:after="0" w:line="122" w:lineRule="exact"/>
              <w:rPr>
                <w:sz w:val="20"/>
                <w:szCs w:val="20"/>
                <w:color w:val="auto"/>
              </w:rPr>
            </w:pPr>
            <w:r>
              <w:rPr>
                <w:rFonts w:ascii="Arial" w:cs="Arial" w:eastAsia="Arial" w:hAnsi="Arial"/>
                <w:sz w:val="14"/>
                <w:szCs w:val="14"/>
                <w:color w:val="auto"/>
                <w:vertAlign w:val="superscript"/>
              </w:rPr>
              <w:t>)</w:t>
            </w:r>
            <w:r>
              <w:rPr>
                <w:rFonts w:ascii="Arial" w:cs="Arial" w:eastAsia="Arial" w:hAnsi="Arial"/>
                <w:sz w:val="11"/>
                <w:szCs w:val="11"/>
                <w:color w:val="auto"/>
              </w:rPr>
              <w:t xml:space="preserve"> $</w:t>
            </w:r>
          </w:p>
        </w:tc>
        <w:tc>
          <w:tcPr>
            <w:tcW w:w="10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156,116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jc w:val="right"/>
              <w:ind w:right="58"/>
              <w:spacing w:after="0"/>
              <w:rPr>
                <w:sz w:val="20"/>
                <w:szCs w:val="20"/>
                <w:color w:val="auto"/>
              </w:rPr>
            </w:pPr>
            <w:r>
              <w:rPr>
                <w:rFonts w:ascii="Arial" w:cs="Arial" w:eastAsia="Arial" w:hAnsi="Arial"/>
                <w:sz w:val="7"/>
                <w:szCs w:val="7"/>
                <w:color w:val="auto"/>
              </w:rPr>
              <w:t>(4</w:t>
            </w: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5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8"/>
              </w:rPr>
              <w:t>10/23/2023</w:t>
            </w: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55"/>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6"/>
              <w:spacing w:after="0"/>
              <w:rPr>
                <w:sz w:val="20"/>
                <w:szCs w:val="20"/>
                <w:color w:val="auto"/>
              </w:rPr>
            </w:pPr>
            <w:r>
              <w:rPr>
                <w:rFonts w:ascii="Arial" w:cs="Arial" w:eastAsia="Arial" w:hAnsi="Arial"/>
                <w:sz w:val="11"/>
                <w:szCs w:val="11"/>
                <w:color w:val="auto"/>
              </w:rPr>
              <w:t>218,102</w:t>
            </w:r>
          </w:p>
        </w:tc>
        <w:tc>
          <w:tcPr>
            <w:tcW w:w="240" w:type="dxa"/>
            <w:vAlign w:val="bottom"/>
          </w:tcPr>
          <w:p>
            <w:pPr>
              <w:jc w:val="right"/>
              <w:spacing w:after="0" w:line="139" w:lineRule="exact"/>
              <w:rPr>
                <w:sz w:val="20"/>
                <w:szCs w:val="20"/>
                <w:color w:val="auto"/>
              </w:rPr>
            </w:pPr>
            <w:r>
              <w:rPr>
                <w:rFonts w:ascii="Arial" w:cs="Arial" w:eastAsia="Arial" w:hAnsi="Arial"/>
                <w:sz w:val="14"/>
                <w:szCs w:val="14"/>
                <w:color w:val="auto"/>
                <w:vertAlign w:val="superscript"/>
              </w:rPr>
              <w:t>)</w:t>
            </w:r>
            <w:r>
              <w:rPr>
                <w:rFonts w:ascii="Arial" w:cs="Arial" w:eastAsia="Arial" w:hAnsi="Arial"/>
                <w:sz w:val="11"/>
                <w:szCs w:val="11"/>
                <w:color w:val="auto"/>
              </w:rPr>
              <w:t xml:space="preserve"> $</w:t>
            </w:r>
          </w:p>
        </w:tc>
        <w:tc>
          <w:tcPr>
            <w:tcW w:w="1020" w:type="dxa"/>
            <w:vAlign w:val="bottom"/>
          </w:tcPr>
          <w:p>
            <w:pPr>
              <w:jc w:val="right"/>
              <w:ind w:right="46"/>
              <w:spacing w:after="0"/>
              <w:rPr>
                <w:sz w:val="20"/>
                <w:szCs w:val="20"/>
                <w:color w:val="auto"/>
              </w:rPr>
            </w:pPr>
            <w:r>
              <w:rPr>
                <w:rFonts w:ascii="Arial" w:cs="Arial" w:eastAsia="Arial" w:hAnsi="Arial"/>
                <w:sz w:val="11"/>
                <w:szCs w:val="11"/>
                <w:color w:val="auto"/>
              </w:rPr>
              <w:t>2,139,581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580" w:type="dxa"/>
            <w:vAlign w:val="bottom"/>
            <w:vMerge w:val="restart"/>
            <w:shd w:val="clear" w:color="auto" w:fill="EDEDED"/>
          </w:tcPr>
          <w:p>
            <w:pPr>
              <w:ind w:left="80"/>
              <w:spacing w:after="0"/>
              <w:rPr>
                <w:sz w:val="20"/>
                <w:szCs w:val="20"/>
                <w:color w:val="auto"/>
              </w:rPr>
            </w:pPr>
            <w:r>
              <w:rPr>
                <w:rFonts w:ascii="Arial" w:cs="Arial" w:eastAsia="Arial" w:hAnsi="Arial"/>
                <w:sz w:val="11"/>
                <w:szCs w:val="11"/>
                <w:color w:val="auto"/>
              </w:rPr>
              <w:t>Amanda Coussens</w:t>
            </w:r>
          </w:p>
        </w:tc>
        <w:tc>
          <w:tcPr>
            <w:tcW w:w="700" w:type="dxa"/>
            <w:vAlign w:val="bottom"/>
            <w:shd w:val="clear" w:color="auto" w:fill="EDEDED"/>
          </w:tcPr>
          <w:p>
            <w:pPr>
              <w:spacing w:after="0"/>
              <w:rPr>
                <w:sz w:val="5"/>
                <w:szCs w:val="5"/>
                <w:color w:val="auto"/>
              </w:rPr>
            </w:pPr>
          </w:p>
        </w:tc>
        <w:tc>
          <w:tcPr>
            <w:tcW w:w="180" w:type="dxa"/>
            <w:vAlign w:val="bottom"/>
            <w:shd w:val="clear" w:color="auto" w:fill="EDEDED"/>
          </w:tcPr>
          <w:p>
            <w:pPr>
              <w:spacing w:after="0"/>
              <w:rPr>
                <w:sz w:val="5"/>
                <w:szCs w:val="5"/>
                <w:color w:val="auto"/>
              </w:rPr>
            </w:pPr>
          </w:p>
        </w:tc>
        <w:tc>
          <w:tcPr>
            <w:tcW w:w="900" w:type="dxa"/>
            <w:vAlign w:val="bottom"/>
            <w:shd w:val="clear" w:color="auto" w:fill="EDEDED"/>
          </w:tcPr>
          <w:p>
            <w:pPr>
              <w:spacing w:after="0"/>
              <w:rPr>
                <w:sz w:val="5"/>
                <w:szCs w:val="5"/>
                <w:color w:val="auto"/>
              </w:rPr>
            </w:pPr>
          </w:p>
        </w:tc>
        <w:tc>
          <w:tcPr>
            <w:tcW w:w="80" w:type="dxa"/>
            <w:vAlign w:val="bottom"/>
            <w:shd w:val="clear" w:color="auto" w:fill="EDEDED"/>
          </w:tcPr>
          <w:p>
            <w:pPr>
              <w:spacing w:after="0"/>
              <w:rPr>
                <w:sz w:val="5"/>
                <w:szCs w:val="5"/>
                <w:color w:val="auto"/>
              </w:rPr>
            </w:pPr>
          </w:p>
        </w:tc>
        <w:tc>
          <w:tcPr>
            <w:tcW w:w="1300" w:type="dxa"/>
            <w:vAlign w:val="bottom"/>
            <w:shd w:val="clear" w:color="auto" w:fill="EDEDED"/>
          </w:tcPr>
          <w:p>
            <w:pPr>
              <w:spacing w:after="0"/>
              <w:rPr>
                <w:sz w:val="5"/>
                <w:szCs w:val="5"/>
                <w:color w:val="auto"/>
              </w:rPr>
            </w:pPr>
          </w:p>
        </w:tc>
        <w:tc>
          <w:tcPr>
            <w:tcW w:w="300" w:type="dxa"/>
            <w:vAlign w:val="bottom"/>
            <w:shd w:val="clear" w:color="auto" w:fill="EDEDED"/>
          </w:tcPr>
          <w:p>
            <w:pPr>
              <w:jc w:val="right"/>
              <w:ind w:right="135"/>
              <w:spacing w:after="0" w:line="64" w:lineRule="exact"/>
              <w:rPr>
                <w:sz w:val="20"/>
                <w:szCs w:val="20"/>
                <w:color w:val="auto"/>
              </w:rPr>
            </w:pPr>
            <w:r>
              <w:rPr>
                <w:rFonts w:ascii="Arial" w:cs="Arial" w:eastAsia="Arial" w:hAnsi="Arial"/>
                <w:sz w:val="7"/>
                <w:szCs w:val="7"/>
                <w:color w:val="auto"/>
              </w:rPr>
              <w:t>(5</w:t>
            </w:r>
          </w:p>
        </w:tc>
        <w:tc>
          <w:tcPr>
            <w:tcW w:w="920" w:type="dxa"/>
            <w:vAlign w:val="bottom"/>
            <w:shd w:val="clear" w:color="auto" w:fill="EDEDED"/>
          </w:tcPr>
          <w:p>
            <w:pPr>
              <w:spacing w:after="0"/>
              <w:rPr>
                <w:sz w:val="5"/>
                <w:szCs w:val="5"/>
                <w:color w:val="auto"/>
              </w:rPr>
            </w:pPr>
          </w:p>
        </w:tc>
        <w:tc>
          <w:tcPr>
            <w:tcW w:w="1020" w:type="dxa"/>
            <w:vAlign w:val="bottom"/>
            <w:shd w:val="clear" w:color="auto" w:fill="EDEDED"/>
          </w:tcPr>
          <w:p>
            <w:pPr>
              <w:spacing w:after="0"/>
              <w:rPr>
                <w:sz w:val="5"/>
                <w:szCs w:val="5"/>
                <w:color w:val="auto"/>
              </w:rPr>
            </w:pPr>
          </w:p>
        </w:tc>
        <w:tc>
          <w:tcPr>
            <w:tcW w:w="80" w:type="dxa"/>
            <w:vAlign w:val="bottom"/>
            <w:shd w:val="clear" w:color="auto" w:fill="EDEDED"/>
          </w:tcPr>
          <w:p>
            <w:pPr>
              <w:spacing w:after="0"/>
              <w:rPr>
                <w:sz w:val="5"/>
                <w:szCs w:val="5"/>
                <w:color w:val="auto"/>
              </w:rPr>
            </w:pPr>
          </w:p>
        </w:tc>
        <w:tc>
          <w:tcPr>
            <w:tcW w:w="980" w:type="dxa"/>
            <w:vAlign w:val="bottom"/>
            <w:shd w:val="clear" w:color="auto" w:fill="EDEDED"/>
          </w:tcPr>
          <w:p>
            <w:pPr>
              <w:spacing w:after="0"/>
              <w:rPr>
                <w:sz w:val="5"/>
                <w:szCs w:val="5"/>
                <w:color w:val="auto"/>
              </w:rPr>
            </w:pPr>
          </w:p>
        </w:tc>
        <w:tc>
          <w:tcPr>
            <w:tcW w:w="240" w:type="dxa"/>
            <w:vAlign w:val="bottom"/>
            <w:shd w:val="clear" w:color="auto" w:fill="EDEDED"/>
          </w:tcPr>
          <w:p>
            <w:pPr>
              <w:spacing w:after="0"/>
              <w:rPr>
                <w:sz w:val="5"/>
                <w:szCs w:val="5"/>
                <w:color w:val="auto"/>
              </w:rPr>
            </w:pPr>
          </w:p>
        </w:tc>
        <w:tc>
          <w:tcPr>
            <w:tcW w:w="1020" w:type="dxa"/>
            <w:vAlign w:val="bottom"/>
            <w:shd w:val="clear" w:color="auto" w:fill="EDEDED"/>
          </w:tcPr>
          <w:p>
            <w:pPr>
              <w:spacing w:after="0"/>
              <w:rPr>
                <w:sz w:val="5"/>
                <w:szCs w:val="5"/>
                <w:color w:val="auto"/>
              </w:rPr>
            </w:pPr>
          </w:p>
        </w:tc>
        <w:tc>
          <w:tcPr>
            <w:tcW w:w="100" w:type="dxa"/>
            <w:vAlign w:val="bottom"/>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1580" w:type="dxa"/>
            <w:vAlign w:val="bottom"/>
            <w:vMerge w:val="continue"/>
            <w:shd w:val="clear" w:color="auto" w:fill="EDEDED"/>
          </w:tcPr>
          <w:p>
            <w:pPr>
              <w:spacing w:after="0"/>
              <w:rPr>
                <w:sz w:val="6"/>
                <w:szCs w:val="6"/>
                <w:color w:val="auto"/>
              </w:rPr>
            </w:pPr>
          </w:p>
        </w:tc>
        <w:tc>
          <w:tcPr>
            <w:tcW w:w="700" w:type="dxa"/>
            <w:vAlign w:val="bottom"/>
            <w:vMerge w:val="restart"/>
            <w:shd w:val="clear" w:color="auto" w:fill="EDEDED"/>
          </w:tcPr>
          <w:p>
            <w:pPr>
              <w:jc w:val="center"/>
              <w:spacing w:after="0" w:line="122" w:lineRule="exact"/>
              <w:rPr>
                <w:sz w:val="20"/>
                <w:szCs w:val="20"/>
                <w:color w:val="auto"/>
              </w:rPr>
            </w:pPr>
            <w:r>
              <w:rPr>
                <w:rFonts w:ascii="Arial" w:cs="Arial" w:eastAsia="Arial" w:hAnsi="Arial"/>
                <w:sz w:val="11"/>
                <w:szCs w:val="11"/>
                <w:color w:val="auto"/>
                <w:w w:val="97"/>
              </w:rPr>
              <w:t>2/14/2025</w:t>
            </w:r>
          </w:p>
        </w:tc>
        <w:tc>
          <w:tcPr>
            <w:tcW w:w="180" w:type="dxa"/>
            <w:vAlign w:val="bottom"/>
            <w:shd w:val="clear" w:color="auto" w:fill="EDEDED"/>
          </w:tcPr>
          <w:p>
            <w:pPr>
              <w:spacing w:after="0"/>
              <w:rPr>
                <w:sz w:val="6"/>
                <w:szCs w:val="6"/>
                <w:color w:val="auto"/>
              </w:rPr>
            </w:pPr>
          </w:p>
        </w:tc>
        <w:tc>
          <w:tcPr>
            <w:tcW w:w="900" w:type="dxa"/>
            <w:vAlign w:val="bottom"/>
            <w:vMerge w:val="restart"/>
            <w:shd w:val="clear" w:color="auto" w:fill="EDEDED"/>
          </w:tcPr>
          <w:p>
            <w:pPr>
              <w:jc w:val="right"/>
              <w:spacing w:after="0" w:line="122" w:lineRule="exact"/>
              <w:rPr>
                <w:sz w:val="20"/>
                <w:szCs w:val="20"/>
                <w:color w:val="auto"/>
              </w:rPr>
            </w:pPr>
            <w:r>
              <w:rPr>
                <w:rFonts w:ascii="Arial" w:cs="Arial" w:eastAsia="Arial" w:hAnsi="Arial"/>
                <w:sz w:val="11"/>
                <w:szCs w:val="11"/>
                <w:color w:val="auto"/>
              </w:rPr>
              <w:t>—</w:t>
            </w:r>
          </w:p>
        </w:tc>
        <w:tc>
          <w:tcPr>
            <w:tcW w:w="1380" w:type="dxa"/>
            <w:vAlign w:val="bottom"/>
            <w:gridSpan w:val="2"/>
            <w:vMerge w:val="restart"/>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17,953</w:t>
            </w:r>
          </w:p>
        </w:tc>
        <w:tc>
          <w:tcPr>
            <w:tcW w:w="300" w:type="dxa"/>
            <w:vAlign w:val="bottom"/>
            <w:vMerge w:val="restart"/>
            <w:shd w:val="clear" w:color="auto" w:fill="EDEDED"/>
          </w:tcPr>
          <w:p>
            <w:pPr>
              <w:jc w:val="right"/>
              <w:ind w:right="55"/>
              <w:spacing w:after="0" w:line="122" w:lineRule="exact"/>
              <w:rPr>
                <w:sz w:val="20"/>
                <w:szCs w:val="20"/>
                <w:color w:val="auto"/>
              </w:rPr>
            </w:pPr>
            <w:r>
              <w:rPr>
                <w:rFonts w:ascii="Arial" w:cs="Arial" w:eastAsia="Arial" w:hAnsi="Arial"/>
                <w:sz w:val="14"/>
                <w:szCs w:val="14"/>
                <w:color w:val="auto"/>
                <w:vertAlign w:val="superscript"/>
              </w:rPr>
              <w:t>)</w:t>
            </w:r>
            <w:r>
              <w:rPr>
                <w:rFonts w:ascii="Arial" w:cs="Arial" w:eastAsia="Arial" w:hAnsi="Arial"/>
                <w:sz w:val="11"/>
                <w:szCs w:val="11"/>
                <w:color w:val="auto"/>
              </w:rPr>
              <w:t xml:space="preserve"> $</w:t>
            </w:r>
          </w:p>
        </w:tc>
        <w:tc>
          <w:tcPr>
            <w:tcW w:w="920" w:type="dxa"/>
            <w:vAlign w:val="bottom"/>
            <w:vMerge w:val="restart"/>
            <w:shd w:val="clear" w:color="auto" w:fill="EDEDED"/>
          </w:tcPr>
          <w:p>
            <w:pPr>
              <w:jc w:val="right"/>
              <w:ind w:right="146"/>
              <w:spacing w:after="0" w:line="122" w:lineRule="exact"/>
              <w:rPr>
                <w:sz w:val="20"/>
                <w:szCs w:val="20"/>
                <w:color w:val="auto"/>
              </w:rPr>
            </w:pPr>
            <w:r>
              <w:rPr>
                <w:rFonts w:ascii="Arial" w:cs="Arial" w:eastAsia="Arial" w:hAnsi="Arial"/>
                <w:sz w:val="11"/>
                <w:szCs w:val="11"/>
                <w:color w:val="auto"/>
              </w:rPr>
              <w:t>12.61</w:t>
            </w:r>
          </w:p>
        </w:tc>
        <w:tc>
          <w:tcPr>
            <w:tcW w:w="1020" w:type="dxa"/>
            <w:vAlign w:val="bottom"/>
            <w:vMerge w:val="restart"/>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2/14/2035</w:t>
            </w:r>
          </w:p>
        </w:tc>
        <w:tc>
          <w:tcPr>
            <w:tcW w:w="80" w:type="dxa"/>
            <w:vAlign w:val="bottom"/>
            <w:shd w:val="clear" w:color="auto" w:fill="EDEDED"/>
          </w:tcPr>
          <w:p>
            <w:pPr>
              <w:spacing w:after="0"/>
              <w:rPr>
                <w:sz w:val="6"/>
                <w:szCs w:val="6"/>
                <w:color w:val="auto"/>
              </w:rPr>
            </w:pPr>
          </w:p>
        </w:tc>
        <w:tc>
          <w:tcPr>
            <w:tcW w:w="980" w:type="dxa"/>
            <w:vAlign w:val="bottom"/>
            <w:vMerge w:val="restart"/>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w:t>
            </w:r>
          </w:p>
        </w:tc>
        <w:tc>
          <w:tcPr>
            <w:tcW w:w="240" w:type="dxa"/>
            <w:vAlign w:val="bottom"/>
            <w:vMerge w:val="restart"/>
            <w:shd w:val="clear" w:color="auto" w:fill="EDEDED"/>
          </w:tcPr>
          <w:p>
            <w:pPr>
              <w:jc w:val="right"/>
              <w:spacing w:after="0" w:line="122" w:lineRule="exact"/>
              <w:rPr>
                <w:sz w:val="20"/>
                <w:szCs w:val="20"/>
                <w:color w:val="auto"/>
              </w:rPr>
            </w:pPr>
            <w:r>
              <w:rPr>
                <w:rFonts w:ascii="Arial" w:cs="Arial" w:eastAsia="Arial" w:hAnsi="Arial"/>
                <w:sz w:val="11"/>
                <w:szCs w:val="11"/>
                <w:color w:val="auto"/>
              </w:rPr>
              <w:t>$</w:t>
            </w:r>
          </w:p>
        </w:tc>
        <w:tc>
          <w:tcPr>
            <w:tcW w:w="1120" w:type="dxa"/>
            <w:vAlign w:val="bottom"/>
            <w:gridSpan w:val="2"/>
            <w:vMerge w:val="restart"/>
            <w:shd w:val="clear" w:color="auto" w:fill="EDEDED"/>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3"/>
        </w:trPr>
        <w:tc>
          <w:tcPr>
            <w:tcW w:w="1580" w:type="dxa"/>
            <w:vAlign w:val="bottom"/>
            <w:shd w:val="clear" w:color="auto" w:fill="EDEDED"/>
          </w:tcPr>
          <w:p>
            <w:pPr>
              <w:spacing w:after="0"/>
              <w:rPr>
                <w:sz w:val="3"/>
                <w:szCs w:val="3"/>
                <w:color w:val="auto"/>
              </w:rPr>
            </w:pPr>
          </w:p>
        </w:tc>
        <w:tc>
          <w:tcPr>
            <w:tcW w:w="700" w:type="dxa"/>
            <w:vAlign w:val="bottom"/>
            <w:vMerge w:val="continue"/>
            <w:shd w:val="clear" w:color="auto" w:fill="EDEDED"/>
          </w:tcPr>
          <w:p>
            <w:pPr>
              <w:spacing w:after="0"/>
              <w:rPr>
                <w:sz w:val="3"/>
                <w:szCs w:val="3"/>
                <w:color w:val="auto"/>
              </w:rPr>
            </w:pPr>
          </w:p>
        </w:tc>
        <w:tc>
          <w:tcPr>
            <w:tcW w:w="180" w:type="dxa"/>
            <w:vAlign w:val="bottom"/>
            <w:shd w:val="clear" w:color="auto" w:fill="EDEDED"/>
          </w:tcPr>
          <w:p>
            <w:pPr>
              <w:spacing w:after="0"/>
              <w:rPr>
                <w:sz w:val="3"/>
                <w:szCs w:val="3"/>
                <w:color w:val="auto"/>
              </w:rPr>
            </w:pPr>
          </w:p>
        </w:tc>
        <w:tc>
          <w:tcPr>
            <w:tcW w:w="900" w:type="dxa"/>
            <w:vAlign w:val="bottom"/>
            <w:vMerge w:val="continue"/>
            <w:shd w:val="clear" w:color="auto" w:fill="EDEDED"/>
          </w:tcPr>
          <w:p>
            <w:pPr>
              <w:spacing w:after="0"/>
              <w:rPr>
                <w:sz w:val="3"/>
                <w:szCs w:val="3"/>
                <w:color w:val="auto"/>
              </w:rPr>
            </w:pPr>
          </w:p>
        </w:tc>
        <w:tc>
          <w:tcPr>
            <w:tcW w:w="1380" w:type="dxa"/>
            <w:vAlign w:val="bottom"/>
            <w:gridSpan w:val="2"/>
            <w:vMerge w:val="continue"/>
            <w:shd w:val="clear" w:color="auto" w:fill="EDEDED"/>
          </w:tcPr>
          <w:p>
            <w:pPr>
              <w:spacing w:after="0"/>
              <w:rPr>
                <w:sz w:val="3"/>
                <w:szCs w:val="3"/>
                <w:color w:val="auto"/>
              </w:rPr>
            </w:pPr>
          </w:p>
        </w:tc>
        <w:tc>
          <w:tcPr>
            <w:tcW w:w="300" w:type="dxa"/>
            <w:vAlign w:val="bottom"/>
            <w:vMerge w:val="continue"/>
            <w:shd w:val="clear" w:color="auto" w:fill="EDEDED"/>
          </w:tcPr>
          <w:p>
            <w:pPr>
              <w:spacing w:after="0"/>
              <w:rPr>
                <w:sz w:val="3"/>
                <w:szCs w:val="3"/>
                <w:color w:val="auto"/>
              </w:rPr>
            </w:pPr>
          </w:p>
        </w:tc>
        <w:tc>
          <w:tcPr>
            <w:tcW w:w="920" w:type="dxa"/>
            <w:vAlign w:val="bottom"/>
            <w:vMerge w:val="continue"/>
            <w:shd w:val="clear" w:color="auto" w:fill="EDEDED"/>
          </w:tcPr>
          <w:p>
            <w:pPr>
              <w:spacing w:after="0"/>
              <w:rPr>
                <w:sz w:val="3"/>
                <w:szCs w:val="3"/>
                <w:color w:val="auto"/>
              </w:rPr>
            </w:pPr>
          </w:p>
        </w:tc>
        <w:tc>
          <w:tcPr>
            <w:tcW w:w="1020" w:type="dxa"/>
            <w:vAlign w:val="bottom"/>
            <w:vMerge w:val="continue"/>
            <w:shd w:val="clear" w:color="auto" w:fill="EDEDED"/>
          </w:tcPr>
          <w:p>
            <w:pPr>
              <w:spacing w:after="0"/>
              <w:rPr>
                <w:sz w:val="3"/>
                <w:szCs w:val="3"/>
                <w:color w:val="auto"/>
              </w:rPr>
            </w:pPr>
          </w:p>
        </w:tc>
        <w:tc>
          <w:tcPr>
            <w:tcW w:w="80" w:type="dxa"/>
            <w:vAlign w:val="bottom"/>
            <w:shd w:val="clear" w:color="auto" w:fill="EDEDED"/>
          </w:tcPr>
          <w:p>
            <w:pPr>
              <w:spacing w:after="0"/>
              <w:rPr>
                <w:sz w:val="3"/>
                <w:szCs w:val="3"/>
                <w:color w:val="auto"/>
              </w:rPr>
            </w:pPr>
          </w:p>
        </w:tc>
        <w:tc>
          <w:tcPr>
            <w:tcW w:w="980" w:type="dxa"/>
            <w:vAlign w:val="bottom"/>
            <w:vMerge w:val="continue"/>
            <w:shd w:val="clear" w:color="auto" w:fill="EDEDED"/>
          </w:tcPr>
          <w:p>
            <w:pPr>
              <w:spacing w:after="0"/>
              <w:rPr>
                <w:sz w:val="3"/>
                <w:szCs w:val="3"/>
                <w:color w:val="auto"/>
              </w:rPr>
            </w:pPr>
          </w:p>
        </w:tc>
        <w:tc>
          <w:tcPr>
            <w:tcW w:w="240" w:type="dxa"/>
            <w:vAlign w:val="bottom"/>
            <w:vMerge w:val="continue"/>
            <w:shd w:val="clear" w:color="auto" w:fill="EDEDED"/>
          </w:tcPr>
          <w:p>
            <w:pPr>
              <w:spacing w:after="0"/>
              <w:rPr>
                <w:sz w:val="3"/>
                <w:szCs w:val="3"/>
                <w:color w:val="auto"/>
              </w:rPr>
            </w:pPr>
          </w:p>
        </w:tc>
        <w:tc>
          <w:tcPr>
            <w:tcW w:w="1120" w:type="dxa"/>
            <w:vAlign w:val="bottom"/>
            <w:gridSpan w:val="2"/>
            <w:vMerge w:val="continue"/>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580" w:type="dxa"/>
            <w:vAlign w:val="bottom"/>
            <w:shd w:val="clear" w:color="auto" w:fill="EDEDED"/>
          </w:tcPr>
          <w:p>
            <w:pPr>
              <w:spacing w:after="0"/>
              <w:rPr>
                <w:sz w:val="7"/>
                <w:szCs w:val="7"/>
                <w:color w:val="auto"/>
              </w:rPr>
            </w:pPr>
          </w:p>
        </w:tc>
        <w:tc>
          <w:tcPr>
            <w:tcW w:w="700" w:type="dxa"/>
            <w:vAlign w:val="bottom"/>
            <w:shd w:val="clear" w:color="auto" w:fill="EDEDED"/>
          </w:tcPr>
          <w:p>
            <w:pPr>
              <w:spacing w:after="0"/>
              <w:rPr>
                <w:sz w:val="7"/>
                <w:szCs w:val="7"/>
                <w:color w:val="auto"/>
              </w:rPr>
            </w:pPr>
          </w:p>
        </w:tc>
        <w:tc>
          <w:tcPr>
            <w:tcW w:w="180" w:type="dxa"/>
            <w:vAlign w:val="bottom"/>
            <w:shd w:val="clear" w:color="auto" w:fill="EDEDED"/>
          </w:tcPr>
          <w:p>
            <w:pPr>
              <w:spacing w:after="0"/>
              <w:rPr>
                <w:sz w:val="7"/>
                <w:szCs w:val="7"/>
                <w:color w:val="auto"/>
              </w:rPr>
            </w:pPr>
          </w:p>
        </w:tc>
        <w:tc>
          <w:tcPr>
            <w:tcW w:w="900" w:type="dxa"/>
            <w:vAlign w:val="bottom"/>
            <w:shd w:val="clear" w:color="auto" w:fill="EDEDED"/>
          </w:tcPr>
          <w:p>
            <w:pPr>
              <w:spacing w:after="0"/>
              <w:rPr>
                <w:sz w:val="7"/>
                <w:szCs w:val="7"/>
                <w:color w:val="auto"/>
              </w:rPr>
            </w:pPr>
          </w:p>
        </w:tc>
        <w:tc>
          <w:tcPr>
            <w:tcW w:w="80" w:type="dxa"/>
            <w:vAlign w:val="bottom"/>
            <w:shd w:val="clear" w:color="auto" w:fill="EDEDED"/>
          </w:tcPr>
          <w:p>
            <w:pPr>
              <w:spacing w:after="0"/>
              <w:rPr>
                <w:sz w:val="7"/>
                <w:szCs w:val="7"/>
                <w:color w:val="auto"/>
              </w:rPr>
            </w:pPr>
          </w:p>
        </w:tc>
        <w:tc>
          <w:tcPr>
            <w:tcW w:w="1300" w:type="dxa"/>
            <w:vAlign w:val="bottom"/>
            <w:shd w:val="clear" w:color="auto" w:fill="EDEDED"/>
          </w:tcPr>
          <w:p>
            <w:pPr>
              <w:spacing w:after="0"/>
              <w:rPr>
                <w:sz w:val="7"/>
                <w:szCs w:val="7"/>
                <w:color w:val="auto"/>
              </w:rPr>
            </w:pPr>
          </w:p>
        </w:tc>
        <w:tc>
          <w:tcPr>
            <w:tcW w:w="300" w:type="dxa"/>
            <w:vAlign w:val="bottom"/>
            <w:shd w:val="clear" w:color="auto" w:fill="EDEDED"/>
          </w:tcPr>
          <w:p>
            <w:pPr>
              <w:spacing w:after="0"/>
              <w:rPr>
                <w:sz w:val="7"/>
                <w:szCs w:val="7"/>
                <w:color w:val="auto"/>
              </w:rPr>
            </w:pPr>
          </w:p>
        </w:tc>
        <w:tc>
          <w:tcPr>
            <w:tcW w:w="920" w:type="dxa"/>
            <w:vAlign w:val="bottom"/>
            <w:shd w:val="clear" w:color="auto" w:fill="EDEDED"/>
          </w:tcPr>
          <w:p>
            <w:pPr>
              <w:spacing w:after="0"/>
              <w:rPr>
                <w:sz w:val="7"/>
                <w:szCs w:val="7"/>
                <w:color w:val="auto"/>
              </w:rPr>
            </w:pPr>
          </w:p>
        </w:tc>
        <w:tc>
          <w:tcPr>
            <w:tcW w:w="1020" w:type="dxa"/>
            <w:vAlign w:val="bottom"/>
            <w:shd w:val="clear" w:color="auto" w:fill="EDEDED"/>
          </w:tcPr>
          <w:p>
            <w:pPr>
              <w:spacing w:after="0"/>
              <w:rPr>
                <w:sz w:val="7"/>
                <w:szCs w:val="7"/>
                <w:color w:val="auto"/>
              </w:rPr>
            </w:pPr>
          </w:p>
        </w:tc>
        <w:tc>
          <w:tcPr>
            <w:tcW w:w="8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240" w:type="dxa"/>
            <w:vAlign w:val="bottom"/>
            <w:shd w:val="clear" w:color="auto" w:fill="EDEDED"/>
          </w:tcPr>
          <w:p>
            <w:pPr>
              <w:jc w:val="right"/>
              <w:ind w:right="58"/>
              <w:spacing w:after="0"/>
              <w:rPr>
                <w:sz w:val="20"/>
                <w:szCs w:val="20"/>
                <w:color w:val="auto"/>
              </w:rPr>
            </w:pPr>
            <w:r>
              <w:rPr>
                <w:rFonts w:ascii="Arial" w:cs="Arial" w:eastAsia="Arial" w:hAnsi="Arial"/>
                <w:sz w:val="7"/>
                <w:szCs w:val="7"/>
                <w:color w:val="auto"/>
              </w:rPr>
              <w:t>(3</w:t>
            </w:r>
          </w:p>
        </w:tc>
        <w:tc>
          <w:tcPr>
            <w:tcW w:w="1020" w:type="dxa"/>
            <w:vAlign w:val="bottom"/>
            <w:shd w:val="clear" w:color="auto" w:fill="EDEDED"/>
          </w:tcPr>
          <w:p>
            <w:pPr>
              <w:spacing w:after="0"/>
              <w:rPr>
                <w:sz w:val="7"/>
                <w:szCs w:val="7"/>
                <w:color w:val="auto"/>
              </w:rPr>
            </w:pPr>
          </w:p>
        </w:tc>
        <w:tc>
          <w:tcPr>
            <w:tcW w:w="10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580" w:type="dxa"/>
            <w:vAlign w:val="bottom"/>
            <w:shd w:val="clear" w:color="auto" w:fill="EDEDED"/>
          </w:tcPr>
          <w:p>
            <w:pPr>
              <w:spacing w:after="0"/>
              <w:rPr>
                <w:sz w:val="10"/>
                <w:szCs w:val="10"/>
                <w:color w:val="auto"/>
              </w:rPr>
            </w:pPr>
          </w:p>
        </w:tc>
        <w:tc>
          <w:tcPr>
            <w:tcW w:w="700" w:type="dxa"/>
            <w:vAlign w:val="bottom"/>
            <w:shd w:val="clear" w:color="auto" w:fill="EDEDED"/>
          </w:tcPr>
          <w:p>
            <w:pPr>
              <w:jc w:val="center"/>
              <w:spacing w:after="0" w:line="122" w:lineRule="exact"/>
              <w:rPr>
                <w:sz w:val="20"/>
                <w:szCs w:val="20"/>
                <w:color w:val="auto"/>
              </w:rPr>
            </w:pPr>
            <w:r>
              <w:rPr>
                <w:rFonts w:ascii="Arial" w:cs="Arial" w:eastAsia="Arial" w:hAnsi="Arial"/>
                <w:sz w:val="11"/>
                <w:szCs w:val="11"/>
                <w:color w:val="auto"/>
                <w:w w:val="97"/>
              </w:rPr>
              <w:t>2/14/2025</w:t>
            </w:r>
          </w:p>
        </w:tc>
        <w:tc>
          <w:tcPr>
            <w:tcW w:w="180" w:type="dxa"/>
            <w:vAlign w:val="bottom"/>
            <w:shd w:val="clear" w:color="auto" w:fill="EDEDED"/>
          </w:tcPr>
          <w:p>
            <w:pPr>
              <w:spacing w:after="0"/>
              <w:rPr>
                <w:sz w:val="10"/>
                <w:szCs w:val="10"/>
                <w:color w:val="auto"/>
              </w:rPr>
            </w:pPr>
          </w:p>
        </w:tc>
        <w:tc>
          <w:tcPr>
            <w:tcW w:w="9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EDEDED"/>
          </w:tcPr>
          <w:p>
            <w:pPr>
              <w:spacing w:after="0"/>
              <w:rPr>
                <w:sz w:val="10"/>
                <w:szCs w:val="10"/>
                <w:color w:val="auto"/>
              </w:rPr>
            </w:pPr>
          </w:p>
        </w:tc>
        <w:tc>
          <w:tcPr>
            <w:tcW w:w="130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00" w:type="dxa"/>
            <w:vAlign w:val="bottom"/>
            <w:shd w:val="clear" w:color="auto" w:fill="EDEDED"/>
          </w:tcPr>
          <w:p>
            <w:pPr>
              <w:jc w:val="right"/>
              <w:ind w:right="55"/>
              <w:spacing w:after="0" w:line="122" w:lineRule="exact"/>
              <w:rPr>
                <w:sz w:val="20"/>
                <w:szCs w:val="20"/>
                <w:color w:val="auto"/>
              </w:rPr>
            </w:pPr>
            <w:r>
              <w:rPr>
                <w:rFonts w:ascii="Arial" w:cs="Arial" w:eastAsia="Arial" w:hAnsi="Arial"/>
                <w:sz w:val="11"/>
                <w:szCs w:val="11"/>
                <w:color w:val="auto"/>
              </w:rPr>
              <w:t>$</w:t>
            </w:r>
          </w:p>
        </w:tc>
        <w:tc>
          <w:tcPr>
            <w:tcW w:w="920" w:type="dxa"/>
            <w:vAlign w:val="bottom"/>
            <w:shd w:val="clear" w:color="auto" w:fill="EDEDED"/>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47,582</w:t>
            </w:r>
          </w:p>
        </w:tc>
        <w:tc>
          <w:tcPr>
            <w:tcW w:w="240" w:type="dxa"/>
            <w:vAlign w:val="bottom"/>
            <w:shd w:val="clear" w:color="auto" w:fill="EDEDED"/>
          </w:tcPr>
          <w:p>
            <w:pPr>
              <w:jc w:val="right"/>
              <w:spacing w:after="0" w:line="122" w:lineRule="exact"/>
              <w:rPr>
                <w:sz w:val="20"/>
                <w:szCs w:val="20"/>
                <w:color w:val="auto"/>
              </w:rPr>
            </w:pPr>
            <w:r>
              <w:rPr>
                <w:rFonts w:ascii="Arial" w:cs="Arial" w:eastAsia="Arial" w:hAnsi="Arial"/>
                <w:sz w:val="14"/>
                <w:szCs w:val="14"/>
                <w:color w:val="auto"/>
                <w:vertAlign w:val="superscript"/>
              </w:rPr>
              <w:t>)</w:t>
            </w:r>
            <w:r>
              <w:rPr>
                <w:rFonts w:ascii="Arial" w:cs="Arial" w:eastAsia="Arial" w:hAnsi="Arial"/>
                <w:sz w:val="11"/>
                <w:szCs w:val="11"/>
                <w:color w:val="auto"/>
              </w:rPr>
              <w:t xml:space="preserve"> $</w:t>
            </w:r>
          </w:p>
        </w:tc>
        <w:tc>
          <w:tcPr>
            <w:tcW w:w="1020" w:type="dxa"/>
            <w:vAlign w:val="bottom"/>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466,779</w:t>
            </w:r>
          </w:p>
        </w:tc>
        <w:tc>
          <w:tcPr>
            <w:tcW w:w="10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580" w:type="dxa"/>
            <w:vAlign w:val="bottom"/>
            <w:shd w:val="clear" w:color="auto" w:fill="EDEDED"/>
          </w:tcPr>
          <w:p>
            <w:pPr>
              <w:spacing w:after="0"/>
              <w:rPr>
                <w:sz w:val="7"/>
                <w:szCs w:val="7"/>
                <w:color w:val="auto"/>
              </w:rPr>
            </w:pPr>
          </w:p>
        </w:tc>
        <w:tc>
          <w:tcPr>
            <w:tcW w:w="700" w:type="dxa"/>
            <w:vAlign w:val="bottom"/>
            <w:shd w:val="clear" w:color="auto" w:fill="EDEDED"/>
          </w:tcPr>
          <w:p>
            <w:pPr>
              <w:spacing w:after="0"/>
              <w:rPr>
                <w:sz w:val="7"/>
                <w:szCs w:val="7"/>
                <w:color w:val="auto"/>
              </w:rPr>
            </w:pPr>
          </w:p>
        </w:tc>
        <w:tc>
          <w:tcPr>
            <w:tcW w:w="180" w:type="dxa"/>
            <w:vAlign w:val="bottom"/>
            <w:shd w:val="clear" w:color="auto" w:fill="EDEDED"/>
          </w:tcPr>
          <w:p>
            <w:pPr>
              <w:spacing w:after="0"/>
              <w:rPr>
                <w:sz w:val="7"/>
                <w:szCs w:val="7"/>
                <w:color w:val="auto"/>
              </w:rPr>
            </w:pPr>
          </w:p>
        </w:tc>
        <w:tc>
          <w:tcPr>
            <w:tcW w:w="900" w:type="dxa"/>
            <w:vAlign w:val="bottom"/>
            <w:shd w:val="clear" w:color="auto" w:fill="EDEDED"/>
          </w:tcPr>
          <w:p>
            <w:pPr>
              <w:spacing w:after="0"/>
              <w:rPr>
                <w:sz w:val="7"/>
                <w:szCs w:val="7"/>
                <w:color w:val="auto"/>
              </w:rPr>
            </w:pPr>
          </w:p>
        </w:tc>
        <w:tc>
          <w:tcPr>
            <w:tcW w:w="80" w:type="dxa"/>
            <w:vAlign w:val="bottom"/>
            <w:shd w:val="clear" w:color="auto" w:fill="EDEDED"/>
          </w:tcPr>
          <w:p>
            <w:pPr>
              <w:spacing w:after="0"/>
              <w:rPr>
                <w:sz w:val="7"/>
                <w:szCs w:val="7"/>
                <w:color w:val="auto"/>
              </w:rPr>
            </w:pPr>
          </w:p>
        </w:tc>
        <w:tc>
          <w:tcPr>
            <w:tcW w:w="1300" w:type="dxa"/>
            <w:vAlign w:val="bottom"/>
            <w:shd w:val="clear" w:color="auto" w:fill="EDEDED"/>
          </w:tcPr>
          <w:p>
            <w:pPr>
              <w:spacing w:after="0"/>
              <w:rPr>
                <w:sz w:val="7"/>
                <w:szCs w:val="7"/>
                <w:color w:val="auto"/>
              </w:rPr>
            </w:pPr>
          </w:p>
        </w:tc>
        <w:tc>
          <w:tcPr>
            <w:tcW w:w="300" w:type="dxa"/>
            <w:vAlign w:val="bottom"/>
            <w:shd w:val="clear" w:color="auto" w:fill="EDEDED"/>
          </w:tcPr>
          <w:p>
            <w:pPr>
              <w:spacing w:after="0"/>
              <w:rPr>
                <w:sz w:val="7"/>
                <w:szCs w:val="7"/>
                <w:color w:val="auto"/>
              </w:rPr>
            </w:pPr>
          </w:p>
        </w:tc>
        <w:tc>
          <w:tcPr>
            <w:tcW w:w="920" w:type="dxa"/>
            <w:vAlign w:val="bottom"/>
            <w:shd w:val="clear" w:color="auto" w:fill="EDEDED"/>
          </w:tcPr>
          <w:p>
            <w:pPr>
              <w:spacing w:after="0"/>
              <w:rPr>
                <w:sz w:val="7"/>
                <w:szCs w:val="7"/>
                <w:color w:val="auto"/>
              </w:rPr>
            </w:pPr>
          </w:p>
        </w:tc>
        <w:tc>
          <w:tcPr>
            <w:tcW w:w="1020" w:type="dxa"/>
            <w:vAlign w:val="bottom"/>
            <w:shd w:val="clear" w:color="auto" w:fill="EDEDED"/>
          </w:tcPr>
          <w:p>
            <w:pPr>
              <w:spacing w:after="0"/>
              <w:rPr>
                <w:sz w:val="7"/>
                <w:szCs w:val="7"/>
                <w:color w:val="auto"/>
              </w:rPr>
            </w:pPr>
          </w:p>
        </w:tc>
        <w:tc>
          <w:tcPr>
            <w:tcW w:w="8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240" w:type="dxa"/>
            <w:vAlign w:val="bottom"/>
            <w:shd w:val="clear" w:color="auto" w:fill="EDEDED"/>
          </w:tcPr>
          <w:p>
            <w:pPr>
              <w:jc w:val="right"/>
              <w:ind w:right="58"/>
              <w:spacing w:after="0"/>
              <w:rPr>
                <w:sz w:val="20"/>
                <w:szCs w:val="20"/>
                <w:color w:val="auto"/>
              </w:rPr>
            </w:pPr>
            <w:r>
              <w:rPr>
                <w:rFonts w:ascii="Arial" w:cs="Arial" w:eastAsia="Arial" w:hAnsi="Arial"/>
                <w:sz w:val="7"/>
                <w:szCs w:val="7"/>
                <w:color w:val="auto"/>
              </w:rPr>
              <w:t>(3</w:t>
            </w:r>
          </w:p>
        </w:tc>
        <w:tc>
          <w:tcPr>
            <w:tcW w:w="1020" w:type="dxa"/>
            <w:vAlign w:val="bottom"/>
            <w:shd w:val="clear" w:color="auto" w:fill="EDEDED"/>
          </w:tcPr>
          <w:p>
            <w:pPr>
              <w:spacing w:after="0"/>
              <w:rPr>
                <w:sz w:val="7"/>
                <w:szCs w:val="7"/>
                <w:color w:val="auto"/>
              </w:rPr>
            </w:pPr>
          </w:p>
        </w:tc>
        <w:tc>
          <w:tcPr>
            <w:tcW w:w="10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580" w:type="dxa"/>
            <w:vAlign w:val="bottom"/>
            <w:shd w:val="clear" w:color="auto" w:fill="EDEDED"/>
          </w:tcPr>
          <w:p>
            <w:pPr>
              <w:spacing w:after="0"/>
              <w:rPr>
                <w:sz w:val="10"/>
                <w:szCs w:val="10"/>
                <w:color w:val="auto"/>
              </w:rPr>
            </w:pPr>
          </w:p>
        </w:tc>
        <w:tc>
          <w:tcPr>
            <w:tcW w:w="700" w:type="dxa"/>
            <w:vAlign w:val="bottom"/>
            <w:shd w:val="clear" w:color="auto" w:fill="EDEDED"/>
          </w:tcPr>
          <w:p>
            <w:pPr>
              <w:jc w:val="center"/>
              <w:spacing w:after="0" w:line="122" w:lineRule="exact"/>
              <w:rPr>
                <w:sz w:val="20"/>
                <w:szCs w:val="20"/>
                <w:color w:val="auto"/>
              </w:rPr>
            </w:pPr>
            <w:r>
              <w:rPr>
                <w:rFonts w:ascii="Arial" w:cs="Arial" w:eastAsia="Arial" w:hAnsi="Arial"/>
                <w:sz w:val="11"/>
                <w:szCs w:val="11"/>
                <w:color w:val="auto"/>
                <w:w w:val="97"/>
              </w:rPr>
              <w:t>2/14/2025</w:t>
            </w:r>
          </w:p>
        </w:tc>
        <w:tc>
          <w:tcPr>
            <w:tcW w:w="180" w:type="dxa"/>
            <w:vAlign w:val="bottom"/>
            <w:shd w:val="clear" w:color="auto" w:fill="EDEDED"/>
          </w:tcPr>
          <w:p>
            <w:pPr>
              <w:spacing w:after="0"/>
              <w:rPr>
                <w:sz w:val="10"/>
                <w:szCs w:val="10"/>
                <w:color w:val="auto"/>
              </w:rPr>
            </w:pPr>
          </w:p>
        </w:tc>
        <w:tc>
          <w:tcPr>
            <w:tcW w:w="9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EDEDED"/>
          </w:tcPr>
          <w:p>
            <w:pPr>
              <w:spacing w:after="0"/>
              <w:rPr>
                <w:sz w:val="10"/>
                <w:szCs w:val="10"/>
                <w:color w:val="auto"/>
              </w:rPr>
            </w:pPr>
          </w:p>
        </w:tc>
        <w:tc>
          <w:tcPr>
            <w:tcW w:w="130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00" w:type="dxa"/>
            <w:vAlign w:val="bottom"/>
            <w:shd w:val="clear" w:color="auto" w:fill="EDEDED"/>
          </w:tcPr>
          <w:p>
            <w:pPr>
              <w:jc w:val="right"/>
              <w:ind w:right="55"/>
              <w:spacing w:after="0" w:line="122" w:lineRule="exact"/>
              <w:rPr>
                <w:sz w:val="20"/>
                <w:szCs w:val="20"/>
                <w:color w:val="auto"/>
              </w:rPr>
            </w:pPr>
            <w:r>
              <w:rPr>
                <w:rFonts w:ascii="Arial" w:cs="Arial" w:eastAsia="Arial" w:hAnsi="Arial"/>
                <w:sz w:val="11"/>
                <w:szCs w:val="11"/>
                <w:color w:val="auto"/>
              </w:rPr>
              <w:t>$</w:t>
            </w:r>
          </w:p>
        </w:tc>
        <w:tc>
          <w:tcPr>
            <w:tcW w:w="920" w:type="dxa"/>
            <w:vAlign w:val="bottom"/>
            <w:shd w:val="clear" w:color="auto" w:fill="EDEDED"/>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9,120</w:t>
            </w:r>
          </w:p>
        </w:tc>
        <w:tc>
          <w:tcPr>
            <w:tcW w:w="240" w:type="dxa"/>
            <w:vAlign w:val="bottom"/>
            <w:shd w:val="clear" w:color="auto" w:fill="EDEDED"/>
          </w:tcPr>
          <w:p>
            <w:pPr>
              <w:jc w:val="right"/>
              <w:spacing w:after="0" w:line="122" w:lineRule="exact"/>
              <w:rPr>
                <w:sz w:val="20"/>
                <w:szCs w:val="20"/>
                <w:color w:val="auto"/>
              </w:rPr>
            </w:pPr>
            <w:r>
              <w:rPr>
                <w:rFonts w:ascii="Arial" w:cs="Arial" w:eastAsia="Arial" w:hAnsi="Arial"/>
                <w:sz w:val="14"/>
                <w:szCs w:val="14"/>
                <w:color w:val="auto"/>
                <w:vertAlign w:val="superscript"/>
              </w:rPr>
              <w:t>)</w:t>
            </w:r>
            <w:r>
              <w:rPr>
                <w:rFonts w:ascii="Arial" w:cs="Arial" w:eastAsia="Arial" w:hAnsi="Arial"/>
                <w:sz w:val="11"/>
                <w:szCs w:val="11"/>
                <w:color w:val="auto"/>
              </w:rPr>
              <w:t xml:space="preserve"> $</w:t>
            </w:r>
          </w:p>
        </w:tc>
        <w:tc>
          <w:tcPr>
            <w:tcW w:w="1020" w:type="dxa"/>
            <w:vAlign w:val="bottom"/>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89,467</w:t>
            </w:r>
          </w:p>
        </w:tc>
        <w:tc>
          <w:tcPr>
            <w:tcW w:w="10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580" w:type="dxa"/>
            <w:vAlign w:val="bottom"/>
            <w:shd w:val="clear" w:color="auto" w:fill="EDEDED"/>
          </w:tcPr>
          <w:p>
            <w:pPr>
              <w:spacing w:after="0"/>
              <w:rPr>
                <w:sz w:val="7"/>
                <w:szCs w:val="7"/>
                <w:color w:val="auto"/>
              </w:rPr>
            </w:pPr>
          </w:p>
        </w:tc>
        <w:tc>
          <w:tcPr>
            <w:tcW w:w="700" w:type="dxa"/>
            <w:vAlign w:val="bottom"/>
            <w:shd w:val="clear" w:color="auto" w:fill="EDEDED"/>
          </w:tcPr>
          <w:p>
            <w:pPr>
              <w:spacing w:after="0"/>
              <w:rPr>
                <w:sz w:val="7"/>
                <w:szCs w:val="7"/>
                <w:color w:val="auto"/>
              </w:rPr>
            </w:pPr>
          </w:p>
        </w:tc>
        <w:tc>
          <w:tcPr>
            <w:tcW w:w="180" w:type="dxa"/>
            <w:vAlign w:val="bottom"/>
            <w:shd w:val="clear" w:color="auto" w:fill="EDEDED"/>
          </w:tcPr>
          <w:p>
            <w:pPr>
              <w:spacing w:after="0"/>
              <w:rPr>
                <w:sz w:val="7"/>
                <w:szCs w:val="7"/>
                <w:color w:val="auto"/>
              </w:rPr>
            </w:pPr>
          </w:p>
        </w:tc>
        <w:tc>
          <w:tcPr>
            <w:tcW w:w="900" w:type="dxa"/>
            <w:vAlign w:val="bottom"/>
            <w:shd w:val="clear" w:color="auto" w:fill="EDEDED"/>
          </w:tcPr>
          <w:p>
            <w:pPr>
              <w:spacing w:after="0"/>
              <w:rPr>
                <w:sz w:val="7"/>
                <w:szCs w:val="7"/>
                <w:color w:val="auto"/>
              </w:rPr>
            </w:pPr>
          </w:p>
        </w:tc>
        <w:tc>
          <w:tcPr>
            <w:tcW w:w="80" w:type="dxa"/>
            <w:vAlign w:val="bottom"/>
            <w:shd w:val="clear" w:color="auto" w:fill="EDEDED"/>
          </w:tcPr>
          <w:p>
            <w:pPr>
              <w:spacing w:after="0"/>
              <w:rPr>
                <w:sz w:val="7"/>
                <w:szCs w:val="7"/>
                <w:color w:val="auto"/>
              </w:rPr>
            </w:pPr>
          </w:p>
        </w:tc>
        <w:tc>
          <w:tcPr>
            <w:tcW w:w="1300" w:type="dxa"/>
            <w:vAlign w:val="bottom"/>
            <w:shd w:val="clear" w:color="auto" w:fill="EDEDED"/>
          </w:tcPr>
          <w:p>
            <w:pPr>
              <w:spacing w:after="0"/>
              <w:rPr>
                <w:sz w:val="7"/>
                <w:szCs w:val="7"/>
                <w:color w:val="auto"/>
              </w:rPr>
            </w:pPr>
          </w:p>
        </w:tc>
        <w:tc>
          <w:tcPr>
            <w:tcW w:w="300" w:type="dxa"/>
            <w:vAlign w:val="bottom"/>
            <w:shd w:val="clear" w:color="auto" w:fill="EDEDED"/>
          </w:tcPr>
          <w:p>
            <w:pPr>
              <w:jc w:val="right"/>
              <w:ind w:right="135"/>
              <w:spacing w:after="0"/>
              <w:rPr>
                <w:sz w:val="20"/>
                <w:szCs w:val="20"/>
                <w:color w:val="auto"/>
              </w:rPr>
            </w:pPr>
            <w:r>
              <w:rPr>
                <w:rFonts w:ascii="Arial" w:cs="Arial" w:eastAsia="Arial" w:hAnsi="Arial"/>
                <w:sz w:val="7"/>
                <w:szCs w:val="7"/>
                <w:color w:val="auto"/>
              </w:rPr>
              <w:t>(5</w:t>
            </w:r>
          </w:p>
        </w:tc>
        <w:tc>
          <w:tcPr>
            <w:tcW w:w="920" w:type="dxa"/>
            <w:vAlign w:val="bottom"/>
            <w:shd w:val="clear" w:color="auto" w:fill="EDEDED"/>
          </w:tcPr>
          <w:p>
            <w:pPr>
              <w:spacing w:after="0"/>
              <w:rPr>
                <w:sz w:val="7"/>
                <w:szCs w:val="7"/>
                <w:color w:val="auto"/>
              </w:rPr>
            </w:pPr>
          </w:p>
        </w:tc>
        <w:tc>
          <w:tcPr>
            <w:tcW w:w="1020" w:type="dxa"/>
            <w:vAlign w:val="bottom"/>
            <w:shd w:val="clear" w:color="auto" w:fill="EDEDED"/>
          </w:tcPr>
          <w:p>
            <w:pPr>
              <w:spacing w:after="0"/>
              <w:rPr>
                <w:sz w:val="7"/>
                <w:szCs w:val="7"/>
                <w:color w:val="auto"/>
              </w:rPr>
            </w:pPr>
          </w:p>
        </w:tc>
        <w:tc>
          <w:tcPr>
            <w:tcW w:w="8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240" w:type="dxa"/>
            <w:vAlign w:val="bottom"/>
            <w:shd w:val="clear" w:color="auto" w:fill="EDEDED"/>
          </w:tcPr>
          <w:p>
            <w:pPr>
              <w:spacing w:after="0"/>
              <w:rPr>
                <w:sz w:val="7"/>
                <w:szCs w:val="7"/>
                <w:color w:val="auto"/>
              </w:rPr>
            </w:pPr>
          </w:p>
        </w:tc>
        <w:tc>
          <w:tcPr>
            <w:tcW w:w="1020" w:type="dxa"/>
            <w:vAlign w:val="bottom"/>
            <w:shd w:val="clear" w:color="auto" w:fill="EDEDED"/>
          </w:tcPr>
          <w:p>
            <w:pPr>
              <w:spacing w:after="0"/>
              <w:rPr>
                <w:sz w:val="7"/>
                <w:szCs w:val="7"/>
                <w:color w:val="auto"/>
              </w:rPr>
            </w:pPr>
          </w:p>
        </w:tc>
        <w:tc>
          <w:tcPr>
            <w:tcW w:w="10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580" w:type="dxa"/>
            <w:vAlign w:val="bottom"/>
            <w:shd w:val="clear" w:color="auto" w:fill="EDEDED"/>
          </w:tcPr>
          <w:p>
            <w:pPr>
              <w:spacing w:after="0"/>
              <w:rPr>
                <w:sz w:val="10"/>
                <w:szCs w:val="10"/>
                <w:color w:val="auto"/>
              </w:rPr>
            </w:pPr>
          </w:p>
        </w:tc>
        <w:tc>
          <w:tcPr>
            <w:tcW w:w="700" w:type="dxa"/>
            <w:vAlign w:val="bottom"/>
            <w:shd w:val="clear" w:color="auto" w:fill="EDEDED"/>
          </w:tcPr>
          <w:p>
            <w:pPr>
              <w:jc w:val="center"/>
              <w:spacing w:after="0" w:line="122" w:lineRule="exact"/>
              <w:rPr>
                <w:sz w:val="20"/>
                <w:szCs w:val="20"/>
                <w:color w:val="auto"/>
              </w:rPr>
            </w:pPr>
            <w:r>
              <w:rPr>
                <w:rFonts w:ascii="Arial" w:cs="Arial" w:eastAsia="Arial" w:hAnsi="Arial"/>
                <w:sz w:val="11"/>
                <w:szCs w:val="11"/>
                <w:color w:val="auto"/>
                <w:w w:val="97"/>
              </w:rPr>
              <w:t>3/4/2024</w:t>
            </w:r>
          </w:p>
        </w:tc>
        <w:tc>
          <w:tcPr>
            <w:tcW w:w="180" w:type="dxa"/>
            <w:vAlign w:val="bottom"/>
            <w:shd w:val="clear" w:color="auto" w:fill="EDEDED"/>
          </w:tcPr>
          <w:p>
            <w:pPr>
              <w:spacing w:after="0"/>
              <w:rPr>
                <w:sz w:val="10"/>
                <w:szCs w:val="10"/>
                <w:color w:val="auto"/>
              </w:rPr>
            </w:pPr>
          </w:p>
        </w:tc>
        <w:tc>
          <w:tcPr>
            <w:tcW w:w="9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w:t>
            </w:r>
          </w:p>
        </w:tc>
        <w:tc>
          <w:tcPr>
            <w:tcW w:w="1380" w:type="dxa"/>
            <w:vAlign w:val="bottom"/>
            <w:gridSpan w:val="2"/>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20,000</w:t>
            </w:r>
          </w:p>
        </w:tc>
        <w:tc>
          <w:tcPr>
            <w:tcW w:w="300" w:type="dxa"/>
            <w:vAlign w:val="bottom"/>
            <w:shd w:val="clear" w:color="auto" w:fill="EDEDED"/>
          </w:tcPr>
          <w:p>
            <w:pPr>
              <w:jc w:val="right"/>
              <w:ind w:right="55"/>
              <w:spacing w:after="0" w:line="122" w:lineRule="exact"/>
              <w:rPr>
                <w:sz w:val="20"/>
                <w:szCs w:val="20"/>
                <w:color w:val="auto"/>
              </w:rPr>
            </w:pPr>
            <w:r>
              <w:rPr>
                <w:rFonts w:ascii="Arial" w:cs="Arial" w:eastAsia="Arial" w:hAnsi="Arial"/>
                <w:sz w:val="14"/>
                <w:szCs w:val="14"/>
                <w:color w:val="auto"/>
                <w:vertAlign w:val="superscript"/>
              </w:rPr>
              <w:t>)</w:t>
            </w:r>
            <w:r>
              <w:rPr>
                <w:rFonts w:ascii="Arial" w:cs="Arial" w:eastAsia="Arial" w:hAnsi="Arial"/>
                <w:sz w:val="11"/>
                <w:szCs w:val="11"/>
                <w:color w:val="auto"/>
              </w:rPr>
              <w:t xml:space="preserve"> $</w:t>
            </w:r>
          </w:p>
        </w:tc>
        <w:tc>
          <w:tcPr>
            <w:tcW w:w="920" w:type="dxa"/>
            <w:vAlign w:val="bottom"/>
            <w:shd w:val="clear" w:color="auto" w:fill="EDEDED"/>
          </w:tcPr>
          <w:p>
            <w:pPr>
              <w:jc w:val="right"/>
              <w:ind w:right="146"/>
              <w:spacing w:after="0" w:line="122" w:lineRule="exact"/>
              <w:rPr>
                <w:sz w:val="20"/>
                <w:szCs w:val="20"/>
                <w:color w:val="auto"/>
              </w:rPr>
            </w:pPr>
            <w:r>
              <w:rPr>
                <w:rFonts w:ascii="Arial" w:cs="Arial" w:eastAsia="Arial" w:hAnsi="Arial"/>
                <w:sz w:val="11"/>
                <w:szCs w:val="11"/>
                <w:color w:val="auto"/>
              </w:rPr>
              <w:t>7.99</w:t>
            </w:r>
          </w:p>
        </w:tc>
        <w:tc>
          <w:tcPr>
            <w:tcW w:w="102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3/4/2034</w:t>
            </w:r>
          </w:p>
        </w:tc>
        <w:tc>
          <w:tcPr>
            <w:tcW w:w="8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w:t>
            </w:r>
          </w:p>
        </w:tc>
        <w:tc>
          <w:tcPr>
            <w:tcW w:w="240" w:type="dxa"/>
            <w:vAlign w:val="bottom"/>
            <w:shd w:val="clear" w:color="auto" w:fill="EDEDED"/>
          </w:tcPr>
          <w:p>
            <w:pPr>
              <w:spacing w:after="0"/>
              <w:rPr>
                <w:sz w:val="10"/>
                <w:szCs w:val="10"/>
                <w:color w:val="auto"/>
              </w:rPr>
            </w:pPr>
          </w:p>
        </w:tc>
        <w:tc>
          <w:tcPr>
            <w:tcW w:w="1120" w:type="dxa"/>
            <w:vAlign w:val="bottom"/>
            <w:gridSpan w:val="2"/>
            <w:shd w:val="clear" w:color="auto" w:fill="EDEDED"/>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1"/>
        </w:trPr>
        <w:tc>
          <w:tcPr>
            <w:tcW w:w="1580" w:type="dxa"/>
            <w:vAlign w:val="bottom"/>
            <w:shd w:val="clear" w:color="auto" w:fill="EDEDED"/>
          </w:tcPr>
          <w:p>
            <w:pPr>
              <w:spacing w:after="0"/>
              <w:rPr>
                <w:sz w:val="7"/>
                <w:szCs w:val="7"/>
                <w:color w:val="auto"/>
              </w:rPr>
            </w:pPr>
          </w:p>
        </w:tc>
        <w:tc>
          <w:tcPr>
            <w:tcW w:w="700" w:type="dxa"/>
            <w:vAlign w:val="bottom"/>
            <w:shd w:val="clear" w:color="auto" w:fill="EDEDED"/>
          </w:tcPr>
          <w:p>
            <w:pPr>
              <w:spacing w:after="0"/>
              <w:rPr>
                <w:sz w:val="7"/>
                <w:szCs w:val="7"/>
                <w:color w:val="auto"/>
              </w:rPr>
            </w:pPr>
          </w:p>
        </w:tc>
        <w:tc>
          <w:tcPr>
            <w:tcW w:w="180" w:type="dxa"/>
            <w:vAlign w:val="bottom"/>
            <w:shd w:val="clear" w:color="auto" w:fill="EDEDED"/>
          </w:tcPr>
          <w:p>
            <w:pPr>
              <w:spacing w:after="0"/>
              <w:rPr>
                <w:sz w:val="7"/>
                <w:szCs w:val="7"/>
                <w:color w:val="auto"/>
              </w:rPr>
            </w:pPr>
          </w:p>
        </w:tc>
        <w:tc>
          <w:tcPr>
            <w:tcW w:w="900" w:type="dxa"/>
            <w:vAlign w:val="bottom"/>
            <w:shd w:val="clear" w:color="auto" w:fill="EDEDED"/>
          </w:tcPr>
          <w:p>
            <w:pPr>
              <w:spacing w:after="0"/>
              <w:rPr>
                <w:sz w:val="7"/>
                <w:szCs w:val="7"/>
                <w:color w:val="auto"/>
              </w:rPr>
            </w:pPr>
          </w:p>
        </w:tc>
        <w:tc>
          <w:tcPr>
            <w:tcW w:w="80" w:type="dxa"/>
            <w:vAlign w:val="bottom"/>
            <w:shd w:val="clear" w:color="auto" w:fill="EDEDED"/>
          </w:tcPr>
          <w:p>
            <w:pPr>
              <w:spacing w:after="0"/>
              <w:rPr>
                <w:sz w:val="7"/>
                <w:szCs w:val="7"/>
                <w:color w:val="auto"/>
              </w:rPr>
            </w:pPr>
          </w:p>
        </w:tc>
        <w:tc>
          <w:tcPr>
            <w:tcW w:w="1300" w:type="dxa"/>
            <w:vAlign w:val="bottom"/>
            <w:shd w:val="clear" w:color="auto" w:fill="EDEDED"/>
          </w:tcPr>
          <w:p>
            <w:pPr>
              <w:spacing w:after="0"/>
              <w:rPr>
                <w:sz w:val="7"/>
                <w:szCs w:val="7"/>
                <w:color w:val="auto"/>
              </w:rPr>
            </w:pPr>
          </w:p>
        </w:tc>
        <w:tc>
          <w:tcPr>
            <w:tcW w:w="300" w:type="dxa"/>
            <w:vAlign w:val="bottom"/>
            <w:shd w:val="clear" w:color="auto" w:fill="EDEDED"/>
          </w:tcPr>
          <w:p>
            <w:pPr>
              <w:jc w:val="right"/>
              <w:ind w:right="135"/>
              <w:spacing w:after="0"/>
              <w:rPr>
                <w:sz w:val="20"/>
                <w:szCs w:val="20"/>
                <w:color w:val="auto"/>
              </w:rPr>
            </w:pPr>
            <w:r>
              <w:rPr>
                <w:rFonts w:ascii="Arial" w:cs="Arial" w:eastAsia="Arial" w:hAnsi="Arial"/>
                <w:sz w:val="7"/>
                <w:szCs w:val="7"/>
                <w:color w:val="auto"/>
              </w:rPr>
              <w:t>(6</w:t>
            </w:r>
          </w:p>
        </w:tc>
        <w:tc>
          <w:tcPr>
            <w:tcW w:w="920" w:type="dxa"/>
            <w:vAlign w:val="bottom"/>
            <w:shd w:val="clear" w:color="auto" w:fill="EDEDED"/>
          </w:tcPr>
          <w:p>
            <w:pPr>
              <w:spacing w:after="0"/>
              <w:rPr>
                <w:sz w:val="7"/>
                <w:szCs w:val="7"/>
                <w:color w:val="auto"/>
              </w:rPr>
            </w:pPr>
          </w:p>
        </w:tc>
        <w:tc>
          <w:tcPr>
            <w:tcW w:w="1020" w:type="dxa"/>
            <w:vAlign w:val="bottom"/>
            <w:shd w:val="clear" w:color="auto" w:fill="EDEDED"/>
          </w:tcPr>
          <w:p>
            <w:pPr>
              <w:spacing w:after="0"/>
              <w:rPr>
                <w:sz w:val="7"/>
                <w:szCs w:val="7"/>
                <w:color w:val="auto"/>
              </w:rPr>
            </w:pPr>
          </w:p>
        </w:tc>
        <w:tc>
          <w:tcPr>
            <w:tcW w:w="8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240" w:type="dxa"/>
            <w:vAlign w:val="bottom"/>
            <w:shd w:val="clear" w:color="auto" w:fill="EDEDED"/>
          </w:tcPr>
          <w:p>
            <w:pPr>
              <w:spacing w:after="0"/>
              <w:rPr>
                <w:sz w:val="7"/>
                <w:szCs w:val="7"/>
                <w:color w:val="auto"/>
              </w:rPr>
            </w:pPr>
          </w:p>
        </w:tc>
        <w:tc>
          <w:tcPr>
            <w:tcW w:w="1020" w:type="dxa"/>
            <w:vAlign w:val="bottom"/>
            <w:shd w:val="clear" w:color="auto" w:fill="EDEDED"/>
          </w:tcPr>
          <w:p>
            <w:pPr>
              <w:spacing w:after="0"/>
              <w:rPr>
                <w:sz w:val="7"/>
                <w:szCs w:val="7"/>
                <w:color w:val="auto"/>
              </w:rPr>
            </w:pPr>
          </w:p>
        </w:tc>
        <w:tc>
          <w:tcPr>
            <w:tcW w:w="10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580" w:type="dxa"/>
            <w:vAlign w:val="bottom"/>
            <w:shd w:val="clear" w:color="auto" w:fill="EDEDED"/>
          </w:tcPr>
          <w:p>
            <w:pPr>
              <w:spacing w:after="0"/>
              <w:rPr>
                <w:sz w:val="10"/>
                <w:szCs w:val="10"/>
                <w:color w:val="auto"/>
              </w:rPr>
            </w:pPr>
          </w:p>
        </w:tc>
        <w:tc>
          <w:tcPr>
            <w:tcW w:w="700" w:type="dxa"/>
            <w:vAlign w:val="bottom"/>
            <w:shd w:val="clear" w:color="auto" w:fill="EDEDED"/>
          </w:tcPr>
          <w:p>
            <w:pPr>
              <w:jc w:val="center"/>
              <w:spacing w:after="0" w:line="122" w:lineRule="exact"/>
              <w:rPr>
                <w:sz w:val="20"/>
                <w:szCs w:val="20"/>
                <w:color w:val="auto"/>
              </w:rPr>
            </w:pPr>
            <w:r>
              <w:rPr>
                <w:rFonts w:ascii="Arial" w:cs="Arial" w:eastAsia="Arial" w:hAnsi="Arial"/>
                <w:sz w:val="11"/>
                <w:szCs w:val="11"/>
                <w:color w:val="auto"/>
                <w:w w:val="97"/>
              </w:rPr>
              <w:t>3/9/2023</w:t>
            </w:r>
          </w:p>
        </w:tc>
        <w:tc>
          <w:tcPr>
            <w:tcW w:w="180" w:type="dxa"/>
            <w:vAlign w:val="bottom"/>
            <w:shd w:val="clear" w:color="auto" w:fill="EDEDED"/>
          </w:tcPr>
          <w:p>
            <w:pPr>
              <w:spacing w:after="0"/>
              <w:rPr>
                <w:sz w:val="10"/>
                <w:szCs w:val="10"/>
                <w:color w:val="auto"/>
              </w:rPr>
            </w:pPr>
          </w:p>
        </w:tc>
        <w:tc>
          <w:tcPr>
            <w:tcW w:w="9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w:t>
            </w:r>
          </w:p>
        </w:tc>
        <w:tc>
          <w:tcPr>
            <w:tcW w:w="1380" w:type="dxa"/>
            <w:vAlign w:val="bottom"/>
            <w:gridSpan w:val="2"/>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55,325</w:t>
            </w:r>
          </w:p>
        </w:tc>
        <w:tc>
          <w:tcPr>
            <w:tcW w:w="300" w:type="dxa"/>
            <w:vAlign w:val="bottom"/>
            <w:shd w:val="clear" w:color="auto" w:fill="EDEDED"/>
          </w:tcPr>
          <w:p>
            <w:pPr>
              <w:jc w:val="right"/>
              <w:ind w:right="55"/>
              <w:spacing w:after="0" w:line="122" w:lineRule="exact"/>
              <w:rPr>
                <w:sz w:val="20"/>
                <w:szCs w:val="20"/>
                <w:color w:val="auto"/>
              </w:rPr>
            </w:pPr>
            <w:r>
              <w:rPr>
                <w:rFonts w:ascii="Arial" w:cs="Arial" w:eastAsia="Arial" w:hAnsi="Arial"/>
                <w:sz w:val="14"/>
                <w:szCs w:val="14"/>
                <w:color w:val="auto"/>
                <w:vertAlign w:val="superscript"/>
              </w:rPr>
              <w:t>)</w:t>
            </w:r>
            <w:r>
              <w:rPr>
                <w:rFonts w:ascii="Arial" w:cs="Arial" w:eastAsia="Arial" w:hAnsi="Arial"/>
                <w:sz w:val="11"/>
                <w:szCs w:val="11"/>
                <w:color w:val="auto"/>
              </w:rPr>
              <w:t xml:space="preserve"> $</w:t>
            </w:r>
          </w:p>
        </w:tc>
        <w:tc>
          <w:tcPr>
            <w:tcW w:w="920" w:type="dxa"/>
            <w:vAlign w:val="bottom"/>
            <w:shd w:val="clear" w:color="auto" w:fill="EDEDED"/>
          </w:tcPr>
          <w:p>
            <w:pPr>
              <w:jc w:val="right"/>
              <w:ind w:right="146"/>
              <w:spacing w:after="0" w:line="122" w:lineRule="exact"/>
              <w:rPr>
                <w:sz w:val="20"/>
                <w:szCs w:val="20"/>
                <w:color w:val="auto"/>
              </w:rPr>
            </w:pPr>
            <w:r>
              <w:rPr>
                <w:rFonts w:ascii="Arial" w:cs="Arial" w:eastAsia="Arial" w:hAnsi="Arial"/>
                <w:sz w:val="11"/>
                <w:szCs w:val="11"/>
                <w:color w:val="auto"/>
              </w:rPr>
              <w:t>9.93</w:t>
            </w:r>
          </w:p>
        </w:tc>
        <w:tc>
          <w:tcPr>
            <w:tcW w:w="102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3/9/2033</w:t>
            </w:r>
          </w:p>
        </w:tc>
        <w:tc>
          <w:tcPr>
            <w:tcW w:w="8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w:t>
            </w:r>
          </w:p>
        </w:tc>
        <w:tc>
          <w:tcPr>
            <w:tcW w:w="240" w:type="dxa"/>
            <w:vAlign w:val="bottom"/>
            <w:shd w:val="clear" w:color="auto" w:fill="EDEDED"/>
          </w:tcPr>
          <w:p>
            <w:pPr>
              <w:spacing w:after="0"/>
              <w:rPr>
                <w:sz w:val="10"/>
                <w:szCs w:val="10"/>
                <w:color w:val="auto"/>
              </w:rPr>
            </w:pPr>
          </w:p>
        </w:tc>
        <w:tc>
          <w:tcPr>
            <w:tcW w:w="1120" w:type="dxa"/>
            <w:vAlign w:val="bottom"/>
            <w:gridSpan w:val="2"/>
            <w:shd w:val="clear" w:color="auto" w:fill="EDEDED"/>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1"/>
        </w:trPr>
        <w:tc>
          <w:tcPr>
            <w:tcW w:w="1580" w:type="dxa"/>
            <w:vAlign w:val="bottom"/>
            <w:shd w:val="clear" w:color="auto" w:fill="EDEDED"/>
          </w:tcPr>
          <w:p>
            <w:pPr>
              <w:spacing w:after="0"/>
              <w:rPr>
                <w:sz w:val="7"/>
                <w:szCs w:val="7"/>
                <w:color w:val="auto"/>
              </w:rPr>
            </w:pPr>
          </w:p>
        </w:tc>
        <w:tc>
          <w:tcPr>
            <w:tcW w:w="700" w:type="dxa"/>
            <w:vAlign w:val="bottom"/>
            <w:shd w:val="clear" w:color="auto" w:fill="EDEDED"/>
          </w:tcPr>
          <w:p>
            <w:pPr>
              <w:spacing w:after="0"/>
              <w:rPr>
                <w:sz w:val="7"/>
                <w:szCs w:val="7"/>
                <w:color w:val="auto"/>
              </w:rPr>
            </w:pPr>
          </w:p>
        </w:tc>
        <w:tc>
          <w:tcPr>
            <w:tcW w:w="180" w:type="dxa"/>
            <w:vAlign w:val="bottom"/>
            <w:shd w:val="clear" w:color="auto" w:fill="EDEDED"/>
          </w:tcPr>
          <w:p>
            <w:pPr>
              <w:spacing w:after="0"/>
              <w:rPr>
                <w:sz w:val="7"/>
                <w:szCs w:val="7"/>
                <w:color w:val="auto"/>
              </w:rPr>
            </w:pPr>
          </w:p>
        </w:tc>
        <w:tc>
          <w:tcPr>
            <w:tcW w:w="900" w:type="dxa"/>
            <w:vAlign w:val="bottom"/>
            <w:shd w:val="clear" w:color="auto" w:fill="EDEDED"/>
          </w:tcPr>
          <w:p>
            <w:pPr>
              <w:spacing w:after="0"/>
              <w:rPr>
                <w:sz w:val="7"/>
                <w:szCs w:val="7"/>
                <w:color w:val="auto"/>
              </w:rPr>
            </w:pPr>
          </w:p>
        </w:tc>
        <w:tc>
          <w:tcPr>
            <w:tcW w:w="80" w:type="dxa"/>
            <w:vAlign w:val="bottom"/>
            <w:shd w:val="clear" w:color="auto" w:fill="EDEDED"/>
          </w:tcPr>
          <w:p>
            <w:pPr>
              <w:spacing w:after="0"/>
              <w:rPr>
                <w:sz w:val="7"/>
                <w:szCs w:val="7"/>
                <w:color w:val="auto"/>
              </w:rPr>
            </w:pPr>
          </w:p>
        </w:tc>
        <w:tc>
          <w:tcPr>
            <w:tcW w:w="1300" w:type="dxa"/>
            <w:vAlign w:val="bottom"/>
            <w:shd w:val="clear" w:color="auto" w:fill="EDEDED"/>
          </w:tcPr>
          <w:p>
            <w:pPr>
              <w:spacing w:after="0"/>
              <w:rPr>
                <w:sz w:val="7"/>
                <w:szCs w:val="7"/>
                <w:color w:val="auto"/>
              </w:rPr>
            </w:pPr>
          </w:p>
        </w:tc>
        <w:tc>
          <w:tcPr>
            <w:tcW w:w="300" w:type="dxa"/>
            <w:vAlign w:val="bottom"/>
            <w:shd w:val="clear" w:color="auto" w:fill="EDEDED"/>
          </w:tcPr>
          <w:p>
            <w:pPr>
              <w:jc w:val="right"/>
              <w:ind w:right="135"/>
              <w:spacing w:after="0"/>
              <w:rPr>
                <w:sz w:val="20"/>
                <w:szCs w:val="20"/>
                <w:color w:val="auto"/>
              </w:rPr>
            </w:pPr>
            <w:r>
              <w:rPr>
                <w:rFonts w:ascii="Arial" w:cs="Arial" w:eastAsia="Arial" w:hAnsi="Arial"/>
                <w:sz w:val="7"/>
                <w:szCs w:val="7"/>
                <w:color w:val="auto"/>
              </w:rPr>
              <w:t>(6</w:t>
            </w:r>
          </w:p>
        </w:tc>
        <w:tc>
          <w:tcPr>
            <w:tcW w:w="920" w:type="dxa"/>
            <w:vAlign w:val="bottom"/>
            <w:shd w:val="clear" w:color="auto" w:fill="EDEDED"/>
          </w:tcPr>
          <w:p>
            <w:pPr>
              <w:spacing w:after="0"/>
              <w:rPr>
                <w:sz w:val="7"/>
                <w:szCs w:val="7"/>
                <w:color w:val="auto"/>
              </w:rPr>
            </w:pPr>
          </w:p>
        </w:tc>
        <w:tc>
          <w:tcPr>
            <w:tcW w:w="1020" w:type="dxa"/>
            <w:vAlign w:val="bottom"/>
            <w:shd w:val="clear" w:color="auto" w:fill="EDEDED"/>
          </w:tcPr>
          <w:p>
            <w:pPr>
              <w:spacing w:after="0"/>
              <w:rPr>
                <w:sz w:val="7"/>
                <w:szCs w:val="7"/>
                <w:color w:val="auto"/>
              </w:rPr>
            </w:pPr>
          </w:p>
        </w:tc>
        <w:tc>
          <w:tcPr>
            <w:tcW w:w="8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240" w:type="dxa"/>
            <w:vAlign w:val="bottom"/>
            <w:shd w:val="clear" w:color="auto" w:fill="EDEDED"/>
          </w:tcPr>
          <w:p>
            <w:pPr>
              <w:spacing w:after="0"/>
              <w:rPr>
                <w:sz w:val="7"/>
                <w:szCs w:val="7"/>
                <w:color w:val="auto"/>
              </w:rPr>
            </w:pPr>
          </w:p>
        </w:tc>
        <w:tc>
          <w:tcPr>
            <w:tcW w:w="1020" w:type="dxa"/>
            <w:vAlign w:val="bottom"/>
            <w:shd w:val="clear" w:color="auto" w:fill="EDEDED"/>
          </w:tcPr>
          <w:p>
            <w:pPr>
              <w:spacing w:after="0"/>
              <w:rPr>
                <w:sz w:val="7"/>
                <w:szCs w:val="7"/>
                <w:color w:val="auto"/>
              </w:rPr>
            </w:pPr>
          </w:p>
        </w:tc>
        <w:tc>
          <w:tcPr>
            <w:tcW w:w="10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580" w:type="dxa"/>
            <w:vAlign w:val="bottom"/>
            <w:shd w:val="clear" w:color="auto" w:fill="EDEDED"/>
          </w:tcPr>
          <w:p>
            <w:pPr>
              <w:spacing w:after="0"/>
              <w:rPr>
                <w:sz w:val="10"/>
                <w:szCs w:val="10"/>
                <w:color w:val="auto"/>
              </w:rPr>
            </w:pPr>
          </w:p>
        </w:tc>
        <w:tc>
          <w:tcPr>
            <w:tcW w:w="700" w:type="dxa"/>
            <w:vAlign w:val="bottom"/>
            <w:shd w:val="clear" w:color="auto" w:fill="EDEDED"/>
          </w:tcPr>
          <w:p>
            <w:pPr>
              <w:jc w:val="center"/>
              <w:spacing w:after="0" w:line="122" w:lineRule="exact"/>
              <w:rPr>
                <w:sz w:val="20"/>
                <w:szCs w:val="20"/>
                <w:color w:val="auto"/>
              </w:rPr>
            </w:pPr>
            <w:r>
              <w:rPr>
                <w:rFonts w:ascii="Arial" w:cs="Arial" w:eastAsia="Arial" w:hAnsi="Arial"/>
                <w:sz w:val="11"/>
                <w:szCs w:val="11"/>
                <w:color w:val="auto"/>
                <w:w w:val="97"/>
              </w:rPr>
              <w:t>3/2/2022</w:t>
            </w:r>
          </w:p>
        </w:tc>
        <w:tc>
          <w:tcPr>
            <w:tcW w:w="180" w:type="dxa"/>
            <w:vAlign w:val="bottom"/>
            <w:shd w:val="clear" w:color="auto" w:fill="EDEDED"/>
          </w:tcPr>
          <w:p>
            <w:pPr>
              <w:spacing w:after="0"/>
              <w:rPr>
                <w:sz w:val="10"/>
                <w:szCs w:val="10"/>
                <w:color w:val="auto"/>
              </w:rPr>
            </w:pPr>
          </w:p>
        </w:tc>
        <w:tc>
          <w:tcPr>
            <w:tcW w:w="9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EDEDED"/>
          </w:tcPr>
          <w:p>
            <w:pPr>
              <w:spacing w:after="0"/>
              <w:rPr>
                <w:sz w:val="10"/>
                <w:szCs w:val="10"/>
                <w:color w:val="auto"/>
              </w:rPr>
            </w:pPr>
          </w:p>
        </w:tc>
        <w:tc>
          <w:tcPr>
            <w:tcW w:w="130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39,713</w:t>
            </w:r>
          </w:p>
        </w:tc>
        <w:tc>
          <w:tcPr>
            <w:tcW w:w="300" w:type="dxa"/>
            <w:vAlign w:val="bottom"/>
            <w:shd w:val="clear" w:color="auto" w:fill="EDEDED"/>
          </w:tcPr>
          <w:p>
            <w:pPr>
              <w:jc w:val="right"/>
              <w:ind w:right="55"/>
              <w:spacing w:after="0" w:line="122" w:lineRule="exact"/>
              <w:rPr>
                <w:sz w:val="20"/>
                <w:szCs w:val="20"/>
                <w:color w:val="auto"/>
              </w:rPr>
            </w:pPr>
            <w:r>
              <w:rPr>
                <w:rFonts w:ascii="Arial" w:cs="Arial" w:eastAsia="Arial" w:hAnsi="Arial"/>
                <w:sz w:val="14"/>
                <w:szCs w:val="14"/>
                <w:color w:val="auto"/>
                <w:vertAlign w:val="superscript"/>
              </w:rPr>
              <w:t>)</w:t>
            </w:r>
            <w:r>
              <w:rPr>
                <w:rFonts w:ascii="Arial" w:cs="Arial" w:eastAsia="Arial" w:hAnsi="Arial"/>
                <w:sz w:val="11"/>
                <w:szCs w:val="11"/>
                <w:color w:val="auto"/>
              </w:rPr>
              <w:t xml:space="preserve"> $</w:t>
            </w:r>
          </w:p>
        </w:tc>
        <w:tc>
          <w:tcPr>
            <w:tcW w:w="920" w:type="dxa"/>
            <w:vAlign w:val="bottom"/>
            <w:shd w:val="clear" w:color="auto" w:fill="EDEDED"/>
          </w:tcPr>
          <w:p>
            <w:pPr>
              <w:jc w:val="right"/>
              <w:ind w:right="146"/>
              <w:spacing w:after="0" w:line="122" w:lineRule="exact"/>
              <w:rPr>
                <w:sz w:val="20"/>
                <w:szCs w:val="20"/>
                <w:color w:val="auto"/>
              </w:rPr>
            </w:pPr>
            <w:r>
              <w:rPr>
                <w:rFonts w:ascii="Arial" w:cs="Arial" w:eastAsia="Arial" w:hAnsi="Arial"/>
                <w:sz w:val="11"/>
                <w:szCs w:val="11"/>
                <w:color w:val="auto"/>
              </w:rPr>
              <w:t>12.30</w:t>
            </w:r>
          </w:p>
        </w:tc>
        <w:tc>
          <w:tcPr>
            <w:tcW w:w="102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3/2/2032</w:t>
            </w:r>
          </w:p>
        </w:tc>
        <w:tc>
          <w:tcPr>
            <w:tcW w:w="80" w:type="dxa"/>
            <w:vAlign w:val="bottom"/>
            <w:shd w:val="clear" w:color="auto" w:fill="EDEDED"/>
          </w:tcPr>
          <w:p>
            <w:pPr>
              <w:spacing w:after="0"/>
              <w:rPr>
                <w:sz w:val="10"/>
                <w:szCs w:val="10"/>
                <w:color w:val="auto"/>
              </w:rPr>
            </w:pPr>
          </w:p>
        </w:tc>
        <w:tc>
          <w:tcPr>
            <w:tcW w:w="98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w:t>
            </w:r>
          </w:p>
        </w:tc>
        <w:tc>
          <w:tcPr>
            <w:tcW w:w="240" w:type="dxa"/>
            <w:vAlign w:val="bottom"/>
            <w:shd w:val="clear" w:color="auto" w:fill="EDEDED"/>
          </w:tcPr>
          <w:p>
            <w:pPr>
              <w:spacing w:after="0"/>
              <w:rPr>
                <w:sz w:val="10"/>
                <w:szCs w:val="10"/>
                <w:color w:val="auto"/>
              </w:rPr>
            </w:pPr>
          </w:p>
        </w:tc>
        <w:tc>
          <w:tcPr>
            <w:tcW w:w="1120" w:type="dxa"/>
            <w:vAlign w:val="bottom"/>
            <w:gridSpan w:val="2"/>
            <w:shd w:val="clear" w:color="auto" w:fill="EDEDED"/>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1"/>
        </w:trPr>
        <w:tc>
          <w:tcPr>
            <w:tcW w:w="1580" w:type="dxa"/>
            <w:vAlign w:val="bottom"/>
            <w:shd w:val="clear" w:color="auto" w:fill="EDEDED"/>
          </w:tcPr>
          <w:p>
            <w:pPr>
              <w:spacing w:after="0"/>
              <w:rPr>
                <w:sz w:val="7"/>
                <w:szCs w:val="7"/>
                <w:color w:val="auto"/>
              </w:rPr>
            </w:pPr>
          </w:p>
        </w:tc>
        <w:tc>
          <w:tcPr>
            <w:tcW w:w="700" w:type="dxa"/>
            <w:vAlign w:val="bottom"/>
            <w:shd w:val="clear" w:color="auto" w:fill="EDEDED"/>
          </w:tcPr>
          <w:p>
            <w:pPr>
              <w:spacing w:after="0"/>
              <w:rPr>
                <w:sz w:val="7"/>
                <w:szCs w:val="7"/>
                <w:color w:val="auto"/>
              </w:rPr>
            </w:pPr>
          </w:p>
        </w:tc>
        <w:tc>
          <w:tcPr>
            <w:tcW w:w="180" w:type="dxa"/>
            <w:vAlign w:val="bottom"/>
            <w:shd w:val="clear" w:color="auto" w:fill="EDEDED"/>
          </w:tcPr>
          <w:p>
            <w:pPr>
              <w:spacing w:after="0"/>
              <w:rPr>
                <w:sz w:val="7"/>
                <w:szCs w:val="7"/>
                <w:color w:val="auto"/>
              </w:rPr>
            </w:pPr>
          </w:p>
        </w:tc>
        <w:tc>
          <w:tcPr>
            <w:tcW w:w="900" w:type="dxa"/>
            <w:vAlign w:val="bottom"/>
            <w:shd w:val="clear" w:color="auto" w:fill="EDEDED"/>
          </w:tcPr>
          <w:p>
            <w:pPr>
              <w:spacing w:after="0"/>
              <w:rPr>
                <w:sz w:val="7"/>
                <w:szCs w:val="7"/>
                <w:color w:val="auto"/>
              </w:rPr>
            </w:pPr>
          </w:p>
        </w:tc>
        <w:tc>
          <w:tcPr>
            <w:tcW w:w="80" w:type="dxa"/>
            <w:vAlign w:val="bottom"/>
            <w:shd w:val="clear" w:color="auto" w:fill="EDEDED"/>
          </w:tcPr>
          <w:p>
            <w:pPr>
              <w:spacing w:after="0"/>
              <w:rPr>
                <w:sz w:val="7"/>
                <w:szCs w:val="7"/>
                <w:color w:val="auto"/>
              </w:rPr>
            </w:pPr>
          </w:p>
        </w:tc>
        <w:tc>
          <w:tcPr>
            <w:tcW w:w="1300" w:type="dxa"/>
            <w:vAlign w:val="bottom"/>
            <w:shd w:val="clear" w:color="auto" w:fill="EDEDED"/>
          </w:tcPr>
          <w:p>
            <w:pPr>
              <w:spacing w:after="0"/>
              <w:rPr>
                <w:sz w:val="7"/>
                <w:szCs w:val="7"/>
                <w:color w:val="auto"/>
              </w:rPr>
            </w:pPr>
          </w:p>
        </w:tc>
        <w:tc>
          <w:tcPr>
            <w:tcW w:w="300" w:type="dxa"/>
            <w:vAlign w:val="bottom"/>
            <w:shd w:val="clear" w:color="auto" w:fill="EDEDED"/>
          </w:tcPr>
          <w:p>
            <w:pPr>
              <w:jc w:val="right"/>
              <w:ind w:right="135"/>
              <w:spacing w:after="0"/>
              <w:rPr>
                <w:sz w:val="20"/>
                <w:szCs w:val="20"/>
                <w:color w:val="auto"/>
              </w:rPr>
            </w:pPr>
            <w:r>
              <w:rPr>
                <w:rFonts w:ascii="Arial" w:cs="Arial" w:eastAsia="Arial" w:hAnsi="Arial"/>
                <w:sz w:val="7"/>
                <w:szCs w:val="7"/>
                <w:color w:val="auto"/>
              </w:rPr>
              <w:t>(6</w:t>
            </w:r>
          </w:p>
        </w:tc>
        <w:tc>
          <w:tcPr>
            <w:tcW w:w="920" w:type="dxa"/>
            <w:vAlign w:val="bottom"/>
            <w:shd w:val="clear" w:color="auto" w:fill="EDEDED"/>
          </w:tcPr>
          <w:p>
            <w:pPr>
              <w:spacing w:after="0"/>
              <w:rPr>
                <w:sz w:val="7"/>
                <w:szCs w:val="7"/>
                <w:color w:val="auto"/>
              </w:rPr>
            </w:pPr>
          </w:p>
        </w:tc>
        <w:tc>
          <w:tcPr>
            <w:tcW w:w="1020" w:type="dxa"/>
            <w:vAlign w:val="bottom"/>
            <w:shd w:val="clear" w:color="auto" w:fill="EDEDED"/>
          </w:tcPr>
          <w:p>
            <w:pPr>
              <w:spacing w:after="0"/>
              <w:rPr>
                <w:sz w:val="7"/>
                <w:szCs w:val="7"/>
                <w:color w:val="auto"/>
              </w:rPr>
            </w:pPr>
          </w:p>
        </w:tc>
        <w:tc>
          <w:tcPr>
            <w:tcW w:w="8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240" w:type="dxa"/>
            <w:vAlign w:val="bottom"/>
            <w:shd w:val="clear" w:color="auto" w:fill="EDEDED"/>
          </w:tcPr>
          <w:p>
            <w:pPr>
              <w:spacing w:after="0"/>
              <w:rPr>
                <w:sz w:val="7"/>
                <w:szCs w:val="7"/>
                <w:color w:val="auto"/>
              </w:rPr>
            </w:pPr>
          </w:p>
        </w:tc>
        <w:tc>
          <w:tcPr>
            <w:tcW w:w="1020" w:type="dxa"/>
            <w:vAlign w:val="bottom"/>
            <w:shd w:val="clear" w:color="auto" w:fill="EDEDED"/>
          </w:tcPr>
          <w:p>
            <w:pPr>
              <w:spacing w:after="0"/>
              <w:rPr>
                <w:sz w:val="7"/>
                <w:szCs w:val="7"/>
                <w:color w:val="auto"/>
              </w:rPr>
            </w:pPr>
          </w:p>
        </w:tc>
        <w:tc>
          <w:tcPr>
            <w:tcW w:w="10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580" w:type="dxa"/>
            <w:vAlign w:val="bottom"/>
            <w:shd w:val="clear" w:color="auto" w:fill="EDEDED"/>
          </w:tcPr>
          <w:p>
            <w:pPr>
              <w:spacing w:after="0"/>
              <w:rPr>
                <w:sz w:val="12"/>
                <w:szCs w:val="12"/>
                <w:color w:val="auto"/>
              </w:rPr>
            </w:pPr>
          </w:p>
        </w:tc>
        <w:tc>
          <w:tcPr>
            <w:tcW w:w="700" w:type="dxa"/>
            <w:vAlign w:val="bottom"/>
            <w:shd w:val="clear" w:color="auto" w:fill="EDEDED"/>
          </w:tcPr>
          <w:p>
            <w:pPr>
              <w:jc w:val="center"/>
              <w:spacing w:after="0"/>
              <w:rPr>
                <w:sz w:val="20"/>
                <w:szCs w:val="20"/>
                <w:color w:val="auto"/>
              </w:rPr>
            </w:pPr>
            <w:r>
              <w:rPr>
                <w:rFonts w:ascii="Arial" w:cs="Arial" w:eastAsia="Arial" w:hAnsi="Arial"/>
                <w:sz w:val="11"/>
                <w:szCs w:val="11"/>
                <w:color w:val="auto"/>
                <w:w w:val="97"/>
              </w:rPr>
              <w:t>2/2/2021</w:t>
            </w:r>
          </w:p>
        </w:tc>
        <w:tc>
          <w:tcPr>
            <w:tcW w:w="180" w:type="dxa"/>
            <w:vAlign w:val="bottom"/>
            <w:shd w:val="clear" w:color="auto" w:fill="EDEDED"/>
          </w:tcPr>
          <w:p>
            <w:pPr>
              <w:spacing w:after="0"/>
              <w:rPr>
                <w:sz w:val="12"/>
                <w:szCs w:val="12"/>
                <w:color w:val="auto"/>
              </w:rPr>
            </w:pPr>
          </w:p>
        </w:tc>
        <w:tc>
          <w:tcPr>
            <w:tcW w:w="900" w:type="dxa"/>
            <w:vAlign w:val="bottom"/>
            <w:shd w:val="clear" w:color="auto" w:fill="EDEDED"/>
          </w:tcPr>
          <w:p>
            <w:pPr>
              <w:jc w:val="right"/>
              <w:spacing w:after="0"/>
              <w:rPr>
                <w:sz w:val="20"/>
                <w:szCs w:val="20"/>
                <w:color w:val="auto"/>
              </w:rPr>
            </w:pPr>
            <w:r>
              <w:rPr>
                <w:rFonts w:ascii="Arial" w:cs="Arial" w:eastAsia="Arial" w:hAnsi="Arial"/>
                <w:sz w:val="11"/>
                <w:szCs w:val="11"/>
                <w:color w:val="auto"/>
              </w:rPr>
              <w:t>6,650</w:t>
            </w:r>
          </w:p>
        </w:tc>
        <w:tc>
          <w:tcPr>
            <w:tcW w:w="80" w:type="dxa"/>
            <w:vAlign w:val="bottom"/>
            <w:shd w:val="clear" w:color="auto" w:fill="EDEDED"/>
          </w:tcPr>
          <w:p>
            <w:pPr>
              <w:spacing w:after="0"/>
              <w:rPr>
                <w:sz w:val="12"/>
                <w:szCs w:val="12"/>
                <w:color w:val="auto"/>
              </w:rPr>
            </w:pPr>
          </w:p>
        </w:tc>
        <w:tc>
          <w:tcPr>
            <w:tcW w:w="130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63,350</w:t>
            </w:r>
          </w:p>
        </w:tc>
        <w:tc>
          <w:tcPr>
            <w:tcW w:w="300" w:type="dxa"/>
            <w:vAlign w:val="bottom"/>
            <w:shd w:val="clear" w:color="auto" w:fill="EDEDED"/>
          </w:tcPr>
          <w:p>
            <w:pPr>
              <w:jc w:val="right"/>
              <w:ind w:right="55"/>
              <w:spacing w:after="0" w:line="139" w:lineRule="exact"/>
              <w:rPr>
                <w:sz w:val="20"/>
                <w:szCs w:val="20"/>
                <w:color w:val="auto"/>
              </w:rPr>
            </w:pPr>
            <w:r>
              <w:rPr>
                <w:rFonts w:ascii="Arial" w:cs="Arial" w:eastAsia="Arial" w:hAnsi="Arial"/>
                <w:sz w:val="14"/>
                <w:szCs w:val="14"/>
                <w:color w:val="auto"/>
                <w:vertAlign w:val="superscript"/>
              </w:rPr>
              <w:t>)</w:t>
            </w:r>
            <w:r>
              <w:rPr>
                <w:rFonts w:ascii="Arial" w:cs="Arial" w:eastAsia="Arial" w:hAnsi="Arial"/>
                <w:sz w:val="11"/>
                <w:szCs w:val="11"/>
                <w:color w:val="auto"/>
              </w:rPr>
              <w:t xml:space="preserve"> $</w:t>
            </w:r>
          </w:p>
        </w:tc>
        <w:tc>
          <w:tcPr>
            <w:tcW w:w="920" w:type="dxa"/>
            <w:vAlign w:val="bottom"/>
            <w:shd w:val="clear" w:color="auto" w:fill="EDEDED"/>
          </w:tcPr>
          <w:p>
            <w:pPr>
              <w:jc w:val="right"/>
              <w:ind w:right="146"/>
              <w:spacing w:after="0"/>
              <w:rPr>
                <w:sz w:val="20"/>
                <w:szCs w:val="20"/>
                <w:color w:val="auto"/>
              </w:rPr>
            </w:pPr>
            <w:r>
              <w:rPr>
                <w:rFonts w:ascii="Arial" w:cs="Arial" w:eastAsia="Arial" w:hAnsi="Arial"/>
                <w:sz w:val="11"/>
                <w:szCs w:val="11"/>
                <w:color w:val="auto"/>
              </w:rPr>
              <w:t>8.07</w:t>
            </w:r>
          </w:p>
        </w:tc>
        <w:tc>
          <w:tcPr>
            <w:tcW w:w="1020" w:type="dxa"/>
            <w:vAlign w:val="bottom"/>
            <w:shd w:val="clear" w:color="auto" w:fill="EDEDED"/>
          </w:tcPr>
          <w:p>
            <w:pPr>
              <w:jc w:val="right"/>
              <w:ind w:right="66"/>
              <w:spacing w:after="0"/>
              <w:rPr>
                <w:sz w:val="20"/>
                <w:szCs w:val="20"/>
                <w:color w:val="auto"/>
              </w:rPr>
            </w:pPr>
            <w:r>
              <w:rPr>
                <w:rFonts w:ascii="Arial" w:cs="Arial" w:eastAsia="Arial" w:hAnsi="Arial"/>
                <w:sz w:val="11"/>
                <w:szCs w:val="11"/>
                <w:color w:val="auto"/>
              </w:rPr>
              <w:t>3/2/2031</w:t>
            </w:r>
          </w:p>
        </w:tc>
        <w:tc>
          <w:tcPr>
            <w:tcW w:w="80" w:type="dxa"/>
            <w:vAlign w:val="bottom"/>
            <w:shd w:val="clear" w:color="auto" w:fill="EDEDED"/>
          </w:tcPr>
          <w:p>
            <w:pPr>
              <w:spacing w:after="0"/>
              <w:rPr>
                <w:sz w:val="12"/>
                <w:szCs w:val="12"/>
                <w:color w:val="auto"/>
              </w:rPr>
            </w:pPr>
          </w:p>
        </w:tc>
        <w:tc>
          <w:tcPr>
            <w:tcW w:w="98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shd w:val="clear" w:color="auto" w:fill="EDEDED"/>
          </w:tcPr>
          <w:p>
            <w:pPr>
              <w:spacing w:after="0"/>
              <w:rPr>
                <w:sz w:val="12"/>
                <w:szCs w:val="12"/>
                <w:color w:val="auto"/>
              </w:rPr>
            </w:pPr>
          </w:p>
        </w:tc>
        <w:tc>
          <w:tcPr>
            <w:tcW w:w="1120" w:type="dxa"/>
            <w:vAlign w:val="bottom"/>
            <w:gridSpan w:val="2"/>
            <w:shd w:val="clear" w:color="auto" w:fill="EDEDED"/>
          </w:tcPr>
          <w:p>
            <w:pPr>
              <w:jc w:val="right"/>
              <w:ind w:right="2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4"/>
        </w:trPr>
        <w:tc>
          <w:tcPr>
            <w:tcW w:w="1580" w:type="dxa"/>
            <w:vAlign w:val="bottom"/>
            <w:vMerge w:val="restart"/>
          </w:tcPr>
          <w:p>
            <w:pPr>
              <w:ind w:left="80"/>
              <w:spacing w:after="0"/>
              <w:rPr>
                <w:sz w:val="20"/>
                <w:szCs w:val="20"/>
                <w:color w:val="auto"/>
              </w:rPr>
            </w:pPr>
            <w:r>
              <w:rPr>
                <w:rFonts w:ascii="Arial" w:cs="Arial" w:eastAsia="Arial" w:hAnsi="Arial"/>
                <w:sz w:val="11"/>
                <w:szCs w:val="11"/>
                <w:color w:val="auto"/>
              </w:rPr>
              <w:t>Mark Hood</w:t>
            </w: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jc w:val="right"/>
              <w:ind w:right="58"/>
              <w:spacing w:after="0" w:line="64" w:lineRule="exact"/>
              <w:rPr>
                <w:sz w:val="20"/>
                <w:szCs w:val="20"/>
                <w:color w:val="auto"/>
              </w:rPr>
            </w:pPr>
            <w:r>
              <w:rPr>
                <w:rFonts w:ascii="Arial" w:cs="Arial" w:eastAsia="Arial" w:hAnsi="Arial"/>
                <w:sz w:val="7"/>
                <w:szCs w:val="7"/>
                <w:color w:val="auto"/>
              </w:rPr>
              <w:t>(3</w:t>
            </w: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1580" w:type="dxa"/>
            <w:vAlign w:val="bottom"/>
            <w:vMerge w:val="continue"/>
          </w:tcPr>
          <w:p>
            <w:pPr>
              <w:spacing w:after="0"/>
              <w:rPr>
                <w:sz w:val="6"/>
                <w:szCs w:val="6"/>
                <w:color w:val="auto"/>
              </w:rPr>
            </w:pPr>
          </w:p>
        </w:tc>
        <w:tc>
          <w:tcPr>
            <w:tcW w:w="700" w:type="dxa"/>
            <w:vAlign w:val="bottom"/>
            <w:vMerge w:val="restart"/>
          </w:tcPr>
          <w:p>
            <w:pPr>
              <w:jc w:val="center"/>
              <w:spacing w:after="0" w:line="122" w:lineRule="exact"/>
              <w:rPr>
                <w:sz w:val="20"/>
                <w:szCs w:val="20"/>
                <w:color w:val="auto"/>
              </w:rPr>
            </w:pPr>
            <w:r>
              <w:rPr>
                <w:rFonts w:ascii="Arial" w:cs="Arial" w:eastAsia="Arial" w:hAnsi="Arial"/>
                <w:sz w:val="11"/>
                <w:szCs w:val="11"/>
                <w:color w:val="auto"/>
                <w:w w:val="97"/>
              </w:rPr>
              <w:t>2/14/2025</w:t>
            </w:r>
          </w:p>
        </w:tc>
        <w:tc>
          <w:tcPr>
            <w:tcW w:w="180" w:type="dxa"/>
            <w:vAlign w:val="bottom"/>
          </w:tcPr>
          <w:p>
            <w:pPr>
              <w:spacing w:after="0"/>
              <w:rPr>
                <w:sz w:val="6"/>
                <w:szCs w:val="6"/>
                <w:color w:val="auto"/>
              </w:rPr>
            </w:pPr>
          </w:p>
        </w:tc>
        <w:tc>
          <w:tcPr>
            <w:tcW w:w="90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6"/>
                <w:szCs w:val="6"/>
                <w:color w:val="auto"/>
              </w:rPr>
            </w:pPr>
          </w:p>
        </w:tc>
        <w:tc>
          <w:tcPr>
            <w:tcW w:w="1300" w:type="dxa"/>
            <w:vAlign w:val="bottom"/>
            <w:vMerge w:val="restart"/>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00" w:type="dxa"/>
            <w:vAlign w:val="bottom"/>
            <w:vMerge w:val="restart"/>
          </w:tcPr>
          <w:p>
            <w:pPr>
              <w:jc w:val="right"/>
              <w:ind w:right="55"/>
              <w:spacing w:after="0" w:line="122" w:lineRule="exact"/>
              <w:rPr>
                <w:sz w:val="20"/>
                <w:szCs w:val="20"/>
                <w:color w:val="auto"/>
              </w:rPr>
            </w:pPr>
            <w:r>
              <w:rPr>
                <w:rFonts w:ascii="Arial" w:cs="Arial" w:eastAsia="Arial" w:hAnsi="Arial"/>
                <w:sz w:val="11"/>
                <w:szCs w:val="11"/>
                <w:color w:val="auto"/>
              </w:rPr>
              <w:t>$</w:t>
            </w:r>
          </w:p>
        </w:tc>
        <w:tc>
          <w:tcPr>
            <w:tcW w:w="920" w:type="dxa"/>
            <w:vAlign w:val="bottom"/>
            <w:vMerge w:val="restart"/>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020" w:type="dxa"/>
            <w:vAlign w:val="bottom"/>
            <w:vMerge w:val="restart"/>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vMerge w:val="restart"/>
          </w:tcPr>
          <w:p>
            <w:pPr>
              <w:jc w:val="right"/>
              <w:ind w:right="6"/>
              <w:spacing w:after="0" w:line="122" w:lineRule="exact"/>
              <w:rPr>
                <w:sz w:val="20"/>
                <w:szCs w:val="20"/>
                <w:color w:val="auto"/>
              </w:rPr>
            </w:pPr>
            <w:r>
              <w:rPr>
                <w:rFonts w:ascii="Arial" w:cs="Arial" w:eastAsia="Arial" w:hAnsi="Arial"/>
                <w:sz w:val="11"/>
                <w:szCs w:val="11"/>
                <w:color w:val="auto"/>
              </w:rPr>
              <w:t>47,582</w:t>
            </w:r>
          </w:p>
        </w:tc>
        <w:tc>
          <w:tcPr>
            <w:tcW w:w="240" w:type="dxa"/>
            <w:vAlign w:val="bottom"/>
            <w:vMerge w:val="restart"/>
          </w:tcPr>
          <w:p>
            <w:pPr>
              <w:jc w:val="right"/>
              <w:spacing w:after="0" w:line="122" w:lineRule="exact"/>
              <w:rPr>
                <w:sz w:val="20"/>
                <w:szCs w:val="20"/>
                <w:color w:val="auto"/>
              </w:rPr>
            </w:pPr>
            <w:r>
              <w:rPr>
                <w:rFonts w:ascii="Arial" w:cs="Arial" w:eastAsia="Arial" w:hAnsi="Arial"/>
                <w:sz w:val="14"/>
                <w:szCs w:val="14"/>
                <w:color w:val="auto"/>
                <w:vertAlign w:val="superscript"/>
              </w:rPr>
              <w:t>)</w:t>
            </w:r>
            <w:r>
              <w:rPr>
                <w:rFonts w:ascii="Arial" w:cs="Arial" w:eastAsia="Arial" w:hAnsi="Arial"/>
                <w:sz w:val="11"/>
                <w:szCs w:val="11"/>
                <w:color w:val="auto"/>
              </w:rPr>
              <w:t xml:space="preserve"> $</w:t>
            </w:r>
          </w:p>
        </w:tc>
        <w:tc>
          <w:tcPr>
            <w:tcW w:w="1020" w:type="dxa"/>
            <w:vAlign w:val="bottom"/>
            <w:vMerge w:val="restart"/>
          </w:tcPr>
          <w:p>
            <w:pPr>
              <w:jc w:val="right"/>
              <w:ind w:right="46"/>
              <w:spacing w:after="0" w:line="122" w:lineRule="exact"/>
              <w:rPr>
                <w:sz w:val="20"/>
                <w:szCs w:val="20"/>
                <w:color w:val="auto"/>
              </w:rPr>
            </w:pPr>
            <w:r>
              <w:rPr>
                <w:rFonts w:ascii="Arial" w:cs="Arial" w:eastAsia="Arial" w:hAnsi="Arial"/>
                <w:sz w:val="11"/>
                <w:szCs w:val="11"/>
                <w:color w:val="auto"/>
              </w:rPr>
              <w:t>466,779</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1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jc w:val="right"/>
              <w:ind w:right="58"/>
              <w:spacing w:after="0"/>
              <w:rPr>
                <w:sz w:val="20"/>
                <w:szCs w:val="20"/>
                <w:color w:val="auto"/>
              </w:rPr>
            </w:pPr>
            <w:r>
              <w:rPr>
                <w:rFonts w:ascii="Arial" w:cs="Arial" w:eastAsia="Arial" w:hAnsi="Arial"/>
                <w:sz w:val="7"/>
                <w:szCs w:val="7"/>
                <w:color w:val="auto"/>
              </w:rPr>
              <w:t>(3</w:t>
            </w: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97"/>
              </w:rPr>
              <w:t>2/14/2025</w:t>
            </w: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3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jc w:val="right"/>
              <w:ind w:right="55"/>
              <w:spacing w:after="0" w:line="122" w:lineRule="exact"/>
              <w:rPr>
                <w:sz w:val="20"/>
                <w:szCs w:val="20"/>
                <w:color w:val="auto"/>
              </w:rPr>
            </w:pPr>
            <w:r>
              <w:rPr>
                <w:rFonts w:ascii="Arial" w:cs="Arial" w:eastAsia="Arial" w:hAnsi="Arial"/>
                <w:sz w:val="11"/>
                <w:szCs w:val="11"/>
                <w:color w:val="auto"/>
              </w:rPr>
              <w:t>$</w:t>
            </w:r>
          </w:p>
        </w:tc>
        <w:tc>
          <w:tcPr>
            <w:tcW w:w="9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9,120</w:t>
            </w:r>
          </w:p>
        </w:tc>
        <w:tc>
          <w:tcPr>
            <w:tcW w:w="240" w:type="dxa"/>
            <w:vAlign w:val="bottom"/>
          </w:tcPr>
          <w:p>
            <w:pPr>
              <w:jc w:val="right"/>
              <w:spacing w:after="0" w:line="122" w:lineRule="exact"/>
              <w:rPr>
                <w:sz w:val="20"/>
                <w:szCs w:val="20"/>
                <w:color w:val="auto"/>
              </w:rPr>
            </w:pPr>
            <w:r>
              <w:rPr>
                <w:rFonts w:ascii="Arial" w:cs="Arial" w:eastAsia="Arial" w:hAnsi="Arial"/>
                <w:sz w:val="14"/>
                <w:szCs w:val="14"/>
                <w:color w:val="auto"/>
                <w:vertAlign w:val="superscript"/>
              </w:rPr>
              <w:t>)</w:t>
            </w:r>
            <w:r>
              <w:rPr>
                <w:rFonts w:ascii="Arial" w:cs="Arial" w:eastAsia="Arial" w:hAnsi="Arial"/>
                <w:sz w:val="11"/>
                <w:szCs w:val="11"/>
                <w:color w:val="auto"/>
              </w:rPr>
              <w:t xml:space="preserve"> $</w:t>
            </w:r>
          </w:p>
        </w:tc>
        <w:tc>
          <w:tcPr>
            <w:tcW w:w="10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89,467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jc w:val="right"/>
              <w:ind w:right="135"/>
              <w:spacing w:after="0"/>
              <w:rPr>
                <w:sz w:val="20"/>
                <w:szCs w:val="20"/>
                <w:color w:val="auto"/>
              </w:rPr>
            </w:pPr>
            <w:r>
              <w:rPr>
                <w:rFonts w:ascii="Arial" w:cs="Arial" w:eastAsia="Arial" w:hAnsi="Arial"/>
                <w:sz w:val="7"/>
                <w:szCs w:val="7"/>
                <w:color w:val="auto"/>
              </w:rPr>
              <w:t>(5</w:t>
            </w:r>
          </w:p>
        </w:tc>
        <w:tc>
          <w:tcPr>
            <w:tcW w:w="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97"/>
              </w:rPr>
              <w:t>3/4/2024</w:t>
            </w: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50,000</w:t>
            </w:r>
          </w:p>
        </w:tc>
        <w:tc>
          <w:tcPr>
            <w:tcW w:w="300" w:type="dxa"/>
            <w:vAlign w:val="bottom"/>
          </w:tcPr>
          <w:p>
            <w:pPr>
              <w:jc w:val="right"/>
              <w:ind w:right="55"/>
              <w:spacing w:after="0" w:line="122" w:lineRule="exact"/>
              <w:rPr>
                <w:sz w:val="20"/>
                <w:szCs w:val="20"/>
                <w:color w:val="auto"/>
              </w:rPr>
            </w:pPr>
            <w:r>
              <w:rPr>
                <w:rFonts w:ascii="Arial" w:cs="Arial" w:eastAsia="Arial" w:hAnsi="Arial"/>
                <w:sz w:val="14"/>
                <w:szCs w:val="14"/>
                <w:color w:val="auto"/>
                <w:vertAlign w:val="superscript"/>
              </w:rPr>
              <w:t>)</w:t>
            </w:r>
            <w:r>
              <w:rPr>
                <w:rFonts w:ascii="Arial" w:cs="Arial" w:eastAsia="Arial" w:hAnsi="Arial"/>
                <w:sz w:val="11"/>
                <w:szCs w:val="11"/>
                <w:color w:val="auto"/>
              </w:rPr>
              <w:t xml:space="preserve"> $</w:t>
            </w:r>
          </w:p>
        </w:tc>
        <w:tc>
          <w:tcPr>
            <w:tcW w:w="9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7.99</w:t>
            </w:r>
          </w:p>
        </w:tc>
        <w:tc>
          <w:tcPr>
            <w:tcW w:w="1020" w:type="dxa"/>
            <w:vAlign w:val="bottom"/>
          </w:tcPr>
          <w:p>
            <w:pPr>
              <w:jc w:val="right"/>
              <w:ind w:right="66"/>
              <w:spacing w:after="0" w:line="122" w:lineRule="exact"/>
              <w:rPr>
                <w:sz w:val="20"/>
                <w:szCs w:val="20"/>
                <w:color w:val="auto"/>
              </w:rPr>
            </w:pPr>
            <w:r>
              <w:rPr>
                <w:rFonts w:ascii="Arial" w:cs="Arial" w:eastAsia="Arial" w:hAnsi="Arial"/>
                <w:sz w:val="11"/>
                <w:szCs w:val="11"/>
                <w:color w:val="auto"/>
              </w:rPr>
              <w:t>3/4/2034</w:t>
            </w:r>
          </w:p>
        </w:tc>
        <w:tc>
          <w:tcPr>
            <w:tcW w:w="80" w:type="dxa"/>
            <w:vAlign w:val="bottom"/>
          </w:tcPr>
          <w:p>
            <w:pPr>
              <w:spacing w:after="0"/>
              <w:rPr>
                <w:sz w:val="10"/>
                <w:szCs w:val="10"/>
                <w:color w:val="auto"/>
              </w:rPr>
            </w:pPr>
          </w:p>
        </w:tc>
        <w:tc>
          <w:tcPr>
            <w:tcW w:w="9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11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jc w:val="right"/>
              <w:ind w:right="135"/>
              <w:spacing w:after="0"/>
              <w:rPr>
                <w:sz w:val="20"/>
                <w:szCs w:val="20"/>
                <w:color w:val="auto"/>
              </w:rPr>
            </w:pPr>
            <w:r>
              <w:rPr>
                <w:rFonts w:ascii="Arial" w:cs="Arial" w:eastAsia="Arial" w:hAnsi="Arial"/>
                <w:sz w:val="7"/>
                <w:szCs w:val="7"/>
                <w:color w:val="auto"/>
              </w:rPr>
              <w:t>(6</w:t>
            </w:r>
          </w:p>
        </w:tc>
        <w:tc>
          <w:tcPr>
            <w:tcW w:w="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97"/>
              </w:rPr>
              <w:t>3/9/2023</w:t>
            </w: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32,000</w:t>
            </w:r>
          </w:p>
        </w:tc>
        <w:tc>
          <w:tcPr>
            <w:tcW w:w="300" w:type="dxa"/>
            <w:vAlign w:val="bottom"/>
          </w:tcPr>
          <w:p>
            <w:pPr>
              <w:jc w:val="right"/>
              <w:ind w:right="55"/>
              <w:spacing w:after="0" w:line="122" w:lineRule="exact"/>
              <w:rPr>
                <w:sz w:val="20"/>
                <w:szCs w:val="20"/>
                <w:color w:val="auto"/>
              </w:rPr>
            </w:pPr>
            <w:r>
              <w:rPr>
                <w:rFonts w:ascii="Arial" w:cs="Arial" w:eastAsia="Arial" w:hAnsi="Arial"/>
                <w:sz w:val="6"/>
                <w:szCs w:val="6"/>
                <w:color w:val="auto"/>
              </w:rPr>
              <w:t xml:space="preserve">) </w:t>
            </w:r>
            <w:r>
              <w:rPr>
                <w:rFonts w:ascii="Arial" w:cs="Arial" w:eastAsia="Arial" w:hAnsi="Arial"/>
                <w:sz w:val="14"/>
                <w:szCs w:val="14"/>
                <w:color w:val="auto"/>
                <w:vertAlign w:val="subscript"/>
              </w:rPr>
              <w:t>$</w:t>
            </w:r>
          </w:p>
        </w:tc>
        <w:tc>
          <w:tcPr>
            <w:tcW w:w="9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9.93</w:t>
            </w:r>
          </w:p>
        </w:tc>
        <w:tc>
          <w:tcPr>
            <w:tcW w:w="1020" w:type="dxa"/>
            <w:vAlign w:val="bottom"/>
          </w:tcPr>
          <w:p>
            <w:pPr>
              <w:jc w:val="right"/>
              <w:ind w:right="66"/>
              <w:spacing w:after="0" w:line="122" w:lineRule="exact"/>
              <w:rPr>
                <w:sz w:val="20"/>
                <w:szCs w:val="20"/>
                <w:color w:val="auto"/>
              </w:rPr>
            </w:pPr>
            <w:r>
              <w:rPr>
                <w:rFonts w:ascii="Arial" w:cs="Arial" w:eastAsia="Arial" w:hAnsi="Arial"/>
                <w:sz w:val="11"/>
                <w:szCs w:val="11"/>
                <w:color w:val="auto"/>
              </w:rPr>
              <w:t>3/9/2033</w:t>
            </w:r>
          </w:p>
        </w:tc>
        <w:tc>
          <w:tcPr>
            <w:tcW w:w="80" w:type="dxa"/>
            <w:vAlign w:val="bottom"/>
          </w:tcPr>
          <w:p>
            <w:pPr>
              <w:spacing w:after="0"/>
              <w:rPr>
                <w:sz w:val="10"/>
                <w:szCs w:val="10"/>
                <w:color w:val="auto"/>
              </w:rPr>
            </w:pPr>
          </w:p>
        </w:tc>
        <w:tc>
          <w:tcPr>
            <w:tcW w:w="9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11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jc w:val="right"/>
              <w:ind w:right="135"/>
              <w:spacing w:after="0"/>
              <w:rPr>
                <w:sz w:val="20"/>
                <w:szCs w:val="20"/>
                <w:color w:val="auto"/>
              </w:rPr>
            </w:pPr>
            <w:r>
              <w:rPr>
                <w:rFonts w:ascii="Arial" w:cs="Arial" w:eastAsia="Arial" w:hAnsi="Arial"/>
                <w:sz w:val="7"/>
                <w:szCs w:val="7"/>
                <w:color w:val="auto"/>
              </w:rPr>
              <w:t>(6</w:t>
            </w:r>
          </w:p>
        </w:tc>
        <w:tc>
          <w:tcPr>
            <w:tcW w:w="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97"/>
              </w:rPr>
              <w:t>3/2/2022</w:t>
            </w: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9,928</w:t>
            </w:r>
          </w:p>
        </w:tc>
        <w:tc>
          <w:tcPr>
            <w:tcW w:w="300" w:type="dxa"/>
            <w:vAlign w:val="bottom"/>
          </w:tcPr>
          <w:p>
            <w:pPr>
              <w:jc w:val="right"/>
              <w:ind w:right="55"/>
              <w:spacing w:after="0" w:line="122" w:lineRule="exact"/>
              <w:rPr>
                <w:sz w:val="20"/>
                <w:szCs w:val="20"/>
                <w:color w:val="auto"/>
              </w:rPr>
            </w:pPr>
            <w:r>
              <w:rPr>
                <w:rFonts w:ascii="Arial" w:cs="Arial" w:eastAsia="Arial" w:hAnsi="Arial"/>
                <w:sz w:val="6"/>
                <w:szCs w:val="6"/>
                <w:color w:val="auto"/>
              </w:rPr>
              <w:t xml:space="preserve">) </w:t>
            </w:r>
            <w:r>
              <w:rPr>
                <w:rFonts w:ascii="Arial" w:cs="Arial" w:eastAsia="Arial" w:hAnsi="Arial"/>
                <w:sz w:val="14"/>
                <w:szCs w:val="14"/>
                <w:color w:val="auto"/>
                <w:vertAlign w:val="subscript"/>
              </w:rPr>
              <w:t>$</w:t>
            </w:r>
          </w:p>
        </w:tc>
        <w:tc>
          <w:tcPr>
            <w:tcW w:w="9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12.30</w:t>
            </w:r>
          </w:p>
        </w:tc>
        <w:tc>
          <w:tcPr>
            <w:tcW w:w="1020" w:type="dxa"/>
            <w:vAlign w:val="bottom"/>
          </w:tcPr>
          <w:p>
            <w:pPr>
              <w:jc w:val="right"/>
              <w:ind w:right="66"/>
              <w:spacing w:after="0" w:line="122" w:lineRule="exact"/>
              <w:rPr>
                <w:sz w:val="20"/>
                <w:szCs w:val="20"/>
                <w:color w:val="auto"/>
              </w:rPr>
            </w:pPr>
            <w:r>
              <w:rPr>
                <w:rFonts w:ascii="Arial" w:cs="Arial" w:eastAsia="Arial" w:hAnsi="Arial"/>
                <w:sz w:val="11"/>
                <w:szCs w:val="11"/>
                <w:color w:val="auto"/>
              </w:rPr>
              <w:t>3/2/2032</w:t>
            </w:r>
          </w:p>
        </w:tc>
        <w:tc>
          <w:tcPr>
            <w:tcW w:w="80" w:type="dxa"/>
            <w:vAlign w:val="bottom"/>
          </w:tcPr>
          <w:p>
            <w:pPr>
              <w:spacing w:after="0"/>
              <w:rPr>
                <w:sz w:val="10"/>
                <w:szCs w:val="10"/>
                <w:color w:val="auto"/>
              </w:rPr>
            </w:pPr>
          </w:p>
        </w:tc>
        <w:tc>
          <w:tcPr>
            <w:tcW w:w="9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11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jc w:val="right"/>
              <w:ind w:right="135"/>
              <w:spacing w:after="0"/>
              <w:rPr>
                <w:sz w:val="20"/>
                <w:szCs w:val="20"/>
                <w:color w:val="auto"/>
              </w:rPr>
            </w:pPr>
            <w:r>
              <w:rPr>
                <w:rFonts w:ascii="Arial" w:cs="Arial" w:eastAsia="Arial" w:hAnsi="Arial"/>
                <w:sz w:val="7"/>
                <w:szCs w:val="7"/>
                <w:color w:val="auto"/>
              </w:rPr>
              <w:t>(6</w:t>
            </w:r>
          </w:p>
        </w:tc>
        <w:tc>
          <w:tcPr>
            <w:tcW w:w="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5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7"/>
              </w:rPr>
              <w:t>10/7/2021</w:t>
            </w: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6"/>
              <w:spacing w:after="0"/>
              <w:rPr>
                <w:sz w:val="20"/>
                <w:szCs w:val="20"/>
                <w:color w:val="auto"/>
              </w:rPr>
            </w:pPr>
            <w:r>
              <w:rPr>
                <w:rFonts w:ascii="Arial" w:cs="Arial" w:eastAsia="Arial" w:hAnsi="Arial"/>
                <w:sz w:val="11"/>
                <w:szCs w:val="11"/>
                <w:color w:val="auto"/>
              </w:rPr>
              <w:t>17,500</w:t>
            </w:r>
          </w:p>
        </w:tc>
        <w:tc>
          <w:tcPr>
            <w:tcW w:w="300" w:type="dxa"/>
            <w:vAlign w:val="bottom"/>
          </w:tcPr>
          <w:p>
            <w:pPr>
              <w:jc w:val="right"/>
              <w:ind w:right="55"/>
              <w:spacing w:after="0" w:line="139" w:lineRule="exact"/>
              <w:rPr>
                <w:sz w:val="20"/>
                <w:szCs w:val="20"/>
                <w:color w:val="auto"/>
              </w:rPr>
            </w:pPr>
            <w:r>
              <w:rPr>
                <w:rFonts w:ascii="Arial" w:cs="Arial" w:eastAsia="Arial" w:hAnsi="Arial"/>
                <w:sz w:val="6"/>
                <w:szCs w:val="6"/>
                <w:color w:val="auto"/>
              </w:rPr>
              <w:t xml:space="preserve">) </w:t>
            </w:r>
            <w:r>
              <w:rPr>
                <w:rFonts w:ascii="Arial" w:cs="Arial" w:eastAsia="Arial" w:hAnsi="Arial"/>
                <w:sz w:val="16"/>
                <w:szCs w:val="16"/>
                <w:color w:val="auto"/>
                <w:vertAlign w:val="subscript"/>
              </w:rPr>
              <w:t>$</w:t>
            </w:r>
          </w:p>
        </w:tc>
        <w:tc>
          <w:tcPr>
            <w:tcW w:w="920" w:type="dxa"/>
            <w:vAlign w:val="bottom"/>
          </w:tcPr>
          <w:p>
            <w:pPr>
              <w:jc w:val="right"/>
              <w:ind w:right="146"/>
              <w:spacing w:after="0"/>
              <w:rPr>
                <w:sz w:val="20"/>
                <w:szCs w:val="20"/>
                <w:color w:val="auto"/>
              </w:rPr>
            </w:pPr>
            <w:r>
              <w:rPr>
                <w:rFonts w:ascii="Arial" w:cs="Arial" w:eastAsia="Arial" w:hAnsi="Arial"/>
                <w:sz w:val="11"/>
                <w:szCs w:val="11"/>
                <w:color w:val="auto"/>
              </w:rPr>
              <w:t>15.87</w:t>
            </w: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10/7/2031</w:t>
            </w:r>
          </w:p>
        </w:tc>
        <w:tc>
          <w:tcPr>
            <w:tcW w:w="8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4"/>
        </w:trPr>
        <w:tc>
          <w:tcPr>
            <w:tcW w:w="1580" w:type="dxa"/>
            <w:vAlign w:val="bottom"/>
            <w:vMerge w:val="restart"/>
            <w:shd w:val="clear" w:color="auto" w:fill="EDEDED"/>
          </w:tcPr>
          <w:p>
            <w:pPr>
              <w:ind w:left="80"/>
              <w:spacing w:after="0"/>
              <w:rPr>
                <w:sz w:val="20"/>
                <w:szCs w:val="20"/>
                <w:color w:val="auto"/>
              </w:rPr>
            </w:pPr>
            <w:r>
              <w:rPr>
                <w:rFonts w:ascii="Arial" w:cs="Arial" w:eastAsia="Arial" w:hAnsi="Arial"/>
                <w:sz w:val="11"/>
                <w:szCs w:val="11"/>
                <w:color w:val="auto"/>
              </w:rPr>
              <w:t>Sarita Jairath</w:t>
            </w:r>
          </w:p>
        </w:tc>
        <w:tc>
          <w:tcPr>
            <w:tcW w:w="700" w:type="dxa"/>
            <w:vAlign w:val="bottom"/>
            <w:shd w:val="clear" w:color="auto" w:fill="EDEDED"/>
          </w:tcPr>
          <w:p>
            <w:pPr>
              <w:spacing w:after="0"/>
              <w:rPr>
                <w:sz w:val="5"/>
                <w:szCs w:val="5"/>
                <w:color w:val="auto"/>
              </w:rPr>
            </w:pPr>
          </w:p>
        </w:tc>
        <w:tc>
          <w:tcPr>
            <w:tcW w:w="180" w:type="dxa"/>
            <w:vAlign w:val="bottom"/>
            <w:shd w:val="clear" w:color="auto" w:fill="EDEDED"/>
          </w:tcPr>
          <w:p>
            <w:pPr>
              <w:spacing w:after="0"/>
              <w:rPr>
                <w:sz w:val="5"/>
                <w:szCs w:val="5"/>
                <w:color w:val="auto"/>
              </w:rPr>
            </w:pPr>
          </w:p>
        </w:tc>
        <w:tc>
          <w:tcPr>
            <w:tcW w:w="900" w:type="dxa"/>
            <w:vAlign w:val="bottom"/>
            <w:shd w:val="clear" w:color="auto" w:fill="EDEDED"/>
          </w:tcPr>
          <w:p>
            <w:pPr>
              <w:spacing w:after="0"/>
              <w:rPr>
                <w:sz w:val="5"/>
                <w:szCs w:val="5"/>
                <w:color w:val="auto"/>
              </w:rPr>
            </w:pPr>
          </w:p>
        </w:tc>
        <w:tc>
          <w:tcPr>
            <w:tcW w:w="80" w:type="dxa"/>
            <w:vAlign w:val="bottom"/>
            <w:shd w:val="clear" w:color="auto" w:fill="EDEDED"/>
          </w:tcPr>
          <w:p>
            <w:pPr>
              <w:spacing w:after="0"/>
              <w:rPr>
                <w:sz w:val="5"/>
                <w:szCs w:val="5"/>
                <w:color w:val="auto"/>
              </w:rPr>
            </w:pPr>
          </w:p>
        </w:tc>
        <w:tc>
          <w:tcPr>
            <w:tcW w:w="1300" w:type="dxa"/>
            <w:vAlign w:val="bottom"/>
            <w:shd w:val="clear" w:color="auto" w:fill="EDEDED"/>
          </w:tcPr>
          <w:p>
            <w:pPr>
              <w:spacing w:after="0"/>
              <w:rPr>
                <w:sz w:val="5"/>
                <w:szCs w:val="5"/>
                <w:color w:val="auto"/>
              </w:rPr>
            </w:pPr>
          </w:p>
        </w:tc>
        <w:tc>
          <w:tcPr>
            <w:tcW w:w="300" w:type="dxa"/>
            <w:vAlign w:val="bottom"/>
            <w:shd w:val="clear" w:color="auto" w:fill="EDEDED"/>
          </w:tcPr>
          <w:p>
            <w:pPr>
              <w:spacing w:after="0"/>
              <w:rPr>
                <w:sz w:val="5"/>
                <w:szCs w:val="5"/>
                <w:color w:val="auto"/>
              </w:rPr>
            </w:pPr>
          </w:p>
        </w:tc>
        <w:tc>
          <w:tcPr>
            <w:tcW w:w="920" w:type="dxa"/>
            <w:vAlign w:val="bottom"/>
            <w:shd w:val="clear" w:color="auto" w:fill="EDEDED"/>
          </w:tcPr>
          <w:p>
            <w:pPr>
              <w:spacing w:after="0"/>
              <w:rPr>
                <w:sz w:val="5"/>
                <w:szCs w:val="5"/>
                <w:color w:val="auto"/>
              </w:rPr>
            </w:pPr>
          </w:p>
        </w:tc>
        <w:tc>
          <w:tcPr>
            <w:tcW w:w="1020" w:type="dxa"/>
            <w:vAlign w:val="bottom"/>
            <w:shd w:val="clear" w:color="auto" w:fill="EDEDED"/>
          </w:tcPr>
          <w:p>
            <w:pPr>
              <w:spacing w:after="0"/>
              <w:rPr>
                <w:sz w:val="5"/>
                <w:szCs w:val="5"/>
                <w:color w:val="auto"/>
              </w:rPr>
            </w:pPr>
          </w:p>
        </w:tc>
        <w:tc>
          <w:tcPr>
            <w:tcW w:w="80" w:type="dxa"/>
            <w:vAlign w:val="bottom"/>
            <w:shd w:val="clear" w:color="auto" w:fill="EDEDED"/>
          </w:tcPr>
          <w:p>
            <w:pPr>
              <w:spacing w:after="0"/>
              <w:rPr>
                <w:sz w:val="5"/>
                <w:szCs w:val="5"/>
                <w:color w:val="auto"/>
              </w:rPr>
            </w:pPr>
          </w:p>
        </w:tc>
        <w:tc>
          <w:tcPr>
            <w:tcW w:w="980" w:type="dxa"/>
            <w:vAlign w:val="bottom"/>
            <w:shd w:val="clear" w:color="auto" w:fill="EDEDED"/>
          </w:tcPr>
          <w:p>
            <w:pPr>
              <w:spacing w:after="0"/>
              <w:rPr>
                <w:sz w:val="5"/>
                <w:szCs w:val="5"/>
                <w:color w:val="auto"/>
              </w:rPr>
            </w:pPr>
          </w:p>
        </w:tc>
        <w:tc>
          <w:tcPr>
            <w:tcW w:w="240" w:type="dxa"/>
            <w:vAlign w:val="bottom"/>
            <w:shd w:val="clear" w:color="auto" w:fill="EDEDED"/>
          </w:tcPr>
          <w:p>
            <w:pPr>
              <w:jc w:val="right"/>
              <w:ind w:right="58"/>
              <w:spacing w:after="0" w:line="64" w:lineRule="exact"/>
              <w:rPr>
                <w:sz w:val="20"/>
                <w:szCs w:val="20"/>
                <w:color w:val="auto"/>
              </w:rPr>
            </w:pPr>
            <w:r>
              <w:rPr>
                <w:rFonts w:ascii="Arial" w:cs="Arial" w:eastAsia="Arial" w:hAnsi="Arial"/>
                <w:sz w:val="7"/>
                <w:szCs w:val="7"/>
                <w:color w:val="auto"/>
              </w:rPr>
              <w:t>(3</w:t>
            </w:r>
          </w:p>
        </w:tc>
        <w:tc>
          <w:tcPr>
            <w:tcW w:w="1020" w:type="dxa"/>
            <w:vAlign w:val="bottom"/>
            <w:shd w:val="clear" w:color="auto" w:fill="EDEDED"/>
          </w:tcPr>
          <w:p>
            <w:pPr>
              <w:spacing w:after="0"/>
              <w:rPr>
                <w:sz w:val="5"/>
                <w:szCs w:val="5"/>
                <w:color w:val="auto"/>
              </w:rPr>
            </w:pPr>
          </w:p>
        </w:tc>
        <w:tc>
          <w:tcPr>
            <w:tcW w:w="100" w:type="dxa"/>
            <w:vAlign w:val="bottom"/>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1580" w:type="dxa"/>
            <w:vAlign w:val="bottom"/>
            <w:vMerge w:val="continue"/>
            <w:shd w:val="clear" w:color="auto" w:fill="EDEDED"/>
          </w:tcPr>
          <w:p>
            <w:pPr>
              <w:spacing w:after="0"/>
              <w:rPr>
                <w:sz w:val="6"/>
                <w:szCs w:val="6"/>
                <w:color w:val="auto"/>
              </w:rPr>
            </w:pPr>
          </w:p>
        </w:tc>
        <w:tc>
          <w:tcPr>
            <w:tcW w:w="700" w:type="dxa"/>
            <w:vAlign w:val="bottom"/>
            <w:vMerge w:val="restart"/>
            <w:shd w:val="clear" w:color="auto" w:fill="EDEDED"/>
          </w:tcPr>
          <w:p>
            <w:pPr>
              <w:jc w:val="center"/>
              <w:spacing w:after="0" w:line="122" w:lineRule="exact"/>
              <w:rPr>
                <w:sz w:val="20"/>
                <w:szCs w:val="20"/>
                <w:color w:val="auto"/>
              </w:rPr>
            </w:pPr>
            <w:r>
              <w:rPr>
                <w:rFonts w:ascii="Arial" w:cs="Arial" w:eastAsia="Arial" w:hAnsi="Arial"/>
                <w:sz w:val="11"/>
                <w:szCs w:val="11"/>
                <w:color w:val="auto"/>
                <w:w w:val="97"/>
              </w:rPr>
              <w:t>2/14/2025</w:t>
            </w:r>
          </w:p>
        </w:tc>
        <w:tc>
          <w:tcPr>
            <w:tcW w:w="180" w:type="dxa"/>
            <w:vAlign w:val="bottom"/>
            <w:shd w:val="clear" w:color="auto" w:fill="EDEDED"/>
          </w:tcPr>
          <w:p>
            <w:pPr>
              <w:spacing w:after="0"/>
              <w:rPr>
                <w:sz w:val="6"/>
                <w:szCs w:val="6"/>
                <w:color w:val="auto"/>
              </w:rPr>
            </w:pPr>
          </w:p>
        </w:tc>
        <w:tc>
          <w:tcPr>
            <w:tcW w:w="900" w:type="dxa"/>
            <w:vAlign w:val="bottom"/>
            <w:vMerge w:val="restart"/>
            <w:shd w:val="clear" w:color="auto" w:fill="EDEDED"/>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EDEDED"/>
          </w:tcPr>
          <w:p>
            <w:pPr>
              <w:spacing w:after="0"/>
              <w:rPr>
                <w:sz w:val="6"/>
                <w:szCs w:val="6"/>
                <w:color w:val="auto"/>
              </w:rPr>
            </w:pPr>
          </w:p>
        </w:tc>
        <w:tc>
          <w:tcPr>
            <w:tcW w:w="1300" w:type="dxa"/>
            <w:vAlign w:val="bottom"/>
            <w:vMerge w:val="restart"/>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00" w:type="dxa"/>
            <w:vAlign w:val="bottom"/>
            <w:vMerge w:val="restart"/>
            <w:shd w:val="clear" w:color="auto" w:fill="EDEDED"/>
          </w:tcPr>
          <w:p>
            <w:pPr>
              <w:jc w:val="right"/>
              <w:ind w:right="55"/>
              <w:spacing w:after="0" w:line="122" w:lineRule="exact"/>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EDEDED"/>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020" w:type="dxa"/>
            <w:vAlign w:val="bottom"/>
            <w:vMerge w:val="restart"/>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vMerge w:val="restart"/>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31,115</w:t>
            </w:r>
          </w:p>
        </w:tc>
        <w:tc>
          <w:tcPr>
            <w:tcW w:w="240" w:type="dxa"/>
            <w:vAlign w:val="bottom"/>
            <w:vMerge w:val="restart"/>
            <w:shd w:val="clear" w:color="auto" w:fill="EDEDED"/>
          </w:tcPr>
          <w:p>
            <w:pPr>
              <w:jc w:val="right"/>
              <w:spacing w:after="0" w:line="122" w:lineRule="exact"/>
              <w:rPr>
                <w:sz w:val="20"/>
                <w:szCs w:val="20"/>
                <w:color w:val="auto"/>
              </w:rPr>
            </w:pPr>
            <w:r>
              <w:rPr>
                <w:rFonts w:ascii="Arial" w:cs="Arial" w:eastAsia="Arial" w:hAnsi="Arial"/>
                <w:sz w:val="6"/>
                <w:szCs w:val="6"/>
                <w:color w:val="auto"/>
              </w:rPr>
              <w:t xml:space="preserve">) </w:t>
            </w:r>
            <w:r>
              <w:rPr>
                <w:rFonts w:ascii="Arial" w:cs="Arial" w:eastAsia="Arial" w:hAnsi="Arial"/>
                <w:sz w:val="14"/>
                <w:szCs w:val="14"/>
                <w:color w:val="auto"/>
                <w:vertAlign w:val="subscript"/>
              </w:rPr>
              <w:t>$</w:t>
            </w:r>
          </w:p>
        </w:tc>
        <w:tc>
          <w:tcPr>
            <w:tcW w:w="1020" w:type="dxa"/>
            <w:vAlign w:val="bottom"/>
            <w:vMerge w:val="restart"/>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305,238</w:t>
            </w:r>
          </w:p>
        </w:tc>
        <w:tc>
          <w:tcPr>
            <w:tcW w:w="10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1580" w:type="dxa"/>
            <w:vAlign w:val="bottom"/>
            <w:shd w:val="clear" w:color="auto" w:fill="EDEDED"/>
          </w:tcPr>
          <w:p>
            <w:pPr>
              <w:spacing w:after="0"/>
              <w:rPr>
                <w:sz w:val="3"/>
                <w:szCs w:val="3"/>
                <w:color w:val="auto"/>
              </w:rPr>
            </w:pPr>
          </w:p>
        </w:tc>
        <w:tc>
          <w:tcPr>
            <w:tcW w:w="700" w:type="dxa"/>
            <w:vAlign w:val="bottom"/>
            <w:vMerge w:val="continue"/>
            <w:shd w:val="clear" w:color="auto" w:fill="EDEDED"/>
          </w:tcPr>
          <w:p>
            <w:pPr>
              <w:spacing w:after="0"/>
              <w:rPr>
                <w:sz w:val="3"/>
                <w:szCs w:val="3"/>
                <w:color w:val="auto"/>
              </w:rPr>
            </w:pPr>
          </w:p>
        </w:tc>
        <w:tc>
          <w:tcPr>
            <w:tcW w:w="180" w:type="dxa"/>
            <w:vAlign w:val="bottom"/>
            <w:shd w:val="clear" w:color="auto" w:fill="EDEDED"/>
          </w:tcPr>
          <w:p>
            <w:pPr>
              <w:spacing w:after="0"/>
              <w:rPr>
                <w:sz w:val="3"/>
                <w:szCs w:val="3"/>
                <w:color w:val="auto"/>
              </w:rPr>
            </w:pPr>
          </w:p>
        </w:tc>
        <w:tc>
          <w:tcPr>
            <w:tcW w:w="900" w:type="dxa"/>
            <w:vAlign w:val="bottom"/>
            <w:vMerge w:val="continue"/>
            <w:shd w:val="clear" w:color="auto" w:fill="EDEDED"/>
          </w:tcPr>
          <w:p>
            <w:pPr>
              <w:spacing w:after="0"/>
              <w:rPr>
                <w:sz w:val="3"/>
                <w:szCs w:val="3"/>
                <w:color w:val="auto"/>
              </w:rPr>
            </w:pPr>
          </w:p>
        </w:tc>
        <w:tc>
          <w:tcPr>
            <w:tcW w:w="80" w:type="dxa"/>
            <w:vAlign w:val="bottom"/>
            <w:shd w:val="clear" w:color="auto" w:fill="EDEDED"/>
          </w:tcPr>
          <w:p>
            <w:pPr>
              <w:spacing w:after="0"/>
              <w:rPr>
                <w:sz w:val="3"/>
                <w:szCs w:val="3"/>
                <w:color w:val="auto"/>
              </w:rPr>
            </w:pPr>
          </w:p>
        </w:tc>
        <w:tc>
          <w:tcPr>
            <w:tcW w:w="1300" w:type="dxa"/>
            <w:vAlign w:val="bottom"/>
            <w:vMerge w:val="continue"/>
            <w:shd w:val="clear" w:color="auto" w:fill="EDEDED"/>
          </w:tcPr>
          <w:p>
            <w:pPr>
              <w:spacing w:after="0"/>
              <w:rPr>
                <w:sz w:val="3"/>
                <w:szCs w:val="3"/>
                <w:color w:val="auto"/>
              </w:rPr>
            </w:pPr>
          </w:p>
        </w:tc>
        <w:tc>
          <w:tcPr>
            <w:tcW w:w="300" w:type="dxa"/>
            <w:vAlign w:val="bottom"/>
            <w:vMerge w:val="continue"/>
            <w:shd w:val="clear" w:color="auto" w:fill="EDEDED"/>
          </w:tcPr>
          <w:p>
            <w:pPr>
              <w:spacing w:after="0"/>
              <w:rPr>
                <w:sz w:val="3"/>
                <w:szCs w:val="3"/>
                <w:color w:val="auto"/>
              </w:rPr>
            </w:pPr>
          </w:p>
        </w:tc>
        <w:tc>
          <w:tcPr>
            <w:tcW w:w="920" w:type="dxa"/>
            <w:vAlign w:val="bottom"/>
            <w:vMerge w:val="continue"/>
            <w:shd w:val="clear" w:color="auto" w:fill="EDEDED"/>
          </w:tcPr>
          <w:p>
            <w:pPr>
              <w:spacing w:after="0"/>
              <w:rPr>
                <w:sz w:val="3"/>
                <w:szCs w:val="3"/>
                <w:color w:val="auto"/>
              </w:rPr>
            </w:pPr>
          </w:p>
        </w:tc>
        <w:tc>
          <w:tcPr>
            <w:tcW w:w="1020" w:type="dxa"/>
            <w:vAlign w:val="bottom"/>
            <w:vMerge w:val="continue"/>
            <w:shd w:val="clear" w:color="auto" w:fill="EDEDED"/>
          </w:tcPr>
          <w:p>
            <w:pPr>
              <w:spacing w:after="0"/>
              <w:rPr>
                <w:sz w:val="3"/>
                <w:szCs w:val="3"/>
                <w:color w:val="auto"/>
              </w:rPr>
            </w:pPr>
          </w:p>
        </w:tc>
        <w:tc>
          <w:tcPr>
            <w:tcW w:w="1060" w:type="dxa"/>
            <w:vAlign w:val="bottom"/>
            <w:gridSpan w:val="2"/>
            <w:vMerge w:val="continue"/>
            <w:shd w:val="clear" w:color="auto" w:fill="EDEDED"/>
          </w:tcPr>
          <w:p>
            <w:pPr>
              <w:spacing w:after="0"/>
              <w:rPr>
                <w:sz w:val="3"/>
                <w:szCs w:val="3"/>
                <w:color w:val="auto"/>
              </w:rPr>
            </w:pPr>
          </w:p>
        </w:tc>
        <w:tc>
          <w:tcPr>
            <w:tcW w:w="240" w:type="dxa"/>
            <w:vAlign w:val="bottom"/>
            <w:vMerge w:val="continue"/>
            <w:shd w:val="clear" w:color="auto" w:fill="EDEDED"/>
          </w:tcPr>
          <w:p>
            <w:pPr>
              <w:spacing w:after="0"/>
              <w:rPr>
                <w:sz w:val="3"/>
                <w:szCs w:val="3"/>
                <w:color w:val="auto"/>
              </w:rPr>
            </w:pPr>
          </w:p>
        </w:tc>
        <w:tc>
          <w:tcPr>
            <w:tcW w:w="1020" w:type="dxa"/>
            <w:vAlign w:val="bottom"/>
            <w:vMerge w:val="continue"/>
            <w:shd w:val="clear" w:color="auto" w:fill="EDEDED"/>
          </w:tcPr>
          <w:p>
            <w:pPr>
              <w:spacing w:after="0"/>
              <w:rPr>
                <w:sz w:val="3"/>
                <w:szCs w:val="3"/>
                <w:color w:val="auto"/>
              </w:rPr>
            </w:pPr>
          </w:p>
        </w:tc>
        <w:tc>
          <w:tcPr>
            <w:tcW w:w="100" w:type="dxa"/>
            <w:vAlign w:val="bottom"/>
            <w:shd w:val="clear" w:color="auto" w:fill="EDEDED"/>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580" w:type="dxa"/>
            <w:vAlign w:val="bottom"/>
            <w:shd w:val="clear" w:color="auto" w:fill="EDEDED"/>
          </w:tcPr>
          <w:p>
            <w:pPr>
              <w:spacing w:after="0"/>
              <w:rPr>
                <w:sz w:val="7"/>
                <w:szCs w:val="7"/>
                <w:color w:val="auto"/>
              </w:rPr>
            </w:pPr>
          </w:p>
        </w:tc>
        <w:tc>
          <w:tcPr>
            <w:tcW w:w="700" w:type="dxa"/>
            <w:vAlign w:val="bottom"/>
            <w:shd w:val="clear" w:color="auto" w:fill="EDEDED"/>
          </w:tcPr>
          <w:p>
            <w:pPr>
              <w:spacing w:after="0"/>
              <w:rPr>
                <w:sz w:val="7"/>
                <w:szCs w:val="7"/>
                <w:color w:val="auto"/>
              </w:rPr>
            </w:pPr>
          </w:p>
        </w:tc>
        <w:tc>
          <w:tcPr>
            <w:tcW w:w="180" w:type="dxa"/>
            <w:vAlign w:val="bottom"/>
            <w:shd w:val="clear" w:color="auto" w:fill="EDEDED"/>
          </w:tcPr>
          <w:p>
            <w:pPr>
              <w:spacing w:after="0"/>
              <w:rPr>
                <w:sz w:val="7"/>
                <w:szCs w:val="7"/>
                <w:color w:val="auto"/>
              </w:rPr>
            </w:pPr>
          </w:p>
        </w:tc>
        <w:tc>
          <w:tcPr>
            <w:tcW w:w="900" w:type="dxa"/>
            <w:vAlign w:val="bottom"/>
            <w:shd w:val="clear" w:color="auto" w:fill="EDEDED"/>
          </w:tcPr>
          <w:p>
            <w:pPr>
              <w:spacing w:after="0"/>
              <w:rPr>
                <w:sz w:val="7"/>
                <w:szCs w:val="7"/>
                <w:color w:val="auto"/>
              </w:rPr>
            </w:pPr>
          </w:p>
        </w:tc>
        <w:tc>
          <w:tcPr>
            <w:tcW w:w="80" w:type="dxa"/>
            <w:vAlign w:val="bottom"/>
            <w:shd w:val="clear" w:color="auto" w:fill="EDEDED"/>
          </w:tcPr>
          <w:p>
            <w:pPr>
              <w:spacing w:after="0"/>
              <w:rPr>
                <w:sz w:val="7"/>
                <w:szCs w:val="7"/>
                <w:color w:val="auto"/>
              </w:rPr>
            </w:pPr>
          </w:p>
        </w:tc>
        <w:tc>
          <w:tcPr>
            <w:tcW w:w="1300" w:type="dxa"/>
            <w:vAlign w:val="bottom"/>
            <w:shd w:val="clear" w:color="auto" w:fill="EDEDED"/>
          </w:tcPr>
          <w:p>
            <w:pPr>
              <w:spacing w:after="0"/>
              <w:rPr>
                <w:sz w:val="7"/>
                <w:szCs w:val="7"/>
                <w:color w:val="auto"/>
              </w:rPr>
            </w:pPr>
          </w:p>
        </w:tc>
        <w:tc>
          <w:tcPr>
            <w:tcW w:w="300" w:type="dxa"/>
            <w:vAlign w:val="bottom"/>
            <w:shd w:val="clear" w:color="auto" w:fill="EDEDED"/>
          </w:tcPr>
          <w:p>
            <w:pPr>
              <w:spacing w:after="0"/>
              <w:rPr>
                <w:sz w:val="7"/>
                <w:szCs w:val="7"/>
                <w:color w:val="auto"/>
              </w:rPr>
            </w:pPr>
          </w:p>
        </w:tc>
        <w:tc>
          <w:tcPr>
            <w:tcW w:w="920" w:type="dxa"/>
            <w:vAlign w:val="bottom"/>
            <w:shd w:val="clear" w:color="auto" w:fill="EDEDED"/>
          </w:tcPr>
          <w:p>
            <w:pPr>
              <w:spacing w:after="0"/>
              <w:rPr>
                <w:sz w:val="7"/>
                <w:szCs w:val="7"/>
                <w:color w:val="auto"/>
              </w:rPr>
            </w:pPr>
          </w:p>
        </w:tc>
        <w:tc>
          <w:tcPr>
            <w:tcW w:w="1020" w:type="dxa"/>
            <w:vAlign w:val="bottom"/>
            <w:shd w:val="clear" w:color="auto" w:fill="EDEDED"/>
          </w:tcPr>
          <w:p>
            <w:pPr>
              <w:spacing w:after="0"/>
              <w:rPr>
                <w:sz w:val="7"/>
                <w:szCs w:val="7"/>
                <w:color w:val="auto"/>
              </w:rPr>
            </w:pPr>
          </w:p>
        </w:tc>
        <w:tc>
          <w:tcPr>
            <w:tcW w:w="8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240" w:type="dxa"/>
            <w:vAlign w:val="bottom"/>
            <w:shd w:val="clear" w:color="auto" w:fill="EDEDED"/>
          </w:tcPr>
          <w:p>
            <w:pPr>
              <w:jc w:val="right"/>
              <w:ind w:right="58"/>
              <w:spacing w:after="0"/>
              <w:rPr>
                <w:sz w:val="20"/>
                <w:szCs w:val="20"/>
                <w:color w:val="auto"/>
              </w:rPr>
            </w:pPr>
            <w:r>
              <w:rPr>
                <w:rFonts w:ascii="Arial" w:cs="Arial" w:eastAsia="Arial" w:hAnsi="Arial"/>
                <w:sz w:val="7"/>
                <w:szCs w:val="7"/>
                <w:color w:val="auto"/>
              </w:rPr>
              <w:t>(3</w:t>
            </w:r>
          </w:p>
        </w:tc>
        <w:tc>
          <w:tcPr>
            <w:tcW w:w="1020" w:type="dxa"/>
            <w:vAlign w:val="bottom"/>
            <w:shd w:val="clear" w:color="auto" w:fill="EDEDED"/>
          </w:tcPr>
          <w:p>
            <w:pPr>
              <w:spacing w:after="0"/>
              <w:rPr>
                <w:sz w:val="7"/>
                <w:szCs w:val="7"/>
                <w:color w:val="auto"/>
              </w:rPr>
            </w:pPr>
          </w:p>
        </w:tc>
        <w:tc>
          <w:tcPr>
            <w:tcW w:w="10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580" w:type="dxa"/>
            <w:vAlign w:val="bottom"/>
            <w:shd w:val="clear" w:color="auto" w:fill="EDEDED"/>
          </w:tcPr>
          <w:p>
            <w:pPr>
              <w:spacing w:after="0"/>
              <w:rPr>
                <w:sz w:val="10"/>
                <w:szCs w:val="10"/>
                <w:color w:val="auto"/>
              </w:rPr>
            </w:pPr>
          </w:p>
        </w:tc>
        <w:tc>
          <w:tcPr>
            <w:tcW w:w="700" w:type="dxa"/>
            <w:vAlign w:val="bottom"/>
            <w:shd w:val="clear" w:color="auto" w:fill="EDEDED"/>
          </w:tcPr>
          <w:p>
            <w:pPr>
              <w:jc w:val="center"/>
              <w:spacing w:after="0" w:line="122" w:lineRule="exact"/>
              <w:rPr>
                <w:sz w:val="20"/>
                <w:szCs w:val="20"/>
                <w:color w:val="auto"/>
              </w:rPr>
            </w:pPr>
            <w:r>
              <w:rPr>
                <w:rFonts w:ascii="Arial" w:cs="Arial" w:eastAsia="Arial" w:hAnsi="Arial"/>
                <w:sz w:val="11"/>
                <w:szCs w:val="11"/>
                <w:color w:val="auto"/>
                <w:w w:val="97"/>
              </w:rPr>
              <w:t>2/14/2025</w:t>
            </w:r>
          </w:p>
        </w:tc>
        <w:tc>
          <w:tcPr>
            <w:tcW w:w="180" w:type="dxa"/>
            <w:vAlign w:val="bottom"/>
            <w:shd w:val="clear" w:color="auto" w:fill="EDEDED"/>
          </w:tcPr>
          <w:p>
            <w:pPr>
              <w:spacing w:after="0"/>
              <w:rPr>
                <w:sz w:val="10"/>
                <w:szCs w:val="10"/>
                <w:color w:val="auto"/>
              </w:rPr>
            </w:pPr>
          </w:p>
        </w:tc>
        <w:tc>
          <w:tcPr>
            <w:tcW w:w="900" w:type="dxa"/>
            <w:vAlign w:val="bottom"/>
            <w:shd w:val="clear" w:color="auto" w:fill="EDEDED"/>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EDEDED"/>
          </w:tcPr>
          <w:p>
            <w:pPr>
              <w:spacing w:after="0"/>
              <w:rPr>
                <w:sz w:val="10"/>
                <w:szCs w:val="10"/>
                <w:color w:val="auto"/>
              </w:rPr>
            </w:pPr>
          </w:p>
        </w:tc>
        <w:tc>
          <w:tcPr>
            <w:tcW w:w="1300" w:type="dxa"/>
            <w:vAlign w:val="bottom"/>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00" w:type="dxa"/>
            <w:vAlign w:val="bottom"/>
            <w:shd w:val="clear" w:color="auto" w:fill="EDEDED"/>
          </w:tcPr>
          <w:p>
            <w:pPr>
              <w:jc w:val="right"/>
              <w:ind w:right="55"/>
              <w:spacing w:after="0" w:line="122" w:lineRule="exact"/>
              <w:rPr>
                <w:sz w:val="20"/>
                <w:szCs w:val="20"/>
                <w:color w:val="auto"/>
              </w:rPr>
            </w:pPr>
            <w:r>
              <w:rPr>
                <w:rFonts w:ascii="Arial" w:cs="Arial" w:eastAsia="Arial" w:hAnsi="Arial"/>
                <w:sz w:val="11"/>
                <w:szCs w:val="11"/>
                <w:color w:val="auto"/>
              </w:rPr>
              <w:t>$</w:t>
            </w:r>
          </w:p>
        </w:tc>
        <w:tc>
          <w:tcPr>
            <w:tcW w:w="920" w:type="dxa"/>
            <w:vAlign w:val="bottom"/>
            <w:shd w:val="clear" w:color="auto" w:fill="EDEDED"/>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EDEDED"/>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EDEDED"/>
          </w:tcPr>
          <w:p>
            <w:pPr>
              <w:jc w:val="right"/>
              <w:ind w:right="6"/>
              <w:spacing w:after="0" w:line="122" w:lineRule="exact"/>
              <w:rPr>
                <w:sz w:val="20"/>
                <w:szCs w:val="20"/>
                <w:color w:val="auto"/>
              </w:rPr>
            </w:pPr>
            <w:r>
              <w:rPr>
                <w:rFonts w:ascii="Arial" w:cs="Arial" w:eastAsia="Arial" w:hAnsi="Arial"/>
                <w:sz w:val="11"/>
                <w:szCs w:val="11"/>
                <w:color w:val="auto"/>
              </w:rPr>
              <w:t>9,120</w:t>
            </w:r>
          </w:p>
        </w:tc>
        <w:tc>
          <w:tcPr>
            <w:tcW w:w="240" w:type="dxa"/>
            <w:vAlign w:val="bottom"/>
            <w:shd w:val="clear" w:color="auto" w:fill="EDEDED"/>
          </w:tcPr>
          <w:p>
            <w:pPr>
              <w:jc w:val="right"/>
              <w:spacing w:after="0" w:line="122" w:lineRule="exact"/>
              <w:rPr>
                <w:sz w:val="20"/>
                <w:szCs w:val="20"/>
                <w:color w:val="auto"/>
              </w:rPr>
            </w:pPr>
            <w:r>
              <w:rPr>
                <w:rFonts w:ascii="Arial" w:cs="Arial" w:eastAsia="Arial" w:hAnsi="Arial"/>
                <w:sz w:val="6"/>
                <w:szCs w:val="6"/>
                <w:color w:val="auto"/>
              </w:rPr>
              <w:t xml:space="preserve">) </w:t>
            </w:r>
            <w:r>
              <w:rPr>
                <w:rFonts w:ascii="Arial" w:cs="Arial" w:eastAsia="Arial" w:hAnsi="Arial"/>
                <w:sz w:val="14"/>
                <w:szCs w:val="14"/>
                <w:color w:val="auto"/>
                <w:vertAlign w:val="subscript"/>
              </w:rPr>
              <w:t>$</w:t>
            </w:r>
          </w:p>
        </w:tc>
        <w:tc>
          <w:tcPr>
            <w:tcW w:w="1020" w:type="dxa"/>
            <w:vAlign w:val="bottom"/>
            <w:shd w:val="clear" w:color="auto" w:fill="EDEDED"/>
          </w:tcPr>
          <w:p>
            <w:pPr>
              <w:jc w:val="right"/>
              <w:ind w:right="46"/>
              <w:spacing w:after="0" w:line="122" w:lineRule="exact"/>
              <w:rPr>
                <w:sz w:val="20"/>
                <w:szCs w:val="20"/>
                <w:color w:val="auto"/>
              </w:rPr>
            </w:pPr>
            <w:r>
              <w:rPr>
                <w:rFonts w:ascii="Arial" w:cs="Arial" w:eastAsia="Arial" w:hAnsi="Arial"/>
                <w:sz w:val="11"/>
                <w:szCs w:val="11"/>
                <w:color w:val="auto"/>
              </w:rPr>
              <w:t>89,467</w:t>
            </w:r>
          </w:p>
        </w:tc>
        <w:tc>
          <w:tcPr>
            <w:tcW w:w="10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580" w:type="dxa"/>
            <w:vAlign w:val="bottom"/>
            <w:shd w:val="clear" w:color="auto" w:fill="EDEDED"/>
          </w:tcPr>
          <w:p>
            <w:pPr>
              <w:spacing w:after="0"/>
              <w:rPr>
                <w:sz w:val="7"/>
                <w:szCs w:val="7"/>
                <w:color w:val="auto"/>
              </w:rPr>
            </w:pPr>
          </w:p>
        </w:tc>
        <w:tc>
          <w:tcPr>
            <w:tcW w:w="700" w:type="dxa"/>
            <w:vAlign w:val="bottom"/>
            <w:shd w:val="clear" w:color="auto" w:fill="EDEDED"/>
          </w:tcPr>
          <w:p>
            <w:pPr>
              <w:spacing w:after="0"/>
              <w:rPr>
                <w:sz w:val="7"/>
                <w:szCs w:val="7"/>
                <w:color w:val="auto"/>
              </w:rPr>
            </w:pPr>
          </w:p>
        </w:tc>
        <w:tc>
          <w:tcPr>
            <w:tcW w:w="180" w:type="dxa"/>
            <w:vAlign w:val="bottom"/>
            <w:shd w:val="clear" w:color="auto" w:fill="EDEDED"/>
          </w:tcPr>
          <w:p>
            <w:pPr>
              <w:spacing w:after="0"/>
              <w:rPr>
                <w:sz w:val="7"/>
                <w:szCs w:val="7"/>
                <w:color w:val="auto"/>
              </w:rPr>
            </w:pPr>
          </w:p>
        </w:tc>
        <w:tc>
          <w:tcPr>
            <w:tcW w:w="900" w:type="dxa"/>
            <w:vAlign w:val="bottom"/>
            <w:shd w:val="clear" w:color="auto" w:fill="EDEDED"/>
          </w:tcPr>
          <w:p>
            <w:pPr>
              <w:spacing w:after="0"/>
              <w:rPr>
                <w:sz w:val="7"/>
                <w:szCs w:val="7"/>
                <w:color w:val="auto"/>
              </w:rPr>
            </w:pPr>
          </w:p>
        </w:tc>
        <w:tc>
          <w:tcPr>
            <w:tcW w:w="80" w:type="dxa"/>
            <w:vAlign w:val="bottom"/>
            <w:shd w:val="clear" w:color="auto" w:fill="EDEDED"/>
          </w:tcPr>
          <w:p>
            <w:pPr>
              <w:spacing w:after="0"/>
              <w:rPr>
                <w:sz w:val="7"/>
                <w:szCs w:val="7"/>
                <w:color w:val="auto"/>
              </w:rPr>
            </w:pPr>
          </w:p>
        </w:tc>
        <w:tc>
          <w:tcPr>
            <w:tcW w:w="1300" w:type="dxa"/>
            <w:vAlign w:val="bottom"/>
            <w:shd w:val="clear" w:color="auto" w:fill="EDEDED"/>
          </w:tcPr>
          <w:p>
            <w:pPr>
              <w:spacing w:after="0"/>
              <w:rPr>
                <w:sz w:val="7"/>
                <w:szCs w:val="7"/>
                <w:color w:val="auto"/>
              </w:rPr>
            </w:pPr>
          </w:p>
        </w:tc>
        <w:tc>
          <w:tcPr>
            <w:tcW w:w="300" w:type="dxa"/>
            <w:vAlign w:val="bottom"/>
            <w:shd w:val="clear" w:color="auto" w:fill="EDEDED"/>
          </w:tcPr>
          <w:p>
            <w:pPr>
              <w:spacing w:after="0"/>
              <w:rPr>
                <w:sz w:val="7"/>
                <w:szCs w:val="7"/>
                <w:color w:val="auto"/>
              </w:rPr>
            </w:pPr>
          </w:p>
        </w:tc>
        <w:tc>
          <w:tcPr>
            <w:tcW w:w="920" w:type="dxa"/>
            <w:vAlign w:val="bottom"/>
            <w:shd w:val="clear" w:color="auto" w:fill="EDEDED"/>
          </w:tcPr>
          <w:p>
            <w:pPr>
              <w:spacing w:after="0"/>
              <w:rPr>
                <w:sz w:val="7"/>
                <w:szCs w:val="7"/>
                <w:color w:val="auto"/>
              </w:rPr>
            </w:pPr>
          </w:p>
        </w:tc>
        <w:tc>
          <w:tcPr>
            <w:tcW w:w="1020" w:type="dxa"/>
            <w:vAlign w:val="bottom"/>
            <w:shd w:val="clear" w:color="auto" w:fill="EDEDED"/>
          </w:tcPr>
          <w:p>
            <w:pPr>
              <w:spacing w:after="0"/>
              <w:rPr>
                <w:sz w:val="7"/>
                <w:szCs w:val="7"/>
                <w:color w:val="auto"/>
              </w:rPr>
            </w:pPr>
          </w:p>
        </w:tc>
        <w:tc>
          <w:tcPr>
            <w:tcW w:w="80" w:type="dxa"/>
            <w:vAlign w:val="bottom"/>
            <w:shd w:val="clear" w:color="auto" w:fill="EDEDED"/>
          </w:tcPr>
          <w:p>
            <w:pPr>
              <w:spacing w:after="0"/>
              <w:rPr>
                <w:sz w:val="7"/>
                <w:szCs w:val="7"/>
                <w:color w:val="auto"/>
              </w:rPr>
            </w:pPr>
          </w:p>
        </w:tc>
        <w:tc>
          <w:tcPr>
            <w:tcW w:w="980" w:type="dxa"/>
            <w:vAlign w:val="bottom"/>
            <w:shd w:val="clear" w:color="auto" w:fill="EDEDED"/>
          </w:tcPr>
          <w:p>
            <w:pPr>
              <w:spacing w:after="0"/>
              <w:rPr>
                <w:sz w:val="7"/>
                <w:szCs w:val="7"/>
                <w:color w:val="auto"/>
              </w:rPr>
            </w:pPr>
          </w:p>
        </w:tc>
        <w:tc>
          <w:tcPr>
            <w:tcW w:w="240" w:type="dxa"/>
            <w:vAlign w:val="bottom"/>
            <w:shd w:val="clear" w:color="auto" w:fill="EDEDED"/>
          </w:tcPr>
          <w:p>
            <w:pPr>
              <w:jc w:val="right"/>
              <w:ind w:right="58"/>
              <w:spacing w:after="0"/>
              <w:rPr>
                <w:sz w:val="20"/>
                <w:szCs w:val="20"/>
                <w:color w:val="auto"/>
              </w:rPr>
            </w:pPr>
            <w:r>
              <w:rPr>
                <w:rFonts w:ascii="Arial" w:cs="Arial" w:eastAsia="Arial" w:hAnsi="Arial"/>
                <w:sz w:val="7"/>
                <w:szCs w:val="7"/>
                <w:color w:val="auto"/>
              </w:rPr>
              <w:t>(7</w:t>
            </w:r>
          </w:p>
        </w:tc>
        <w:tc>
          <w:tcPr>
            <w:tcW w:w="1020" w:type="dxa"/>
            <w:vAlign w:val="bottom"/>
            <w:shd w:val="clear" w:color="auto" w:fill="EDEDED"/>
          </w:tcPr>
          <w:p>
            <w:pPr>
              <w:spacing w:after="0"/>
              <w:rPr>
                <w:sz w:val="7"/>
                <w:szCs w:val="7"/>
                <w:color w:val="auto"/>
              </w:rPr>
            </w:pPr>
          </w:p>
        </w:tc>
        <w:tc>
          <w:tcPr>
            <w:tcW w:w="10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580" w:type="dxa"/>
            <w:vAlign w:val="bottom"/>
            <w:tcBorders>
              <w:bottom w:val="single" w:sz="8" w:color="EDEDED"/>
            </w:tcBorders>
            <w:shd w:val="clear" w:color="auto" w:fill="EDEDED"/>
          </w:tcPr>
          <w:p>
            <w:pPr>
              <w:spacing w:after="0"/>
              <w:rPr>
                <w:sz w:val="10"/>
                <w:szCs w:val="10"/>
                <w:color w:val="auto"/>
              </w:rPr>
            </w:pPr>
          </w:p>
        </w:tc>
        <w:tc>
          <w:tcPr>
            <w:tcW w:w="700" w:type="dxa"/>
            <w:vAlign w:val="bottom"/>
            <w:tcBorders>
              <w:bottom w:val="single" w:sz="8" w:color="EDEDED"/>
            </w:tcBorders>
            <w:shd w:val="clear" w:color="auto" w:fill="EDEDED"/>
          </w:tcPr>
          <w:p>
            <w:pPr>
              <w:jc w:val="center"/>
              <w:spacing w:after="0" w:line="119" w:lineRule="exact"/>
              <w:rPr>
                <w:sz w:val="20"/>
                <w:szCs w:val="20"/>
                <w:color w:val="auto"/>
              </w:rPr>
            </w:pPr>
            <w:r>
              <w:rPr>
                <w:rFonts w:ascii="Arial" w:cs="Arial" w:eastAsia="Arial" w:hAnsi="Arial"/>
                <w:sz w:val="11"/>
                <w:szCs w:val="11"/>
                <w:color w:val="auto"/>
                <w:w w:val="97"/>
              </w:rPr>
              <w:t>9/16/2024</w:t>
            </w:r>
          </w:p>
        </w:tc>
        <w:tc>
          <w:tcPr>
            <w:tcW w:w="180" w:type="dxa"/>
            <w:vAlign w:val="bottom"/>
            <w:tcBorders>
              <w:bottom w:val="single" w:sz="8" w:color="EDEDED"/>
            </w:tcBorders>
            <w:shd w:val="clear" w:color="auto" w:fill="EDEDED"/>
          </w:tcPr>
          <w:p>
            <w:pPr>
              <w:spacing w:after="0"/>
              <w:rPr>
                <w:sz w:val="10"/>
                <w:szCs w:val="10"/>
                <w:color w:val="auto"/>
              </w:rPr>
            </w:pPr>
          </w:p>
        </w:tc>
        <w:tc>
          <w:tcPr>
            <w:tcW w:w="900" w:type="dxa"/>
            <w:vAlign w:val="bottom"/>
            <w:tcBorders>
              <w:bottom w:val="single" w:sz="8" w:color="EDEDED"/>
            </w:tcBorders>
            <w:shd w:val="clear" w:color="auto" w:fill="EDEDED"/>
          </w:tcPr>
          <w:p>
            <w:pPr>
              <w:jc w:val="right"/>
              <w:spacing w:after="0" w:line="119"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EDEDED"/>
            </w:tcBorders>
            <w:shd w:val="clear" w:color="auto" w:fill="EDEDED"/>
          </w:tcPr>
          <w:p>
            <w:pPr>
              <w:spacing w:after="0"/>
              <w:rPr>
                <w:sz w:val="10"/>
                <w:szCs w:val="10"/>
                <w:color w:val="auto"/>
              </w:rPr>
            </w:pPr>
          </w:p>
        </w:tc>
        <w:tc>
          <w:tcPr>
            <w:tcW w:w="1300" w:type="dxa"/>
            <w:vAlign w:val="bottom"/>
            <w:tcBorders>
              <w:bottom w:val="single" w:sz="8" w:color="EDEDED"/>
            </w:tcBorders>
            <w:shd w:val="clear" w:color="auto" w:fill="EDEDED"/>
          </w:tcPr>
          <w:p>
            <w:pPr>
              <w:jc w:val="right"/>
              <w:ind w:right="6"/>
              <w:spacing w:after="0" w:line="119" w:lineRule="exact"/>
              <w:rPr>
                <w:sz w:val="20"/>
                <w:szCs w:val="20"/>
                <w:color w:val="auto"/>
              </w:rPr>
            </w:pPr>
            <w:r>
              <w:rPr>
                <w:rFonts w:ascii="Arial" w:cs="Arial" w:eastAsia="Arial" w:hAnsi="Arial"/>
                <w:sz w:val="11"/>
                <w:szCs w:val="11"/>
                <w:color w:val="auto"/>
              </w:rPr>
              <w:t>—</w:t>
            </w:r>
          </w:p>
        </w:tc>
        <w:tc>
          <w:tcPr>
            <w:tcW w:w="300" w:type="dxa"/>
            <w:vAlign w:val="bottom"/>
            <w:tcBorders>
              <w:bottom w:val="single" w:sz="8" w:color="EDEDED"/>
            </w:tcBorders>
            <w:shd w:val="clear" w:color="auto" w:fill="EDEDED"/>
          </w:tcPr>
          <w:p>
            <w:pPr>
              <w:jc w:val="right"/>
              <w:ind w:right="55"/>
              <w:spacing w:after="0" w:line="119" w:lineRule="exact"/>
              <w:rPr>
                <w:sz w:val="20"/>
                <w:szCs w:val="20"/>
                <w:color w:val="auto"/>
              </w:rPr>
            </w:pPr>
            <w:r>
              <w:rPr>
                <w:rFonts w:ascii="Arial" w:cs="Arial" w:eastAsia="Arial" w:hAnsi="Arial"/>
                <w:sz w:val="11"/>
                <w:szCs w:val="11"/>
                <w:color w:val="auto"/>
              </w:rPr>
              <w:t>$</w:t>
            </w:r>
          </w:p>
        </w:tc>
        <w:tc>
          <w:tcPr>
            <w:tcW w:w="920" w:type="dxa"/>
            <w:vAlign w:val="bottom"/>
            <w:tcBorders>
              <w:bottom w:val="single" w:sz="8" w:color="EDEDED"/>
            </w:tcBorders>
            <w:shd w:val="clear" w:color="auto" w:fill="EDEDED"/>
          </w:tcPr>
          <w:p>
            <w:pPr>
              <w:jc w:val="right"/>
              <w:ind w:right="146"/>
              <w:spacing w:after="0" w:line="119" w:lineRule="exact"/>
              <w:rPr>
                <w:sz w:val="20"/>
                <w:szCs w:val="20"/>
                <w:color w:val="auto"/>
              </w:rPr>
            </w:pPr>
            <w:r>
              <w:rPr>
                <w:rFonts w:ascii="Arial" w:cs="Arial" w:eastAsia="Arial" w:hAnsi="Arial"/>
                <w:sz w:val="11"/>
                <w:szCs w:val="11"/>
                <w:color w:val="auto"/>
              </w:rPr>
              <w:t>—</w:t>
            </w:r>
          </w:p>
        </w:tc>
        <w:tc>
          <w:tcPr>
            <w:tcW w:w="1020" w:type="dxa"/>
            <w:vAlign w:val="bottom"/>
            <w:tcBorders>
              <w:bottom w:val="single" w:sz="8" w:color="EDEDED"/>
            </w:tcBorders>
            <w:shd w:val="clear" w:color="auto" w:fill="EDEDED"/>
          </w:tcPr>
          <w:p>
            <w:pPr>
              <w:jc w:val="right"/>
              <w:ind w:right="66"/>
              <w:spacing w:after="0" w:line="119" w:lineRule="exact"/>
              <w:rPr>
                <w:sz w:val="20"/>
                <w:szCs w:val="20"/>
                <w:color w:val="auto"/>
              </w:rPr>
            </w:pPr>
            <w:r>
              <w:rPr>
                <w:rFonts w:ascii="Arial" w:cs="Arial" w:eastAsia="Arial" w:hAnsi="Arial"/>
                <w:sz w:val="11"/>
                <w:szCs w:val="11"/>
                <w:color w:val="auto"/>
              </w:rPr>
              <w:t>—</w:t>
            </w:r>
          </w:p>
        </w:tc>
        <w:tc>
          <w:tcPr>
            <w:tcW w:w="1060" w:type="dxa"/>
            <w:vAlign w:val="bottom"/>
            <w:tcBorders>
              <w:bottom w:val="single" w:sz="8" w:color="EDEDED"/>
            </w:tcBorders>
            <w:gridSpan w:val="2"/>
            <w:shd w:val="clear" w:color="auto" w:fill="EDEDED"/>
          </w:tcPr>
          <w:p>
            <w:pPr>
              <w:jc w:val="right"/>
              <w:ind w:right="6"/>
              <w:spacing w:after="0" w:line="119" w:lineRule="exact"/>
              <w:rPr>
                <w:sz w:val="20"/>
                <w:szCs w:val="20"/>
                <w:color w:val="auto"/>
              </w:rPr>
            </w:pPr>
            <w:r>
              <w:rPr>
                <w:rFonts w:ascii="Arial" w:cs="Arial" w:eastAsia="Arial" w:hAnsi="Arial"/>
                <w:sz w:val="11"/>
                <w:szCs w:val="11"/>
                <w:color w:val="auto"/>
              </w:rPr>
              <w:t>40,942</w:t>
            </w:r>
          </w:p>
        </w:tc>
        <w:tc>
          <w:tcPr>
            <w:tcW w:w="240" w:type="dxa"/>
            <w:vAlign w:val="bottom"/>
            <w:tcBorders>
              <w:bottom w:val="single" w:sz="8" w:color="EDEDED"/>
            </w:tcBorders>
            <w:shd w:val="clear" w:color="auto" w:fill="EDEDED"/>
          </w:tcPr>
          <w:p>
            <w:pPr>
              <w:jc w:val="right"/>
              <w:ind w:right="58"/>
              <w:spacing w:after="0"/>
              <w:rPr>
                <w:sz w:val="20"/>
                <w:szCs w:val="20"/>
                <w:color w:val="auto"/>
              </w:rPr>
            </w:pPr>
            <w:r>
              <w:rPr>
                <w:rFonts w:ascii="Arial" w:cs="Arial" w:eastAsia="Arial" w:hAnsi="Arial"/>
                <w:sz w:val="7"/>
                <w:szCs w:val="7"/>
                <w:color w:val="auto"/>
              </w:rPr>
              <w:t>)</w:t>
            </w:r>
          </w:p>
        </w:tc>
        <w:tc>
          <w:tcPr>
            <w:tcW w:w="1020" w:type="dxa"/>
            <w:vAlign w:val="bottom"/>
            <w:tcBorders>
              <w:bottom w:val="single" w:sz="8" w:color="EDEDED"/>
            </w:tcBorders>
            <w:shd w:val="clear" w:color="auto" w:fill="EDEDED"/>
          </w:tcPr>
          <w:p>
            <w:pPr>
              <w:jc w:val="right"/>
              <w:ind w:right="46"/>
              <w:spacing w:after="0" w:line="119" w:lineRule="exact"/>
              <w:rPr>
                <w:sz w:val="20"/>
                <w:szCs w:val="20"/>
                <w:color w:val="auto"/>
              </w:rPr>
            </w:pPr>
            <w:r>
              <w:rPr>
                <w:rFonts w:ascii="Arial" w:cs="Arial" w:eastAsia="Arial" w:hAnsi="Arial"/>
                <w:sz w:val="11"/>
                <w:szCs w:val="11"/>
                <w:color w:val="auto"/>
              </w:rPr>
              <w:t>401,641</w:t>
            </w:r>
          </w:p>
        </w:tc>
        <w:tc>
          <w:tcPr>
            <w:tcW w:w="100" w:type="dxa"/>
            <w:vAlign w:val="bottom"/>
            <w:tcBorders>
              <w:bottom w:val="single" w:sz="8" w:color="EDEDED"/>
            </w:tcBorders>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580" w:type="dxa"/>
            <w:vAlign w:val="bottom"/>
            <w:vMerge w:val="restart"/>
          </w:tcPr>
          <w:p>
            <w:pPr>
              <w:ind w:left="80"/>
              <w:spacing w:after="0"/>
              <w:rPr>
                <w:sz w:val="20"/>
                <w:szCs w:val="20"/>
                <w:color w:val="auto"/>
              </w:rPr>
            </w:pPr>
            <w:r>
              <w:rPr>
                <w:rFonts w:ascii="Arial" w:cs="Arial" w:eastAsia="Arial" w:hAnsi="Arial"/>
                <w:sz w:val="11"/>
                <w:szCs w:val="11"/>
                <w:color w:val="auto"/>
              </w:rPr>
              <w:t>Richard J. (Arjay) Jensen</w:t>
            </w: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00" w:type="dxa"/>
            <w:vAlign w:val="bottom"/>
          </w:tcPr>
          <w:p>
            <w:pPr>
              <w:jc w:val="right"/>
              <w:ind w:right="135"/>
              <w:spacing w:after="0" w:line="64" w:lineRule="exact"/>
              <w:rPr>
                <w:sz w:val="20"/>
                <w:szCs w:val="20"/>
                <w:color w:val="auto"/>
              </w:rPr>
            </w:pPr>
            <w:r>
              <w:rPr>
                <w:rFonts w:ascii="Arial" w:cs="Arial" w:eastAsia="Arial" w:hAnsi="Arial"/>
                <w:sz w:val="7"/>
                <w:szCs w:val="7"/>
                <w:color w:val="auto"/>
              </w:rPr>
              <w:t>(5</w:t>
            </w:r>
          </w:p>
        </w:tc>
        <w:tc>
          <w:tcPr>
            <w:tcW w:w="9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1580" w:type="dxa"/>
            <w:vAlign w:val="bottom"/>
            <w:vMerge w:val="continue"/>
          </w:tcPr>
          <w:p>
            <w:pPr>
              <w:spacing w:after="0"/>
              <w:rPr>
                <w:sz w:val="6"/>
                <w:szCs w:val="6"/>
                <w:color w:val="auto"/>
              </w:rPr>
            </w:pPr>
          </w:p>
        </w:tc>
        <w:tc>
          <w:tcPr>
            <w:tcW w:w="700" w:type="dxa"/>
            <w:vAlign w:val="bottom"/>
            <w:vMerge w:val="restart"/>
          </w:tcPr>
          <w:p>
            <w:pPr>
              <w:jc w:val="center"/>
              <w:spacing w:after="0" w:line="122" w:lineRule="exact"/>
              <w:rPr>
                <w:sz w:val="20"/>
                <w:szCs w:val="20"/>
                <w:color w:val="auto"/>
              </w:rPr>
            </w:pPr>
            <w:r>
              <w:rPr>
                <w:rFonts w:ascii="Arial" w:cs="Arial" w:eastAsia="Arial" w:hAnsi="Arial"/>
                <w:sz w:val="11"/>
                <w:szCs w:val="11"/>
                <w:color w:val="auto"/>
                <w:w w:val="97"/>
              </w:rPr>
              <w:t>2/14/2025</w:t>
            </w:r>
          </w:p>
        </w:tc>
        <w:tc>
          <w:tcPr>
            <w:tcW w:w="180" w:type="dxa"/>
            <w:vAlign w:val="bottom"/>
          </w:tcPr>
          <w:p>
            <w:pPr>
              <w:spacing w:after="0"/>
              <w:rPr>
                <w:sz w:val="6"/>
                <w:szCs w:val="6"/>
                <w:color w:val="auto"/>
              </w:rPr>
            </w:pPr>
          </w:p>
        </w:tc>
        <w:tc>
          <w:tcPr>
            <w:tcW w:w="90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w:t>
            </w:r>
          </w:p>
        </w:tc>
        <w:tc>
          <w:tcPr>
            <w:tcW w:w="1380" w:type="dxa"/>
            <w:vAlign w:val="bottom"/>
            <w:gridSpan w:val="2"/>
            <w:vMerge w:val="restart"/>
          </w:tcPr>
          <w:p>
            <w:pPr>
              <w:jc w:val="right"/>
              <w:ind w:right="6"/>
              <w:spacing w:after="0" w:line="122" w:lineRule="exact"/>
              <w:rPr>
                <w:sz w:val="20"/>
                <w:szCs w:val="20"/>
                <w:color w:val="auto"/>
              </w:rPr>
            </w:pPr>
            <w:r>
              <w:rPr>
                <w:rFonts w:ascii="Arial" w:cs="Arial" w:eastAsia="Arial" w:hAnsi="Arial"/>
                <w:sz w:val="11"/>
                <w:szCs w:val="11"/>
                <w:color w:val="auto"/>
              </w:rPr>
              <w:t>17,953</w:t>
            </w:r>
          </w:p>
        </w:tc>
        <w:tc>
          <w:tcPr>
            <w:tcW w:w="300" w:type="dxa"/>
            <w:vAlign w:val="bottom"/>
            <w:vMerge w:val="restart"/>
          </w:tcPr>
          <w:p>
            <w:pPr>
              <w:jc w:val="right"/>
              <w:ind w:right="55"/>
              <w:spacing w:after="0" w:line="122" w:lineRule="exact"/>
              <w:rPr>
                <w:sz w:val="20"/>
                <w:szCs w:val="20"/>
                <w:color w:val="auto"/>
              </w:rPr>
            </w:pPr>
            <w:r>
              <w:rPr>
                <w:rFonts w:ascii="Arial" w:cs="Arial" w:eastAsia="Arial" w:hAnsi="Arial"/>
                <w:sz w:val="6"/>
                <w:szCs w:val="6"/>
                <w:color w:val="auto"/>
              </w:rPr>
              <w:t xml:space="preserve">) </w:t>
            </w:r>
            <w:r>
              <w:rPr>
                <w:rFonts w:ascii="Arial" w:cs="Arial" w:eastAsia="Arial" w:hAnsi="Arial"/>
                <w:sz w:val="14"/>
                <w:szCs w:val="14"/>
                <w:color w:val="auto"/>
                <w:vertAlign w:val="subscript"/>
              </w:rPr>
              <w:t>$</w:t>
            </w:r>
          </w:p>
        </w:tc>
        <w:tc>
          <w:tcPr>
            <w:tcW w:w="920" w:type="dxa"/>
            <w:vAlign w:val="bottom"/>
            <w:vMerge w:val="restart"/>
          </w:tcPr>
          <w:p>
            <w:pPr>
              <w:jc w:val="right"/>
              <w:ind w:right="146"/>
              <w:spacing w:after="0" w:line="122" w:lineRule="exact"/>
              <w:rPr>
                <w:sz w:val="20"/>
                <w:szCs w:val="20"/>
                <w:color w:val="auto"/>
              </w:rPr>
            </w:pPr>
            <w:r>
              <w:rPr>
                <w:rFonts w:ascii="Arial" w:cs="Arial" w:eastAsia="Arial" w:hAnsi="Arial"/>
                <w:sz w:val="11"/>
                <w:szCs w:val="11"/>
                <w:color w:val="auto"/>
              </w:rPr>
              <w:t>12.61</w:t>
            </w:r>
          </w:p>
        </w:tc>
        <w:tc>
          <w:tcPr>
            <w:tcW w:w="1020" w:type="dxa"/>
            <w:vAlign w:val="bottom"/>
            <w:vMerge w:val="restart"/>
          </w:tcPr>
          <w:p>
            <w:pPr>
              <w:jc w:val="right"/>
              <w:ind w:right="66"/>
              <w:spacing w:after="0" w:line="122" w:lineRule="exact"/>
              <w:rPr>
                <w:sz w:val="20"/>
                <w:szCs w:val="20"/>
                <w:color w:val="auto"/>
              </w:rPr>
            </w:pPr>
            <w:r>
              <w:rPr>
                <w:rFonts w:ascii="Arial" w:cs="Arial" w:eastAsia="Arial" w:hAnsi="Arial"/>
                <w:sz w:val="11"/>
                <w:szCs w:val="11"/>
                <w:color w:val="auto"/>
              </w:rPr>
              <w:t>2/14/2035</w:t>
            </w:r>
          </w:p>
        </w:tc>
        <w:tc>
          <w:tcPr>
            <w:tcW w:w="80" w:type="dxa"/>
            <w:vAlign w:val="bottom"/>
          </w:tcPr>
          <w:p>
            <w:pPr>
              <w:spacing w:after="0"/>
              <w:rPr>
                <w:sz w:val="6"/>
                <w:szCs w:val="6"/>
                <w:color w:val="auto"/>
              </w:rPr>
            </w:pPr>
          </w:p>
        </w:tc>
        <w:tc>
          <w:tcPr>
            <w:tcW w:w="980" w:type="dxa"/>
            <w:vAlign w:val="bottom"/>
            <w:vMerge w:val="restart"/>
          </w:tcPr>
          <w:p>
            <w:pPr>
              <w:jc w:val="right"/>
              <w:ind w:right="6"/>
              <w:spacing w:after="0" w:line="122" w:lineRule="exact"/>
              <w:rPr>
                <w:sz w:val="20"/>
                <w:szCs w:val="20"/>
                <w:color w:val="auto"/>
              </w:rPr>
            </w:pPr>
            <w:r>
              <w:rPr>
                <w:rFonts w:ascii="Arial" w:cs="Arial" w:eastAsia="Arial" w:hAnsi="Arial"/>
                <w:sz w:val="11"/>
                <w:szCs w:val="11"/>
                <w:color w:val="auto"/>
              </w:rPr>
              <w:t>—</w:t>
            </w:r>
          </w:p>
        </w:tc>
        <w:tc>
          <w:tcPr>
            <w:tcW w:w="240" w:type="dxa"/>
            <w:vAlign w:val="bottom"/>
            <w:vMerge w:val="restart"/>
          </w:tcPr>
          <w:p>
            <w:pPr>
              <w:jc w:val="right"/>
              <w:spacing w:after="0" w:line="122" w:lineRule="exact"/>
              <w:rPr>
                <w:sz w:val="20"/>
                <w:szCs w:val="20"/>
                <w:color w:val="auto"/>
              </w:rPr>
            </w:pPr>
            <w:r>
              <w:rPr>
                <w:rFonts w:ascii="Arial" w:cs="Arial" w:eastAsia="Arial" w:hAnsi="Arial"/>
                <w:sz w:val="11"/>
                <w:szCs w:val="11"/>
                <w:color w:val="auto"/>
              </w:rPr>
              <w:t>$</w:t>
            </w:r>
          </w:p>
        </w:tc>
        <w:tc>
          <w:tcPr>
            <w:tcW w:w="1120" w:type="dxa"/>
            <w:vAlign w:val="bottom"/>
            <w:gridSpan w:val="2"/>
            <w:vMerge w:val="restart"/>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3"/>
        </w:trPr>
        <w:tc>
          <w:tcPr>
            <w:tcW w:w="1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jc w:val="right"/>
              <w:ind w:right="58"/>
              <w:spacing w:after="0"/>
              <w:rPr>
                <w:sz w:val="20"/>
                <w:szCs w:val="20"/>
                <w:color w:val="auto"/>
              </w:rPr>
            </w:pPr>
            <w:r>
              <w:rPr>
                <w:rFonts w:ascii="Arial" w:cs="Arial" w:eastAsia="Arial" w:hAnsi="Arial"/>
                <w:sz w:val="7"/>
                <w:szCs w:val="7"/>
                <w:color w:val="auto"/>
              </w:rPr>
              <w:t>(3</w:t>
            </w: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color w:val="auto"/>
                <w:w w:val="97"/>
              </w:rPr>
              <w:t>2/14/2025</w:t>
            </w:r>
          </w:p>
        </w:tc>
        <w:tc>
          <w:tcPr>
            <w:tcW w:w="18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3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jc w:val="right"/>
              <w:ind w:right="55"/>
              <w:spacing w:after="0" w:line="122" w:lineRule="exact"/>
              <w:rPr>
                <w:sz w:val="20"/>
                <w:szCs w:val="20"/>
                <w:color w:val="auto"/>
              </w:rPr>
            </w:pPr>
            <w:r>
              <w:rPr>
                <w:rFonts w:ascii="Arial" w:cs="Arial" w:eastAsia="Arial" w:hAnsi="Arial"/>
                <w:sz w:val="11"/>
                <w:szCs w:val="11"/>
                <w:color w:val="auto"/>
              </w:rPr>
              <w:t>$</w:t>
            </w:r>
          </w:p>
        </w:tc>
        <w:tc>
          <w:tcPr>
            <w:tcW w:w="9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47,582</w:t>
            </w:r>
          </w:p>
        </w:tc>
        <w:tc>
          <w:tcPr>
            <w:tcW w:w="240" w:type="dxa"/>
            <w:vAlign w:val="bottom"/>
          </w:tcPr>
          <w:p>
            <w:pPr>
              <w:jc w:val="right"/>
              <w:spacing w:after="0" w:line="122" w:lineRule="exact"/>
              <w:rPr>
                <w:sz w:val="20"/>
                <w:szCs w:val="20"/>
                <w:color w:val="auto"/>
              </w:rPr>
            </w:pPr>
            <w:r>
              <w:rPr>
                <w:rFonts w:ascii="Arial" w:cs="Arial" w:eastAsia="Arial" w:hAnsi="Arial"/>
                <w:sz w:val="6"/>
                <w:szCs w:val="6"/>
                <w:color w:val="auto"/>
              </w:rPr>
              <w:t xml:space="preserve">) </w:t>
            </w:r>
            <w:r>
              <w:rPr>
                <w:rFonts w:ascii="Arial" w:cs="Arial" w:eastAsia="Arial" w:hAnsi="Arial"/>
                <w:sz w:val="14"/>
                <w:szCs w:val="14"/>
                <w:color w:val="auto"/>
                <w:vertAlign w:val="subscript"/>
              </w:rPr>
              <w:t>$</w:t>
            </w:r>
          </w:p>
        </w:tc>
        <w:tc>
          <w:tcPr>
            <w:tcW w:w="10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466,779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jc w:val="right"/>
              <w:ind w:right="58"/>
              <w:spacing w:after="0"/>
              <w:rPr>
                <w:sz w:val="20"/>
                <w:szCs w:val="20"/>
                <w:color w:val="auto"/>
              </w:rPr>
            </w:pPr>
            <w:r>
              <w:rPr>
                <w:rFonts w:ascii="Arial" w:cs="Arial" w:eastAsia="Arial" w:hAnsi="Arial"/>
                <w:sz w:val="7"/>
                <w:szCs w:val="7"/>
                <w:color w:val="auto"/>
              </w:rPr>
              <w:t>(3</w:t>
            </w: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580" w:type="dxa"/>
            <w:vAlign w:val="bottom"/>
            <w:tcBorders>
              <w:bottom w:val="single" w:sz="8" w:color="112B19"/>
            </w:tcBorders>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2/14/2025</w:t>
            </w:r>
          </w:p>
        </w:tc>
        <w:tc>
          <w:tcPr>
            <w:tcW w:w="180" w:type="dxa"/>
            <w:vAlign w:val="bottom"/>
            <w:tcBorders>
              <w:bottom w:val="single" w:sz="8" w:color="112B19"/>
            </w:tcBorders>
          </w:tcPr>
          <w:p>
            <w:pPr>
              <w:spacing w:after="0"/>
              <w:rPr>
                <w:sz w:val="12"/>
                <w:szCs w:val="12"/>
                <w:color w:val="auto"/>
              </w:rPr>
            </w:pPr>
          </w:p>
        </w:tc>
        <w:tc>
          <w:tcPr>
            <w:tcW w:w="900" w:type="dxa"/>
            <w:vAlign w:val="bottom"/>
            <w:tcBorders>
              <w:bottom w:val="single" w:sz="8" w:color="112B19"/>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112B19"/>
            </w:tcBorders>
          </w:tcPr>
          <w:p>
            <w:pPr>
              <w:spacing w:after="0"/>
              <w:rPr>
                <w:sz w:val="12"/>
                <w:szCs w:val="12"/>
                <w:color w:val="auto"/>
              </w:rPr>
            </w:pPr>
          </w:p>
        </w:tc>
        <w:tc>
          <w:tcPr>
            <w:tcW w:w="1300" w:type="dxa"/>
            <w:vAlign w:val="bottom"/>
            <w:tcBorders>
              <w:bottom w:val="single" w:sz="8" w:color="112B19"/>
            </w:tcBorders>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112B19"/>
            </w:tcBorders>
          </w:tcPr>
          <w:p>
            <w:pPr>
              <w:jc w:val="right"/>
              <w:ind w:right="55"/>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112B19"/>
            </w:tcBorders>
          </w:tcPr>
          <w:p>
            <w:pPr>
              <w:jc w:val="right"/>
              <w:ind w:right="14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112B19"/>
            </w:tcBorders>
          </w:tcPr>
          <w:p>
            <w:pPr>
              <w:jc w:val="right"/>
              <w:ind w:right="66"/>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112B19"/>
            </w:tcBorders>
            <w:gridSpan w:val="2"/>
          </w:tcPr>
          <w:p>
            <w:pPr>
              <w:jc w:val="right"/>
              <w:ind w:right="6"/>
              <w:spacing w:after="0"/>
              <w:rPr>
                <w:sz w:val="20"/>
                <w:szCs w:val="20"/>
                <w:color w:val="auto"/>
              </w:rPr>
            </w:pPr>
            <w:r>
              <w:rPr>
                <w:rFonts w:ascii="Arial" w:cs="Arial" w:eastAsia="Arial" w:hAnsi="Arial"/>
                <w:sz w:val="11"/>
                <w:szCs w:val="11"/>
                <w:color w:val="auto"/>
              </w:rPr>
              <w:t>9,120</w:t>
            </w:r>
          </w:p>
        </w:tc>
        <w:tc>
          <w:tcPr>
            <w:tcW w:w="240" w:type="dxa"/>
            <w:vAlign w:val="bottom"/>
            <w:tcBorders>
              <w:bottom w:val="single" w:sz="8" w:color="112B19"/>
            </w:tcBorders>
          </w:tcPr>
          <w:p>
            <w:pPr>
              <w:jc w:val="right"/>
              <w:spacing w:after="0" w:line="139" w:lineRule="exact"/>
              <w:rPr>
                <w:sz w:val="20"/>
                <w:szCs w:val="20"/>
                <w:color w:val="auto"/>
              </w:rPr>
            </w:pPr>
            <w:r>
              <w:rPr>
                <w:rFonts w:ascii="Arial" w:cs="Arial" w:eastAsia="Arial" w:hAnsi="Arial"/>
                <w:sz w:val="6"/>
                <w:szCs w:val="6"/>
                <w:color w:val="auto"/>
              </w:rPr>
              <w:t xml:space="preserve">) </w:t>
            </w:r>
            <w:r>
              <w:rPr>
                <w:rFonts w:ascii="Arial" w:cs="Arial" w:eastAsia="Arial" w:hAnsi="Arial"/>
                <w:sz w:val="16"/>
                <w:szCs w:val="16"/>
                <w:color w:val="auto"/>
                <w:vertAlign w:val="subscript"/>
              </w:rPr>
              <w:t>$</w:t>
            </w:r>
          </w:p>
        </w:tc>
        <w:tc>
          <w:tcPr>
            <w:tcW w:w="10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89,467</w:t>
            </w:r>
          </w:p>
        </w:tc>
        <w:tc>
          <w:tcPr>
            <w:tcW w:w="100" w:type="dxa"/>
            <w:vAlign w:val="bottom"/>
            <w:tcBorders>
              <w:bottom w:val="single" w:sz="8" w:color="112B19"/>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4"/>
        <w:spacing w:after="0"/>
        <w:tabs>
          <w:tab w:leader="none" w:pos="320" w:val="left"/>
        </w:tabs>
        <w:numPr>
          <w:ilvl w:val="0"/>
          <w:numId w:val="41"/>
        </w:numPr>
        <w:rPr>
          <w:rFonts w:ascii="Times New Roman" w:cs="Times New Roman" w:eastAsia="Times New Roman" w:hAnsi="Times New Roman"/>
          <w:sz w:val="14"/>
          <w:szCs w:val="14"/>
          <w:color w:val="050A35"/>
        </w:rPr>
      </w:pPr>
      <w:r>
        <w:rPr>
          <w:rFonts w:ascii="Arial" w:cs="Arial" w:eastAsia="Arial" w:hAnsi="Arial"/>
          <w:sz w:val="14"/>
          <w:szCs w:val="14"/>
          <w:color w:val="050A35"/>
        </w:rPr>
        <w:t>Represents stock options that vest ratably on the first, second, third and fourth anniversaries of the grant date, subject to continued service.</w:t>
      </w:r>
    </w:p>
    <w:p>
      <w:pPr>
        <w:spacing w:after="0" w:line="14" w:lineRule="exact"/>
        <w:rPr>
          <w:rFonts w:ascii="Times New Roman" w:cs="Times New Roman" w:eastAsia="Times New Roman" w:hAnsi="Times New Roman"/>
          <w:sz w:val="14"/>
          <w:szCs w:val="14"/>
          <w:color w:val="050A35"/>
        </w:rPr>
      </w:pPr>
    </w:p>
    <w:p>
      <w:pPr>
        <w:ind w:left="320" w:hanging="314"/>
        <w:spacing w:after="0"/>
        <w:tabs>
          <w:tab w:leader="none" w:pos="320" w:val="left"/>
        </w:tabs>
        <w:numPr>
          <w:ilvl w:val="0"/>
          <w:numId w:val="41"/>
        </w:numPr>
        <w:rPr>
          <w:rFonts w:ascii="Times New Roman" w:cs="Times New Roman" w:eastAsia="Times New Roman" w:hAnsi="Times New Roman"/>
          <w:sz w:val="14"/>
          <w:szCs w:val="14"/>
          <w:color w:val="050A35"/>
        </w:rPr>
      </w:pPr>
      <w:r>
        <w:rPr>
          <w:rFonts w:ascii="Arial" w:cs="Arial" w:eastAsia="Arial" w:hAnsi="Arial"/>
          <w:sz w:val="14"/>
          <w:szCs w:val="14"/>
          <w:color w:val="050A35"/>
        </w:rPr>
        <w:t>Represents RSUs that vest ratably on the first, second, third and fourth anniversaries of the grant date, subject to continued service.</w:t>
      </w:r>
    </w:p>
    <w:p>
      <w:pPr>
        <w:ind w:left="320" w:hanging="314"/>
        <w:spacing w:after="0"/>
        <w:tabs>
          <w:tab w:leader="none" w:pos="320" w:val="left"/>
        </w:tabs>
        <w:numPr>
          <w:ilvl w:val="0"/>
          <w:numId w:val="41"/>
        </w:numPr>
        <w:rPr>
          <w:rFonts w:ascii="Times New Roman" w:cs="Times New Roman" w:eastAsia="Times New Roman" w:hAnsi="Times New Roman"/>
          <w:sz w:val="14"/>
          <w:szCs w:val="14"/>
          <w:color w:val="050A35"/>
        </w:rPr>
      </w:pPr>
      <w:r>
        <w:rPr>
          <w:rFonts w:ascii="Arial" w:cs="Arial" w:eastAsia="Arial" w:hAnsi="Arial"/>
          <w:sz w:val="14"/>
          <w:szCs w:val="14"/>
          <w:color w:val="050A35"/>
        </w:rPr>
        <w:t>Represents RSUs that vest on the first anniversary of the grant date, subject to continued service.</w:t>
      </w:r>
    </w:p>
    <w:p>
      <w:pPr>
        <w:ind w:left="320" w:hanging="314"/>
        <w:spacing w:after="0"/>
        <w:tabs>
          <w:tab w:leader="none" w:pos="320" w:val="left"/>
        </w:tabs>
        <w:numPr>
          <w:ilvl w:val="0"/>
          <w:numId w:val="41"/>
        </w:numPr>
        <w:rPr>
          <w:rFonts w:ascii="Times New Roman" w:cs="Times New Roman" w:eastAsia="Times New Roman" w:hAnsi="Times New Roman"/>
          <w:sz w:val="14"/>
          <w:szCs w:val="14"/>
          <w:color w:val="050A35"/>
        </w:rPr>
      </w:pPr>
      <w:r>
        <w:rPr>
          <w:rFonts w:ascii="Arial" w:cs="Arial" w:eastAsia="Arial" w:hAnsi="Arial"/>
          <w:sz w:val="14"/>
          <w:szCs w:val="14"/>
          <w:color w:val="050A35"/>
        </w:rPr>
        <w:t>Represents RSUs that vest on the third anniversary of the grant date, subject to continued service.</w:t>
      </w:r>
    </w:p>
    <w:p>
      <w:pPr>
        <w:ind w:left="320" w:hanging="314"/>
        <w:spacing w:after="0"/>
        <w:tabs>
          <w:tab w:leader="none" w:pos="320" w:val="left"/>
        </w:tabs>
        <w:numPr>
          <w:ilvl w:val="0"/>
          <w:numId w:val="41"/>
        </w:numPr>
        <w:rPr>
          <w:rFonts w:ascii="Times New Roman" w:cs="Times New Roman" w:eastAsia="Times New Roman" w:hAnsi="Times New Roman"/>
          <w:sz w:val="14"/>
          <w:szCs w:val="14"/>
          <w:color w:val="050A35"/>
        </w:rPr>
      </w:pPr>
      <w:r>
        <w:rPr>
          <w:rFonts w:ascii="Arial" w:cs="Arial" w:eastAsia="Arial" w:hAnsi="Arial"/>
          <w:sz w:val="14"/>
          <w:szCs w:val="14"/>
          <w:color w:val="050A35"/>
        </w:rPr>
        <w:t>Represents stock options that vest ratably on the second, third, fourth and fifth anniversaries of the grant date, subject to continued service.</w:t>
      </w:r>
    </w:p>
    <w:p>
      <w:pPr>
        <w:ind w:left="320" w:hanging="314"/>
        <w:spacing w:after="0"/>
        <w:tabs>
          <w:tab w:leader="none" w:pos="320" w:val="left"/>
        </w:tabs>
        <w:numPr>
          <w:ilvl w:val="0"/>
          <w:numId w:val="41"/>
        </w:numPr>
        <w:rPr>
          <w:rFonts w:ascii="Times New Roman" w:cs="Times New Roman" w:eastAsia="Times New Roman" w:hAnsi="Times New Roman"/>
          <w:sz w:val="14"/>
          <w:szCs w:val="14"/>
          <w:color w:val="050A35"/>
        </w:rPr>
      </w:pPr>
      <w:r>
        <w:rPr>
          <w:rFonts w:ascii="Arial" w:cs="Arial" w:eastAsia="Arial" w:hAnsi="Arial"/>
          <w:sz w:val="14"/>
          <w:szCs w:val="14"/>
          <w:color w:val="050A35"/>
        </w:rPr>
        <w:t>Represents stock options that vest on the fifth anniversary of the grant date, subject to continued service.</w:t>
      </w:r>
    </w:p>
    <w:p>
      <w:pPr>
        <w:ind w:left="320" w:hanging="314"/>
        <w:spacing w:after="0"/>
        <w:tabs>
          <w:tab w:leader="none" w:pos="320" w:val="left"/>
        </w:tabs>
        <w:numPr>
          <w:ilvl w:val="0"/>
          <w:numId w:val="41"/>
        </w:numPr>
        <w:rPr>
          <w:rFonts w:ascii="Times New Roman" w:cs="Times New Roman" w:eastAsia="Times New Roman" w:hAnsi="Times New Roman"/>
          <w:sz w:val="14"/>
          <w:szCs w:val="14"/>
          <w:color w:val="050A35"/>
        </w:rPr>
      </w:pPr>
      <w:r>
        <w:rPr>
          <w:rFonts w:ascii="Arial" w:cs="Arial" w:eastAsia="Arial" w:hAnsi="Arial"/>
          <w:sz w:val="14"/>
          <w:szCs w:val="14"/>
          <w:color w:val="050A35"/>
        </w:rPr>
        <w:t>Represents RSUs that vest ratably on the second and third anniversaries of the grant date, subject to continued service.</w:t>
      </w:r>
    </w:p>
    <w:p>
      <w:pPr>
        <w:spacing w:after="0" w:line="140" w:lineRule="exact"/>
        <w:rPr>
          <w:sz w:val="20"/>
          <w:szCs w:val="20"/>
          <w:color w:val="auto"/>
        </w:rPr>
      </w:pPr>
    </w:p>
    <w:p>
      <w:pPr>
        <w:ind w:right="140"/>
        <w:spacing w:after="0" w:line="244" w:lineRule="auto"/>
        <w:rPr>
          <w:sz w:val="20"/>
          <w:szCs w:val="20"/>
          <w:color w:val="auto"/>
        </w:rPr>
      </w:pPr>
      <w:r>
        <w:rPr>
          <w:rFonts w:ascii="Arial" w:cs="Arial" w:eastAsia="Arial" w:hAnsi="Arial"/>
          <w:sz w:val="15"/>
          <w:szCs w:val="15"/>
          <w:color w:val="050A35"/>
        </w:rPr>
        <w:t>In connection with Mr. Sarsfield’s appointment as Chief Executive Officer, pursuant to the terms of his employment agreement, Mr. Sarsfield is entitled to receive up to five additional RSU awards in an amount of $8,000,000 each, subject to the achievement of specified stock price targets.</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050A35"/>
        </w:rPr>
        <w:t>Option Exercises and Stock Vested</w:t>
      </w:r>
    </w:p>
    <w:p>
      <w:pPr>
        <w:spacing w:after="0" w:line="131" w:lineRule="exact"/>
        <w:rPr>
          <w:sz w:val="20"/>
          <w:szCs w:val="20"/>
          <w:color w:val="auto"/>
        </w:rPr>
      </w:pPr>
    </w:p>
    <w:p>
      <w:pPr>
        <w:ind w:right="220"/>
        <w:spacing w:after="0" w:line="264" w:lineRule="auto"/>
        <w:rPr>
          <w:sz w:val="20"/>
          <w:szCs w:val="20"/>
          <w:color w:val="auto"/>
        </w:rPr>
      </w:pPr>
      <w:r>
        <w:rPr>
          <w:rFonts w:ascii="Arial" w:cs="Arial" w:eastAsia="Arial" w:hAnsi="Arial"/>
          <w:sz w:val="15"/>
          <w:szCs w:val="15"/>
          <w:color w:val="050A35"/>
        </w:rPr>
        <w:t>The following table provides information regarding the exercise of stock options and vesting of RSUs for our named executive officers in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660" w:type="dxa"/>
            <w:vAlign w:val="bottom"/>
            <w:tcBorders>
              <w:bottom w:val="single" w:sz="8" w:color="112B19"/>
            </w:tcBorders>
            <w:gridSpan w:val="2"/>
          </w:tcPr>
          <w:p>
            <w:pPr>
              <w:ind w:left="800"/>
              <w:spacing w:after="0"/>
              <w:rPr>
                <w:sz w:val="20"/>
                <w:szCs w:val="20"/>
                <w:color w:val="auto"/>
              </w:rPr>
            </w:pPr>
            <w:r>
              <w:rPr>
                <w:rFonts w:ascii="Arial" w:cs="Arial" w:eastAsia="Arial" w:hAnsi="Arial"/>
                <w:sz w:val="14"/>
                <w:szCs w:val="14"/>
                <w:b w:val="1"/>
                <w:bCs w:val="1"/>
                <w:color w:val="112B19"/>
              </w:rPr>
              <w:t>Option Awards</w:t>
            </w:r>
          </w:p>
        </w:tc>
        <w:tc>
          <w:tcPr>
            <w:tcW w:w="2720" w:type="dxa"/>
            <w:vAlign w:val="bottom"/>
            <w:tcBorders>
              <w:bottom w:val="single" w:sz="8" w:color="112B19"/>
            </w:tcBorders>
            <w:gridSpan w:val="2"/>
          </w:tcPr>
          <w:p>
            <w:pPr>
              <w:jc w:val="right"/>
              <w:ind w:right="828"/>
              <w:spacing w:after="0"/>
              <w:rPr>
                <w:sz w:val="20"/>
                <w:szCs w:val="20"/>
                <w:color w:val="auto"/>
              </w:rPr>
            </w:pPr>
            <w:r>
              <w:rPr>
                <w:rFonts w:ascii="Arial" w:cs="Arial" w:eastAsia="Arial" w:hAnsi="Arial"/>
                <w:sz w:val="14"/>
                <w:szCs w:val="14"/>
                <w:b w:val="1"/>
                <w:bCs w:val="1"/>
                <w:color w:val="112B19"/>
              </w:rPr>
              <w:t>Stock Awards</w:t>
            </w:r>
          </w:p>
        </w:tc>
      </w:tr>
      <w:tr>
        <w:trPr>
          <w:trHeight w:val="146"/>
        </w:trPr>
        <w:tc>
          <w:tcPr>
            <w:tcW w:w="4020" w:type="dxa"/>
            <w:vAlign w:val="bottom"/>
          </w:tcPr>
          <w:p>
            <w:pPr>
              <w:spacing w:after="0"/>
              <w:rPr>
                <w:sz w:val="12"/>
                <w:szCs w:val="12"/>
                <w:color w:val="auto"/>
              </w:rPr>
            </w:pPr>
          </w:p>
        </w:tc>
        <w:tc>
          <w:tcPr>
            <w:tcW w:w="1340" w:type="dxa"/>
            <w:vAlign w:val="bottom"/>
          </w:tcPr>
          <w:p>
            <w:pPr>
              <w:jc w:val="center"/>
              <w:ind w:right="8"/>
              <w:spacing w:after="0" w:line="147" w:lineRule="exact"/>
              <w:rPr>
                <w:sz w:val="20"/>
                <w:szCs w:val="20"/>
                <w:color w:val="auto"/>
              </w:rPr>
            </w:pPr>
            <w:r>
              <w:rPr>
                <w:rFonts w:ascii="Arial" w:cs="Arial" w:eastAsia="Arial" w:hAnsi="Arial"/>
                <w:sz w:val="14"/>
                <w:szCs w:val="14"/>
                <w:b w:val="1"/>
                <w:bCs w:val="1"/>
                <w:color w:val="112B19"/>
                <w:w w:val="99"/>
              </w:rPr>
              <w:t>Number of</w:t>
            </w:r>
          </w:p>
        </w:tc>
        <w:tc>
          <w:tcPr>
            <w:tcW w:w="1320" w:type="dxa"/>
            <w:vAlign w:val="bottom"/>
          </w:tcPr>
          <w:p>
            <w:pPr>
              <w:spacing w:after="0"/>
              <w:rPr>
                <w:sz w:val="12"/>
                <w:szCs w:val="12"/>
                <w:color w:val="auto"/>
              </w:rPr>
            </w:pPr>
          </w:p>
        </w:tc>
        <w:tc>
          <w:tcPr>
            <w:tcW w:w="1460" w:type="dxa"/>
            <w:vAlign w:val="bottom"/>
          </w:tcPr>
          <w:p>
            <w:pPr>
              <w:jc w:val="center"/>
              <w:spacing w:after="0" w:line="147" w:lineRule="exact"/>
              <w:rPr>
                <w:sz w:val="20"/>
                <w:szCs w:val="20"/>
                <w:color w:val="auto"/>
              </w:rPr>
            </w:pPr>
            <w:r>
              <w:rPr>
                <w:rFonts w:ascii="Arial" w:cs="Arial" w:eastAsia="Arial" w:hAnsi="Arial"/>
                <w:sz w:val="14"/>
                <w:szCs w:val="14"/>
                <w:b w:val="1"/>
                <w:bCs w:val="1"/>
                <w:color w:val="112B19"/>
              </w:rPr>
              <w:t>Number of</w:t>
            </w:r>
          </w:p>
        </w:tc>
        <w:tc>
          <w:tcPr>
            <w:tcW w:w="1260" w:type="dxa"/>
            <w:vAlign w:val="bottom"/>
          </w:tcPr>
          <w:p>
            <w:pPr>
              <w:spacing w:after="0"/>
              <w:rPr>
                <w:sz w:val="12"/>
                <w:szCs w:val="12"/>
                <w:color w:val="auto"/>
              </w:rPr>
            </w:pPr>
          </w:p>
        </w:tc>
      </w:tr>
      <w:tr>
        <w:trPr>
          <w:trHeight w:val="162"/>
        </w:trPr>
        <w:tc>
          <w:tcPr>
            <w:tcW w:w="4020" w:type="dxa"/>
            <w:vAlign w:val="bottom"/>
          </w:tcPr>
          <w:p>
            <w:pPr>
              <w:spacing w:after="0"/>
              <w:rPr>
                <w:sz w:val="14"/>
                <w:szCs w:val="14"/>
                <w:color w:val="auto"/>
              </w:rPr>
            </w:pPr>
          </w:p>
        </w:tc>
        <w:tc>
          <w:tcPr>
            <w:tcW w:w="1340" w:type="dxa"/>
            <w:vAlign w:val="bottom"/>
          </w:tcPr>
          <w:p>
            <w:pPr>
              <w:jc w:val="center"/>
              <w:ind w:right="8"/>
              <w:spacing w:after="0"/>
              <w:rPr>
                <w:sz w:val="20"/>
                <w:szCs w:val="20"/>
                <w:color w:val="auto"/>
              </w:rPr>
            </w:pPr>
            <w:r>
              <w:rPr>
                <w:rFonts w:ascii="Arial" w:cs="Arial" w:eastAsia="Arial" w:hAnsi="Arial"/>
                <w:sz w:val="14"/>
                <w:szCs w:val="14"/>
                <w:b w:val="1"/>
                <w:bCs w:val="1"/>
                <w:color w:val="112B19"/>
              </w:rPr>
              <w:t>Shares Acquired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112B19"/>
              </w:rPr>
              <w:t>Value Realized</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112B19"/>
              </w:rPr>
              <w:t>Shares Acquired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112B19"/>
              </w:rPr>
              <w:t>Value Realized</w:t>
            </w:r>
          </w:p>
        </w:tc>
      </w:tr>
      <w:tr>
        <w:trPr>
          <w:trHeight w:val="144"/>
        </w:trPr>
        <w:tc>
          <w:tcPr>
            <w:tcW w:w="4020" w:type="dxa"/>
            <w:vAlign w:val="bottom"/>
          </w:tcPr>
          <w:p>
            <w:pPr>
              <w:spacing w:after="0"/>
              <w:rPr>
                <w:sz w:val="12"/>
                <w:szCs w:val="12"/>
                <w:color w:val="auto"/>
              </w:rPr>
            </w:pPr>
          </w:p>
        </w:tc>
        <w:tc>
          <w:tcPr>
            <w:tcW w:w="134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112B19"/>
              </w:rPr>
              <w:t>on Exercise</w:t>
            </w: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112B19"/>
              </w:rPr>
              <w:t>on Exercise</w:t>
            </w:r>
          </w:p>
        </w:tc>
        <w:tc>
          <w:tcPr>
            <w:tcW w:w="1460" w:type="dxa"/>
            <w:vAlign w:val="bottom"/>
          </w:tcPr>
          <w:p>
            <w:pPr>
              <w:jc w:val="center"/>
              <w:spacing w:after="0" w:line="145" w:lineRule="exact"/>
              <w:rPr>
                <w:sz w:val="20"/>
                <w:szCs w:val="20"/>
                <w:color w:val="auto"/>
              </w:rPr>
            </w:pPr>
            <w:r>
              <w:rPr>
                <w:rFonts w:ascii="Arial" w:cs="Arial" w:eastAsia="Arial" w:hAnsi="Arial"/>
                <w:sz w:val="14"/>
                <w:szCs w:val="14"/>
                <w:b w:val="1"/>
                <w:bCs w:val="1"/>
                <w:color w:val="112B19"/>
              </w:rPr>
              <w:t>on Vesting</w:t>
            </w:r>
          </w:p>
        </w:tc>
        <w:tc>
          <w:tcPr>
            <w:tcW w:w="1260" w:type="dxa"/>
            <w:vAlign w:val="bottom"/>
          </w:tcPr>
          <w:p>
            <w:pPr>
              <w:jc w:val="center"/>
              <w:spacing w:after="0" w:line="145" w:lineRule="exact"/>
              <w:rPr>
                <w:sz w:val="20"/>
                <w:szCs w:val="20"/>
                <w:color w:val="auto"/>
              </w:rPr>
            </w:pPr>
            <w:r>
              <w:rPr>
                <w:rFonts w:ascii="Arial" w:cs="Arial" w:eastAsia="Arial" w:hAnsi="Arial"/>
                <w:sz w:val="14"/>
                <w:szCs w:val="14"/>
                <w:b w:val="1"/>
                <w:bCs w:val="1"/>
                <w:color w:val="112B19"/>
              </w:rPr>
              <w:t>on Vesting</w:t>
            </w:r>
          </w:p>
        </w:tc>
      </w:tr>
      <w:tr>
        <w:trPr>
          <w:trHeight w:val="189"/>
        </w:trPr>
        <w:tc>
          <w:tcPr>
            <w:tcW w:w="4020" w:type="dxa"/>
            <w:vAlign w:val="bottom"/>
            <w:tcBorders>
              <w:bottom w:val="single" w:sz="8" w:color="112B19"/>
            </w:tcBorders>
          </w:tcPr>
          <w:p>
            <w:pPr>
              <w:spacing w:after="0"/>
              <w:rPr>
                <w:sz w:val="20"/>
                <w:szCs w:val="20"/>
                <w:color w:val="auto"/>
              </w:rPr>
            </w:pPr>
            <w:r>
              <w:rPr>
                <w:rFonts w:ascii="Arial" w:cs="Arial" w:eastAsia="Arial" w:hAnsi="Arial"/>
                <w:sz w:val="14"/>
                <w:szCs w:val="14"/>
                <w:b w:val="1"/>
                <w:bCs w:val="1"/>
                <w:color w:val="112B19"/>
              </w:rPr>
              <w:t>Name</w:t>
            </w:r>
          </w:p>
        </w:tc>
        <w:tc>
          <w:tcPr>
            <w:tcW w:w="1340" w:type="dxa"/>
            <w:vAlign w:val="bottom"/>
            <w:tcBorders>
              <w:bottom w:val="single" w:sz="8" w:color="112B19"/>
            </w:tcBorders>
          </w:tcPr>
          <w:p>
            <w:pPr>
              <w:jc w:val="center"/>
              <w:ind w:right="8"/>
              <w:spacing w:after="0"/>
              <w:rPr>
                <w:sz w:val="20"/>
                <w:szCs w:val="20"/>
                <w:color w:val="auto"/>
              </w:rPr>
            </w:pPr>
            <w:r>
              <w:rPr>
                <w:rFonts w:ascii="Arial" w:cs="Arial" w:eastAsia="Arial" w:hAnsi="Arial"/>
                <w:sz w:val="14"/>
                <w:szCs w:val="14"/>
                <w:b w:val="1"/>
                <w:bCs w:val="1"/>
                <w:color w:val="112B19"/>
              </w:rPr>
              <w:t>(#)</w:t>
            </w:r>
          </w:p>
        </w:tc>
        <w:tc>
          <w:tcPr>
            <w:tcW w:w="1320" w:type="dxa"/>
            <w:vAlign w:val="bottom"/>
            <w:tcBorders>
              <w:bottom w:val="single" w:sz="8" w:color="112B19"/>
            </w:tcBorders>
          </w:tcPr>
          <w:p>
            <w:pPr>
              <w:jc w:val="center"/>
              <w:spacing w:after="0"/>
              <w:rPr>
                <w:sz w:val="20"/>
                <w:szCs w:val="20"/>
                <w:color w:val="auto"/>
              </w:rPr>
            </w:pPr>
            <w:r>
              <w:rPr>
                <w:rFonts w:ascii="Arial" w:cs="Arial" w:eastAsia="Arial" w:hAnsi="Arial"/>
                <w:sz w:val="14"/>
                <w:szCs w:val="14"/>
                <w:b w:val="1"/>
                <w:bCs w:val="1"/>
                <w:color w:val="112B19"/>
              </w:rPr>
              <w:t>($)</w:t>
            </w:r>
          </w:p>
        </w:tc>
        <w:tc>
          <w:tcPr>
            <w:tcW w:w="1460" w:type="dxa"/>
            <w:vAlign w:val="bottom"/>
            <w:tcBorders>
              <w:bottom w:val="single" w:sz="8" w:color="112B19"/>
            </w:tcBorders>
          </w:tcPr>
          <w:p>
            <w:pPr>
              <w:jc w:val="center"/>
              <w:spacing w:after="0"/>
              <w:rPr>
                <w:sz w:val="20"/>
                <w:szCs w:val="20"/>
                <w:color w:val="auto"/>
              </w:rPr>
            </w:pPr>
            <w:r>
              <w:rPr>
                <w:rFonts w:ascii="Arial" w:cs="Arial" w:eastAsia="Arial" w:hAnsi="Arial"/>
                <w:sz w:val="14"/>
                <w:szCs w:val="14"/>
                <w:b w:val="1"/>
                <w:bCs w:val="1"/>
                <w:color w:val="112B19"/>
                <w:w w:val="93"/>
              </w:rPr>
              <w:t>(#)</w:t>
            </w:r>
          </w:p>
        </w:tc>
        <w:tc>
          <w:tcPr>
            <w:tcW w:w="1260" w:type="dxa"/>
            <w:vAlign w:val="bottom"/>
            <w:tcBorders>
              <w:bottom w:val="single" w:sz="8" w:color="112B19"/>
            </w:tcBorders>
          </w:tcPr>
          <w:p>
            <w:pPr>
              <w:jc w:val="center"/>
              <w:spacing w:after="0" w:line="189" w:lineRule="exact"/>
              <w:rPr>
                <w:sz w:val="20"/>
                <w:szCs w:val="20"/>
                <w:color w:val="auto"/>
              </w:rPr>
            </w:pPr>
            <w:r>
              <w:rPr>
                <w:rFonts w:ascii="Arial" w:cs="Arial" w:eastAsia="Arial" w:hAnsi="Arial"/>
                <w:sz w:val="14"/>
                <w:szCs w:val="14"/>
                <w:b w:val="1"/>
                <w:bCs w:val="1"/>
                <w:color w:val="112B19"/>
                <w:w w:val="91"/>
              </w:rPr>
              <w:t>($)</w:t>
            </w:r>
            <w:r>
              <w:rPr>
                <w:rFonts w:ascii="Arial" w:cs="Arial" w:eastAsia="Arial" w:hAnsi="Arial"/>
                <w:sz w:val="19"/>
                <w:szCs w:val="19"/>
                <w:b w:val="1"/>
                <w:bCs w:val="1"/>
                <w:color w:val="112B19"/>
                <w:w w:val="91"/>
                <w:vertAlign w:val="superscript"/>
              </w:rPr>
              <w:t>(1)</w:t>
            </w:r>
          </w:p>
        </w:tc>
      </w:tr>
      <w:tr>
        <w:trPr>
          <w:trHeight w:val="215"/>
        </w:trPr>
        <w:tc>
          <w:tcPr>
            <w:tcW w:w="4020" w:type="dxa"/>
            <w:vAlign w:val="bottom"/>
          </w:tcPr>
          <w:p>
            <w:pPr>
              <w:ind w:left="100"/>
              <w:spacing w:after="0"/>
              <w:rPr>
                <w:sz w:val="20"/>
                <w:szCs w:val="20"/>
                <w:color w:val="auto"/>
              </w:rPr>
            </w:pPr>
            <w:r>
              <w:rPr>
                <w:rFonts w:ascii="Arial" w:cs="Arial" w:eastAsia="Arial" w:hAnsi="Arial"/>
                <w:sz w:val="14"/>
                <w:szCs w:val="14"/>
                <w:color w:val="auto"/>
              </w:rPr>
              <w:t>Luke A. Sarsfield III</w:t>
            </w:r>
          </w:p>
        </w:tc>
        <w:tc>
          <w:tcPr>
            <w:tcW w:w="1340" w:type="dxa"/>
            <w:vAlign w:val="bottom"/>
          </w:tcPr>
          <w:p>
            <w:pPr>
              <w:ind w:left="600"/>
              <w:spacing w:after="0"/>
              <w:rPr>
                <w:sz w:val="20"/>
                <w:szCs w:val="20"/>
                <w:color w:val="auto"/>
              </w:rPr>
            </w:pPr>
            <w:r>
              <w:rPr>
                <w:rFonts w:ascii="Arial" w:cs="Arial" w:eastAsia="Arial" w:hAnsi="Arial"/>
                <w:sz w:val="14"/>
                <w:szCs w:val="14"/>
                <w:color w:val="auto"/>
              </w:rPr>
              <w:t>—</w:t>
            </w:r>
          </w:p>
        </w:tc>
        <w:tc>
          <w:tcPr>
            <w:tcW w:w="1320" w:type="dxa"/>
            <w:vAlign w:val="bottom"/>
          </w:tcPr>
          <w:p>
            <w:pPr>
              <w:ind w:left="64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28"/>
              <w:spacing w:after="0"/>
              <w:rPr>
                <w:sz w:val="20"/>
                <w:szCs w:val="20"/>
                <w:color w:val="auto"/>
              </w:rPr>
            </w:pPr>
            <w:r>
              <w:rPr>
                <w:rFonts w:ascii="Arial" w:cs="Arial" w:eastAsia="Arial" w:hAnsi="Arial"/>
                <w:sz w:val="14"/>
                <w:szCs w:val="14"/>
                <w:color w:val="auto"/>
              </w:rPr>
              <w:t>246,889</w:t>
            </w:r>
          </w:p>
        </w:tc>
        <w:tc>
          <w:tcPr>
            <w:tcW w:w="1260" w:type="dxa"/>
            <w:vAlign w:val="bottom"/>
          </w:tcPr>
          <w:p>
            <w:pPr>
              <w:jc w:val="right"/>
              <w:ind w:right="388"/>
              <w:spacing w:after="0"/>
              <w:rPr>
                <w:sz w:val="20"/>
                <w:szCs w:val="20"/>
                <w:color w:val="auto"/>
              </w:rPr>
            </w:pPr>
            <w:r>
              <w:rPr>
                <w:rFonts w:ascii="Arial" w:cs="Arial" w:eastAsia="Arial" w:hAnsi="Arial"/>
                <w:sz w:val="14"/>
                <w:szCs w:val="14"/>
                <w:color w:val="auto"/>
              </w:rPr>
              <w:t>2,806,792</w:t>
            </w:r>
          </w:p>
        </w:tc>
      </w:tr>
      <w:tr>
        <w:trPr>
          <w:trHeight w:val="21"/>
        </w:trPr>
        <w:tc>
          <w:tcPr>
            <w:tcW w:w="4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402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4"/>
                <w:szCs w:val="14"/>
                <w:color w:val="auto"/>
              </w:rPr>
              <w:t>Amanda Coussens</w:t>
            </w:r>
          </w:p>
        </w:tc>
        <w:tc>
          <w:tcPr>
            <w:tcW w:w="1340" w:type="dxa"/>
            <w:vAlign w:val="bottom"/>
            <w:tcBorders>
              <w:bottom w:val="single" w:sz="8" w:color="EDEDED"/>
            </w:tcBorders>
            <w:shd w:val="clear" w:color="auto" w:fill="EDEDED"/>
          </w:tcPr>
          <w:p>
            <w:pPr>
              <w:ind w:left="60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EDEDED"/>
            </w:tcBorders>
            <w:shd w:val="clear" w:color="auto" w:fill="EDEDED"/>
          </w:tcPr>
          <w:p>
            <w:pPr>
              <w:ind w:left="6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EDEDED"/>
            </w:tcBorders>
            <w:shd w:val="clear" w:color="auto" w:fill="EDEDED"/>
          </w:tcPr>
          <w:p>
            <w:pPr>
              <w:jc w:val="right"/>
              <w:ind w:right="428"/>
              <w:spacing w:after="0"/>
              <w:rPr>
                <w:sz w:val="20"/>
                <w:szCs w:val="20"/>
                <w:color w:val="auto"/>
              </w:rPr>
            </w:pPr>
            <w:r>
              <w:rPr>
                <w:rFonts w:ascii="Arial" w:cs="Arial" w:eastAsia="Arial" w:hAnsi="Arial"/>
                <w:sz w:val="14"/>
                <w:szCs w:val="14"/>
                <w:color w:val="auto"/>
              </w:rPr>
              <w:t>76,972</w:t>
            </w:r>
          </w:p>
        </w:tc>
        <w:tc>
          <w:tcPr>
            <w:tcW w:w="1260" w:type="dxa"/>
            <w:vAlign w:val="bottom"/>
            <w:tcBorders>
              <w:bottom w:val="single" w:sz="8" w:color="EDEDED"/>
            </w:tcBorders>
            <w:shd w:val="clear" w:color="auto" w:fill="EDEDED"/>
          </w:tcPr>
          <w:p>
            <w:pPr>
              <w:jc w:val="right"/>
              <w:ind w:right="388"/>
              <w:spacing w:after="0"/>
              <w:rPr>
                <w:sz w:val="20"/>
                <w:szCs w:val="20"/>
                <w:color w:val="auto"/>
              </w:rPr>
            </w:pPr>
            <w:r>
              <w:rPr>
                <w:rFonts w:ascii="Arial" w:cs="Arial" w:eastAsia="Arial" w:hAnsi="Arial"/>
                <w:sz w:val="14"/>
                <w:szCs w:val="14"/>
                <w:color w:val="auto"/>
              </w:rPr>
              <w:t>970,617</w:t>
            </w:r>
          </w:p>
        </w:tc>
      </w:tr>
      <w:tr>
        <w:trPr>
          <w:trHeight w:val="222"/>
        </w:trPr>
        <w:tc>
          <w:tcPr>
            <w:tcW w:w="4020" w:type="dxa"/>
            <w:vAlign w:val="bottom"/>
          </w:tcPr>
          <w:p>
            <w:pPr>
              <w:ind w:left="100"/>
              <w:spacing w:after="0"/>
              <w:rPr>
                <w:sz w:val="20"/>
                <w:szCs w:val="20"/>
                <w:color w:val="auto"/>
              </w:rPr>
            </w:pPr>
            <w:r>
              <w:rPr>
                <w:rFonts w:ascii="Arial" w:cs="Arial" w:eastAsia="Arial" w:hAnsi="Arial"/>
                <w:sz w:val="14"/>
                <w:szCs w:val="14"/>
                <w:color w:val="auto"/>
              </w:rPr>
              <w:t>Mark Hood</w:t>
            </w:r>
          </w:p>
        </w:tc>
        <w:tc>
          <w:tcPr>
            <w:tcW w:w="1340" w:type="dxa"/>
            <w:vAlign w:val="bottom"/>
          </w:tcPr>
          <w:p>
            <w:pPr>
              <w:ind w:left="600"/>
              <w:spacing w:after="0"/>
              <w:rPr>
                <w:sz w:val="20"/>
                <w:szCs w:val="20"/>
                <w:color w:val="auto"/>
              </w:rPr>
            </w:pPr>
            <w:r>
              <w:rPr>
                <w:rFonts w:ascii="Arial" w:cs="Arial" w:eastAsia="Arial" w:hAnsi="Arial"/>
                <w:sz w:val="14"/>
                <w:szCs w:val="14"/>
                <w:color w:val="auto"/>
              </w:rPr>
              <w:t>—</w:t>
            </w:r>
          </w:p>
        </w:tc>
        <w:tc>
          <w:tcPr>
            <w:tcW w:w="1320" w:type="dxa"/>
            <w:vAlign w:val="bottom"/>
          </w:tcPr>
          <w:p>
            <w:pPr>
              <w:ind w:left="64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88"/>
              <w:spacing w:after="0"/>
              <w:rPr>
                <w:sz w:val="20"/>
                <w:szCs w:val="20"/>
                <w:color w:val="auto"/>
              </w:rPr>
            </w:pPr>
            <w:r>
              <w:rPr>
                <w:rFonts w:ascii="Arial" w:cs="Arial" w:eastAsia="Arial" w:hAnsi="Arial"/>
                <w:sz w:val="14"/>
                <w:szCs w:val="14"/>
                <w:color w:val="auto"/>
              </w:rPr>
              <w:t>-</w:t>
            </w:r>
          </w:p>
        </w:tc>
      </w:tr>
      <w:tr>
        <w:trPr>
          <w:trHeight w:val="21"/>
        </w:trPr>
        <w:tc>
          <w:tcPr>
            <w:tcW w:w="4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402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4"/>
                <w:szCs w:val="14"/>
                <w:color w:val="auto"/>
              </w:rPr>
              <w:t>Sarita Jairath</w:t>
            </w:r>
          </w:p>
        </w:tc>
        <w:tc>
          <w:tcPr>
            <w:tcW w:w="1340" w:type="dxa"/>
            <w:vAlign w:val="bottom"/>
            <w:tcBorders>
              <w:bottom w:val="single" w:sz="8" w:color="EDEDED"/>
            </w:tcBorders>
            <w:shd w:val="clear" w:color="auto" w:fill="EDEDED"/>
          </w:tcPr>
          <w:p>
            <w:pPr>
              <w:ind w:left="60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EDEDED"/>
            </w:tcBorders>
            <w:shd w:val="clear" w:color="auto" w:fill="EDEDED"/>
          </w:tcPr>
          <w:p>
            <w:pPr>
              <w:ind w:left="6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EDEDED"/>
            </w:tcBorders>
            <w:shd w:val="clear" w:color="auto" w:fill="EDEDED"/>
          </w:tcPr>
          <w:p>
            <w:pPr>
              <w:jc w:val="right"/>
              <w:ind w:right="428"/>
              <w:spacing w:after="0"/>
              <w:rPr>
                <w:sz w:val="20"/>
                <w:szCs w:val="20"/>
                <w:color w:val="auto"/>
              </w:rPr>
            </w:pPr>
            <w:r>
              <w:rPr>
                <w:rFonts w:ascii="Arial" w:cs="Arial" w:eastAsia="Arial" w:hAnsi="Arial"/>
                <w:sz w:val="14"/>
                <w:szCs w:val="14"/>
                <w:color w:val="auto"/>
              </w:rPr>
              <w:t>20,471</w:t>
            </w:r>
          </w:p>
        </w:tc>
        <w:tc>
          <w:tcPr>
            <w:tcW w:w="1260" w:type="dxa"/>
            <w:vAlign w:val="bottom"/>
            <w:tcBorders>
              <w:bottom w:val="single" w:sz="8" w:color="EDEDED"/>
            </w:tcBorders>
            <w:shd w:val="clear" w:color="auto" w:fill="EDEDED"/>
          </w:tcPr>
          <w:p>
            <w:pPr>
              <w:jc w:val="right"/>
              <w:ind w:right="388"/>
              <w:spacing w:after="0"/>
              <w:rPr>
                <w:sz w:val="20"/>
                <w:szCs w:val="20"/>
                <w:color w:val="auto"/>
              </w:rPr>
            </w:pPr>
            <w:r>
              <w:rPr>
                <w:rFonts w:ascii="Arial" w:cs="Arial" w:eastAsia="Arial" w:hAnsi="Arial"/>
                <w:sz w:val="14"/>
                <w:szCs w:val="14"/>
                <w:color w:val="auto"/>
              </w:rPr>
              <w:t>244,833</w:t>
            </w:r>
          </w:p>
        </w:tc>
      </w:tr>
      <w:tr>
        <w:trPr>
          <w:trHeight w:val="221"/>
        </w:trPr>
        <w:tc>
          <w:tcPr>
            <w:tcW w:w="4020" w:type="dxa"/>
            <w:vAlign w:val="bottom"/>
          </w:tcPr>
          <w:p>
            <w:pPr>
              <w:ind w:left="100"/>
              <w:spacing w:after="0"/>
              <w:rPr>
                <w:sz w:val="20"/>
                <w:szCs w:val="20"/>
                <w:color w:val="auto"/>
              </w:rPr>
            </w:pPr>
            <w:r>
              <w:rPr>
                <w:rFonts w:ascii="Arial" w:cs="Arial" w:eastAsia="Arial" w:hAnsi="Arial"/>
                <w:sz w:val="14"/>
                <w:szCs w:val="14"/>
                <w:color w:val="auto"/>
              </w:rPr>
              <w:t>Richard J. (Arjay) Jensen</w:t>
            </w:r>
          </w:p>
        </w:tc>
        <w:tc>
          <w:tcPr>
            <w:tcW w:w="1340" w:type="dxa"/>
            <w:vAlign w:val="bottom"/>
          </w:tcPr>
          <w:p>
            <w:pPr>
              <w:ind w:left="600"/>
              <w:spacing w:after="0"/>
              <w:rPr>
                <w:sz w:val="20"/>
                <w:szCs w:val="20"/>
                <w:color w:val="auto"/>
              </w:rPr>
            </w:pPr>
            <w:r>
              <w:rPr>
                <w:rFonts w:ascii="Arial" w:cs="Arial" w:eastAsia="Arial" w:hAnsi="Arial"/>
                <w:sz w:val="14"/>
                <w:szCs w:val="14"/>
                <w:color w:val="auto"/>
              </w:rPr>
              <w:t>—</w:t>
            </w:r>
          </w:p>
        </w:tc>
        <w:tc>
          <w:tcPr>
            <w:tcW w:w="1320" w:type="dxa"/>
            <w:vAlign w:val="bottom"/>
          </w:tcPr>
          <w:p>
            <w:pPr>
              <w:ind w:left="64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28"/>
              <w:spacing w:after="0"/>
              <w:rPr>
                <w:sz w:val="20"/>
                <w:szCs w:val="20"/>
                <w:color w:val="auto"/>
              </w:rPr>
            </w:pPr>
            <w:r>
              <w:rPr>
                <w:rFonts w:ascii="Arial" w:cs="Arial" w:eastAsia="Arial" w:hAnsi="Arial"/>
                <w:sz w:val="14"/>
                <w:szCs w:val="14"/>
                <w:color w:val="auto"/>
              </w:rPr>
              <w:t>14,393</w:t>
            </w:r>
          </w:p>
        </w:tc>
        <w:tc>
          <w:tcPr>
            <w:tcW w:w="1260" w:type="dxa"/>
            <w:vAlign w:val="bottom"/>
          </w:tcPr>
          <w:p>
            <w:pPr>
              <w:jc w:val="right"/>
              <w:ind w:right="388"/>
              <w:spacing w:after="0"/>
              <w:rPr>
                <w:sz w:val="20"/>
                <w:szCs w:val="20"/>
                <w:color w:val="auto"/>
              </w:rPr>
            </w:pPr>
            <w:r>
              <w:rPr>
                <w:rFonts w:ascii="Arial" w:cs="Arial" w:eastAsia="Arial" w:hAnsi="Arial"/>
                <w:sz w:val="14"/>
                <w:szCs w:val="14"/>
                <w:color w:val="auto"/>
              </w:rPr>
              <w:t>181,496</w:t>
            </w:r>
          </w:p>
        </w:tc>
      </w:tr>
      <w:tr>
        <w:trPr>
          <w:trHeight w:val="21"/>
        </w:trPr>
        <w:tc>
          <w:tcPr>
            <w:tcW w:w="4020" w:type="dxa"/>
            <w:vAlign w:val="bottom"/>
            <w:tcBorders>
              <w:bottom w:val="single" w:sz="8" w:color="112B19"/>
            </w:tcBorders>
          </w:tcPr>
          <w:p>
            <w:pPr>
              <w:spacing w:after="0" w:line="20" w:lineRule="exact"/>
              <w:rPr>
                <w:sz w:val="1"/>
                <w:szCs w:val="1"/>
                <w:color w:val="auto"/>
              </w:rPr>
            </w:pPr>
          </w:p>
        </w:tc>
        <w:tc>
          <w:tcPr>
            <w:tcW w:w="1340" w:type="dxa"/>
            <w:vAlign w:val="bottom"/>
            <w:tcBorders>
              <w:bottom w:val="single" w:sz="8" w:color="112B19"/>
            </w:tcBorders>
          </w:tcPr>
          <w:p>
            <w:pPr>
              <w:spacing w:after="0" w:line="20" w:lineRule="exact"/>
              <w:rPr>
                <w:sz w:val="1"/>
                <w:szCs w:val="1"/>
                <w:color w:val="auto"/>
              </w:rPr>
            </w:pPr>
          </w:p>
        </w:tc>
        <w:tc>
          <w:tcPr>
            <w:tcW w:w="1320" w:type="dxa"/>
            <w:vAlign w:val="bottom"/>
            <w:tcBorders>
              <w:bottom w:val="single" w:sz="8" w:color="112B19"/>
            </w:tcBorders>
          </w:tcPr>
          <w:p>
            <w:pPr>
              <w:spacing w:after="0" w:line="20" w:lineRule="exact"/>
              <w:rPr>
                <w:sz w:val="1"/>
                <w:szCs w:val="1"/>
                <w:color w:val="auto"/>
              </w:rPr>
            </w:pPr>
          </w:p>
        </w:tc>
        <w:tc>
          <w:tcPr>
            <w:tcW w:w="1460" w:type="dxa"/>
            <w:vAlign w:val="bottom"/>
            <w:tcBorders>
              <w:bottom w:val="single" w:sz="8" w:color="112B19"/>
            </w:tcBorders>
          </w:tcPr>
          <w:p>
            <w:pPr>
              <w:spacing w:after="0" w:line="20" w:lineRule="exact"/>
              <w:rPr>
                <w:sz w:val="1"/>
                <w:szCs w:val="1"/>
                <w:color w:val="auto"/>
              </w:rPr>
            </w:pPr>
          </w:p>
        </w:tc>
        <w:tc>
          <w:tcPr>
            <w:tcW w:w="1260" w:type="dxa"/>
            <w:vAlign w:val="bottom"/>
            <w:tcBorders>
              <w:bottom w:val="single" w:sz="8" w:color="112B19"/>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40" w:top="775" w:right="1259" w:bottom="1440" w:gutter="0" w:footer="0" w:header="0"/>
        </w:sectPr>
      </w:pPr>
    </w:p>
    <w:p>
      <w:pPr>
        <w:spacing w:after="0" w:line="209" w:lineRule="exact"/>
        <w:rPr>
          <w:sz w:val="20"/>
          <w:szCs w:val="20"/>
          <w:color w:val="auto"/>
        </w:rPr>
      </w:pPr>
    </w:p>
    <w:p>
      <w:pPr>
        <w:ind w:left="480" w:hanging="474"/>
        <w:spacing w:after="0"/>
        <w:tabs>
          <w:tab w:leader="none" w:pos="480" w:val="left"/>
        </w:tabs>
        <w:numPr>
          <w:ilvl w:val="0"/>
          <w:numId w:val="42"/>
        </w:numPr>
        <w:rPr>
          <w:rFonts w:ascii="Arial" w:cs="Arial" w:eastAsia="Arial" w:hAnsi="Arial"/>
          <w:sz w:val="14"/>
          <w:szCs w:val="14"/>
          <w:b w:val="1"/>
          <w:bCs w:val="1"/>
          <w:color w:val="050A35"/>
        </w:rPr>
      </w:pPr>
      <w:r>
        <w:rPr>
          <w:rFonts w:ascii="Arial" w:cs="Arial" w:eastAsia="Arial" w:hAnsi="Arial"/>
          <w:sz w:val="14"/>
          <w:szCs w:val="14"/>
          <w:color w:val="050A35"/>
        </w:rPr>
        <w:t>RIDGEPOST CAPITAL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473710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775" w:right="1259" w:bottom="1440" w:gutter="0" w:footer="0" w:header="0"/>
          <w:type w:val="continuous"/>
        </w:sectPr>
      </w:pPr>
    </w:p>
    <w:bookmarkStart w:id="26" w:name="page27"/>
    <w:bookmarkEnd w:id="26"/>
    <w:p>
      <w:pPr>
        <w:jc w:val="right"/>
        <w:ind w:right="660"/>
        <w:spacing w:after="0"/>
        <w:rPr>
          <w:sz w:val="20"/>
          <w:szCs w:val="20"/>
          <w:color w:val="auto"/>
        </w:rPr>
      </w:pPr>
      <w:r>
        <w:rPr>
          <w:rFonts w:ascii="Arial" w:cs="Arial" w:eastAsia="Arial" w:hAnsi="Arial"/>
          <w:sz w:val="13"/>
          <w:szCs w:val="13"/>
          <w:color w:val="050A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60" w:lineRule="exact"/>
        <w:rPr>
          <w:sz w:val="20"/>
          <w:szCs w:val="20"/>
          <w:color w:val="auto"/>
        </w:rPr>
      </w:pPr>
    </w:p>
    <w:p>
      <w:pPr>
        <w:ind w:left="980" w:right="1240" w:hanging="314"/>
        <w:spacing w:after="0" w:line="284" w:lineRule="auto"/>
        <w:tabs>
          <w:tab w:leader="none" w:pos="980" w:val="left"/>
        </w:tabs>
        <w:numPr>
          <w:ilvl w:val="0"/>
          <w:numId w:val="43"/>
        </w:numPr>
        <w:rPr>
          <w:rFonts w:ascii="Times New Roman" w:cs="Times New Roman" w:eastAsia="Times New Roman" w:hAnsi="Times New Roman"/>
          <w:sz w:val="14"/>
          <w:szCs w:val="14"/>
          <w:color w:val="050A35"/>
        </w:rPr>
      </w:pPr>
      <w:r>
        <w:rPr>
          <w:rFonts w:ascii="Arial" w:cs="Arial" w:eastAsia="Arial" w:hAnsi="Arial"/>
          <w:sz w:val="14"/>
          <w:szCs w:val="14"/>
          <w:color w:val="050A35"/>
        </w:rPr>
        <w:t>The value realized on vesting of RSUs is calculated as the number of shares acquired on vesting multiplied by the closing price of our common stock on the vesting date (or the immediately preceding trading day if the vesting date is not a trading day).</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050A35"/>
        </w:rPr>
        <w:t>Compensation Risk Assessment</w:t>
      </w:r>
    </w:p>
    <w:p>
      <w:pPr>
        <w:spacing w:after="0" w:line="131" w:lineRule="exact"/>
        <w:rPr>
          <w:sz w:val="20"/>
          <w:szCs w:val="20"/>
          <w:color w:val="auto"/>
        </w:rPr>
      </w:pPr>
    </w:p>
    <w:p>
      <w:pPr>
        <w:ind w:left="660" w:right="660"/>
        <w:spacing w:after="0" w:line="236" w:lineRule="auto"/>
        <w:rPr>
          <w:sz w:val="20"/>
          <w:szCs w:val="20"/>
          <w:color w:val="auto"/>
        </w:rPr>
      </w:pPr>
      <w:r>
        <w:rPr>
          <w:rFonts w:ascii="Arial" w:cs="Arial" w:eastAsia="Arial" w:hAnsi="Arial"/>
          <w:sz w:val="15"/>
          <w:szCs w:val="15"/>
          <w:color w:val="050A35"/>
        </w:rPr>
        <w:t>We monitor and assess periodically risks from our compensation policies and practices for our employees, including those related to our executive compensation programs. The goal of these assessments is to determine whether the general structure of our compensation policies and programs and the administration of these programs pose and material risks to the Company. Based on these assessments, we believe that our compensation policies and practices, taken as a whole, do not encourage excessive or unnecessary risk taking and are not reasonably likely to have a material adverse effect on the Company.</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2"/>
          <w:szCs w:val="22"/>
          <w:color w:val="050A35"/>
        </w:rPr>
        <w:t>Potential Payments Upon Termination or Change in Control</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Qualifying Termination</w:t>
      </w:r>
    </w:p>
    <w:p>
      <w:pPr>
        <w:spacing w:after="0" w:line="106" w:lineRule="exact"/>
        <w:rPr>
          <w:sz w:val="20"/>
          <w:szCs w:val="20"/>
          <w:color w:val="auto"/>
        </w:rPr>
      </w:pPr>
    </w:p>
    <w:p>
      <w:pPr>
        <w:ind w:left="660" w:right="700"/>
        <w:spacing w:after="0" w:line="236" w:lineRule="auto"/>
        <w:rPr>
          <w:sz w:val="20"/>
          <w:szCs w:val="20"/>
          <w:color w:val="auto"/>
        </w:rPr>
      </w:pPr>
      <w:r>
        <w:rPr>
          <w:rFonts w:ascii="Arial" w:cs="Arial" w:eastAsia="Arial" w:hAnsi="Arial"/>
          <w:sz w:val="15"/>
          <w:szCs w:val="15"/>
          <w:color w:val="050A35"/>
        </w:rPr>
        <w:t>Upon a termination of the named executive officer’s employment by the Company without cause (including, in the case of Mses. Coussens and Jairath and Messrs. Hood and Jensen, a notice of non-renewal) or the named executive officer’s resignation for good reason (a “Qualifying Termination”) on December 31, 2025, pursuant to the terms of such named executive officer’s employment agreement in effect at that time, and subject to the execution and non-revocation of a release and compliance with customary post-termination covenants as further described below, each named executive officer would have been entitled to receive the following:</w:t>
      </w:r>
    </w:p>
    <w:p>
      <w:pPr>
        <w:spacing w:after="0" w:line="70" w:lineRule="exact"/>
        <w:rPr>
          <w:sz w:val="20"/>
          <w:szCs w:val="20"/>
          <w:color w:val="auto"/>
        </w:rPr>
      </w:pPr>
    </w:p>
    <w:p>
      <w:pPr>
        <w:jc w:val="both"/>
        <w:ind w:left="840" w:right="860" w:hanging="174"/>
        <w:spacing w:after="0" w:line="244" w:lineRule="auto"/>
        <w:tabs>
          <w:tab w:leader="none" w:pos="840" w:val="left"/>
        </w:tabs>
        <w:numPr>
          <w:ilvl w:val="0"/>
          <w:numId w:val="44"/>
        </w:numPr>
        <w:rPr>
          <w:rFonts w:ascii="Times New Roman" w:cs="Times New Roman" w:eastAsia="Times New Roman" w:hAnsi="Times New Roman"/>
          <w:sz w:val="15"/>
          <w:szCs w:val="15"/>
          <w:color w:val="050A35"/>
        </w:rPr>
      </w:pPr>
      <w:r>
        <w:rPr>
          <w:rFonts w:ascii="Arial" w:cs="Arial" w:eastAsia="Arial" w:hAnsi="Arial"/>
          <w:sz w:val="15"/>
          <w:szCs w:val="15"/>
          <w:color w:val="050A35"/>
        </w:rPr>
        <w:t>cash severance payable in a lump sum equal to (i) in the case of Mr. Sarsfield, 1.5 times the sum of his annual base salary and target annual cash bonus, and (ii) in the case of each other executive, the sum of the executive’s annual base salary and target annual cash bonus;</w:t>
      </w:r>
    </w:p>
    <w:p>
      <w:pPr>
        <w:spacing w:after="0" w:line="67" w:lineRule="exact"/>
        <w:rPr>
          <w:rFonts w:ascii="Times New Roman" w:cs="Times New Roman" w:eastAsia="Times New Roman" w:hAnsi="Times New Roman"/>
          <w:sz w:val="15"/>
          <w:szCs w:val="15"/>
          <w:color w:val="050A35"/>
        </w:rPr>
      </w:pPr>
    </w:p>
    <w:p>
      <w:pPr>
        <w:ind w:left="840" w:right="780" w:hanging="174"/>
        <w:spacing w:after="0" w:line="263" w:lineRule="auto"/>
        <w:tabs>
          <w:tab w:leader="none" w:pos="840" w:val="left"/>
        </w:tabs>
        <w:numPr>
          <w:ilvl w:val="0"/>
          <w:numId w:val="44"/>
        </w:numPr>
        <w:rPr>
          <w:rFonts w:ascii="Times New Roman" w:cs="Times New Roman" w:eastAsia="Times New Roman" w:hAnsi="Times New Roman"/>
          <w:sz w:val="15"/>
          <w:szCs w:val="15"/>
          <w:color w:val="050A35"/>
        </w:rPr>
      </w:pPr>
      <w:r>
        <w:rPr>
          <w:rFonts w:ascii="Arial" w:cs="Arial" w:eastAsia="Arial" w:hAnsi="Arial"/>
          <w:sz w:val="15"/>
          <w:szCs w:val="15"/>
          <w:color w:val="050A35"/>
        </w:rPr>
        <w:t>in the case of Mses. Coussens and Jairath and Messrs. Hood and Jensen, reimbursement of COBRA premiums for up to 12 months to the extent such premiums exceed the contributory cost for the same coverage paid by the Company’s active employees; and</w:t>
      </w:r>
    </w:p>
    <w:p>
      <w:pPr>
        <w:spacing w:after="0" w:line="53" w:lineRule="exact"/>
        <w:rPr>
          <w:rFonts w:ascii="Times New Roman" w:cs="Times New Roman" w:eastAsia="Times New Roman" w:hAnsi="Times New Roman"/>
          <w:sz w:val="15"/>
          <w:szCs w:val="15"/>
          <w:color w:val="050A35"/>
        </w:rPr>
      </w:pPr>
    </w:p>
    <w:p>
      <w:pPr>
        <w:ind w:left="840" w:hanging="174"/>
        <w:spacing w:after="0"/>
        <w:tabs>
          <w:tab w:leader="none" w:pos="840" w:val="left"/>
        </w:tabs>
        <w:numPr>
          <w:ilvl w:val="0"/>
          <w:numId w:val="44"/>
        </w:numPr>
        <w:rPr>
          <w:rFonts w:ascii="Times New Roman" w:cs="Times New Roman" w:eastAsia="Times New Roman" w:hAnsi="Times New Roman"/>
          <w:sz w:val="15"/>
          <w:szCs w:val="15"/>
          <w:color w:val="050A35"/>
        </w:rPr>
      </w:pPr>
      <w:r>
        <w:rPr>
          <w:rFonts w:ascii="Arial" w:cs="Arial" w:eastAsia="Arial" w:hAnsi="Arial"/>
          <w:sz w:val="15"/>
          <w:szCs w:val="15"/>
          <w:color w:val="050A35"/>
        </w:rPr>
        <w:t>immediate vesting of all outstanding equity awards and carried interest awards.</w:t>
      </w:r>
    </w:p>
    <w:p>
      <w:pPr>
        <w:spacing w:after="0" w:line="97" w:lineRule="exact"/>
        <w:rPr>
          <w:sz w:val="20"/>
          <w:szCs w:val="20"/>
          <w:color w:val="auto"/>
        </w:rPr>
      </w:pPr>
    </w:p>
    <w:p>
      <w:pPr>
        <w:ind w:left="660" w:right="840"/>
        <w:spacing w:after="0" w:line="238" w:lineRule="auto"/>
        <w:rPr>
          <w:sz w:val="20"/>
          <w:szCs w:val="20"/>
          <w:color w:val="auto"/>
        </w:rPr>
      </w:pPr>
      <w:r>
        <w:rPr>
          <w:rFonts w:ascii="Arial" w:cs="Arial" w:eastAsia="Arial" w:hAnsi="Arial"/>
          <w:sz w:val="15"/>
          <w:szCs w:val="15"/>
          <w:color w:val="050A35"/>
        </w:rPr>
        <w:t>Mr. Sarsfield’s employment agreement includes provisions for a one-year non-compete, one-year non-solicitation of clients and two-year non-solicitation of employees following any termination of employment. The employment agreements for each of the other named executive officers contain provisions for a six-month non-compete, one-year non-solicitation of clients and one-year non-solicitation of employees following any termination of employment.</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Non-Renewal of Employment Agreement</w:t>
      </w:r>
    </w:p>
    <w:p>
      <w:pPr>
        <w:spacing w:after="0" w:line="106" w:lineRule="exact"/>
        <w:rPr>
          <w:sz w:val="20"/>
          <w:szCs w:val="20"/>
          <w:color w:val="auto"/>
        </w:rPr>
      </w:pPr>
    </w:p>
    <w:p>
      <w:pPr>
        <w:ind w:left="660" w:right="800"/>
        <w:spacing w:after="0" w:line="238" w:lineRule="auto"/>
        <w:rPr>
          <w:sz w:val="20"/>
          <w:szCs w:val="20"/>
          <w:color w:val="auto"/>
        </w:rPr>
      </w:pPr>
      <w:r>
        <w:rPr>
          <w:rFonts w:ascii="Arial" w:cs="Arial" w:eastAsia="Arial" w:hAnsi="Arial"/>
          <w:sz w:val="15"/>
          <w:szCs w:val="15"/>
          <w:color w:val="050A35"/>
        </w:rPr>
        <w:t>Pursuant to the terms of Mr. Sarsfield’s employment agreement, if during the initial term of the agreement (which is through October 23, 2028), the Company provides him with written notice that it will not renew the agreement after the expiration of the initial term or any renewal term, all of Mr. Sarsfield’s outstanding equity awards and carried interest awards would immediately vest as of the last day of the then-applicable term.</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Change in Control</w:t>
      </w:r>
    </w:p>
    <w:p>
      <w:pPr>
        <w:spacing w:after="0" w:line="106" w:lineRule="exact"/>
        <w:rPr>
          <w:sz w:val="20"/>
          <w:szCs w:val="20"/>
          <w:color w:val="auto"/>
        </w:rPr>
      </w:pPr>
    </w:p>
    <w:p>
      <w:pPr>
        <w:ind w:left="660" w:right="660"/>
        <w:spacing w:after="0" w:line="264" w:lineRule="auto"/>
        <w:rPr>
          <w:sz w:val="20"/>
          <w:szCs w:val="20"/>
          <w:color w:val="auto"/>
        </w:rPr>
      </w:pPr>
      <w:r>
        <w:rPr>
          <w:rFonts w:ascii="Arial" w:cs="Arial" w:eastAsia="Arial" w:hAnsi="Arial"/>
          <w:sz w:val="15"/>
          <w:szCs w:val="15"/>
          <w:color w:val="050A35"/>
        </w:rPr>
        <w:t>Upon a change in control of the Company on December 31, 2025, pursuant to the terms of his employment agreement, Mr. Sarsfield would have been entitled to receive the following:</w:t>
      </w:r>
    </w:p>
    <w:p>
      <w:pPr>
        <w:spacing w:after="0" w:line="53" w:lineRule="exact"/>
        <w:rPr>
          <w:sz w:val="20"/>
          <w:szCs w:val="20"/>
          <w:color w:val="auto"/>
        </w:rPr>
      </w:pPr>
    </w:p>
    <w:p>
      <w:pPr>
        <w:ind w:left="840" w:right="780" w:hanging="174"/>
        <w:spacing w:after="0" w:line="238" w:lineRule="auto"/>
        <w:tabs>
          <w:tab w:leader="none" w:pos="840" w:val="left"/>
        </w:tabs>
        <w:numPr>
          <w:ilvl w:val="0"/>
          <w:numId w:val="45"/>
        </w:numPr>
        <w:rPr>
          <w:rFonts w:ascii="Times New Roman" w:cs="Times New Roman" w:eastAsia="Times New Roman" w:hAnsi="Times New Roman"/>
          <w:sz w:val="15"/>
          <w:szCs w:val="15"/>
          <w:color w:val="050A35"/>
        </w:rPr>
      </w:pPr>
      <w:r>
        <w:rPr>
          <w:rFonts w:ascii="Arial" w:cs="Arial" w:eastAsia="Arial" w:hAnsi="Arial"/>
          <w:sz w:val="15"/>
          <w:szCs w:val="15"/>
          <w:color w:val="050A35"/>
        </w:rPr>
        <w:t>a cash payment in lieu of his entitlement to receive an additional RSU award in an amount of up to $8,000,000, subject to the achievement of a specified stock price target, with the amount of any such payment calculated as a portion of $8,000,000 based on the price of the of the Company’s common stock relative to the specified stock price target, as further described in Mr. Sarsfield’s employment agreement; and</w:t>
      </w:r>
    </w:p>
    <w:p>
      <w:pPr>
        <w:spacing w:after="0" w:line="71" w:lineRule="exact"/>
        <w:rPr>
          <w:rFonts w:ascii="Times New Roman" w:cs="Times New Roman" w:eastAsia="Times New Roman" w:hAnsi="Times New Roman"/>
          <w:sz w:val="15"/>
          <w:szCs w:val="15"/>
          <w:color w:val="050A35"/>
        </w:rPr>
      </w:pPr>
    </w:p>
    <w:p>
      <w:pPr>
        <w:ind w:left="840" w:hanging="174"/>
        <w:spacing w:after="0"/>
        <w:tabs>
          <w:tab w:leader="none" w:pos="840" w:val="left"/>
        </w:tabs>
        <w:numPr>
          <w:ilvl w:val="0"/>
          <w:numId w:val="45"/>
        </w:numPr>
        <w:rPr>
          <w:rFonts w:ascii="Times New Roman" w:cs="Times New Roman" w:eastAsia="Times New Roman" w:hAnsi="Times New Roman"/>
          <w:sz w:val="15"/>
          <w:szCs w:val="15"/>
          <w:color w:val="050A35"/>
        </w:rPr>
      </w:pPr>
      <w:r>
        <w:rPr>
          <w:rFonts w:ascii="Arial" w:cs="Arial" w:eastAsia="Arial" w:hAnsi="Arial"/>
          <w:sz w:val="15"/>
          <w:szCs w:val="15"/>
          <w:color w:val="050A35"/>
        </w:rPr>
        <w:t>immediate vesting of all outstanding equity awards and carried interest awards.</w:t>
      </w:r>
    </w:p>
    <w:p>
      <w:pPr>
        <w:spacing w:after="0" w:line="97" w:lineRule="exact"/>
        <w:rPr>
          <w:sz w:val="20"/>
          <w:szCs w:val="20"/>
          <w:color w:val="auto"/>
        </w:rPr>
      </w:pPr>
    </w:p>
    <w:p>
      <w:pPr>
        <w:ind w:left="660" w:right="800"/>
        <w:spacing w:after="0" w:line="238" w:lineRule="auto"/>
        <w:rPr>
          <w:sz w:val="20"/>
          <w:szCs w:val="20"/>
          <w:color w:val="auto"/>
        </w:rPr>
      </w:pPr>
      <w:r>
        <w:rPr>
          <w:rFonts w:ascii="Arial" w:cs="Arial" w:eastAsia="Arial" w:hAnsi="Arial"/>
          <w:sz w:val="15"/>
          <w:szCs w:val="15"/>
          <w:color w:val="050A35"/>
        </w:rPr>
        <w:t>Upon a Qualifying Termination on December 31, 2025 that occurred within 18 months of a change in control of the Company (or if the Company was then party to a letter of intent or definitive agreement that contemplates a change in control), each of Mses. Coussens and Jairath and Messrs. Hood and Jensen, would be have been entitled to receive the same payment and benefits (and subject to the same conditions) as indicated above with respect to a Qualifying Termination, except that (i) the cash severance payment would have been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40" w:type="dxa"/>
            <w:vAlign w:val="bottom"/>
          </w:tcPr>
          <w:p>
            <w:pPr>
              <w:ind w:left="6560"/>
              <w:spacing w:after="0"/>
              <w:rPr>
                <w:sz w:val="20"/>
                <w:szCs w:val="20"/>
                <w:color w:val="auto"/>
              </w:rPr>
            </w:pPr>
            <w:r>
              <w:rPr>
                <w:rFonts w:ascii="Arial" w:cs="Arial" w:eastAsia="Arial" w:hAnsi="Arial"/>
                <w:sz w:val="14"/>
                <w:szCs w:val="14"/>
                <w:color w:val="050A35"/>
              </w:rPr>
              <w:t>RIDGEPOST CAPITAL | 2026 Proxy Statement</w:t>
            </w:r>
          </w:p>
        </w:tc>
        <w:tc>
          <w:tcPr>
            <w:tcW w:w="980" w:type="dxa"/>
            <w:vAlign w:val="bottom"/>
          </w:tcPr>
          <w:p>
            <w:pPr>
              <w:jc w:val="right"/>
              <w:ind w:right="588"/>
              <w:spacing w:after="0"/>
              <w:rPr>
                <w:sz w:val="20"/>
                <w:szCs w:val="20"/>
                <w:color w:val="auto"/>
              </w:rPr>
            </w:pPr>
            <w:r>
              <w:rPr>
                <w:rFonts w:ascii="Arial" w:cs="Arial" w:eastAsia="Arial" w:hAnsi="Arial"/>
                <w:sz w:val="14"/>
                <w:szCs w:val="14"/>
                <w:b w:val="1"/>
                <w:bCs w:val="1"/>
                <w:color w:val="050A35"/>
              </w:rPr>
              <w:t>23</w:t>
            </w:r>
          </w:p>
        </w:tc>
      </w:tr>
      <w:tr>
        <w:trPr>
          <w:trHeight w:val="738"/>
        </w:trPr>
        <w:tc>
          <w:tcPr>
            <w:tcW w:w="97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sectPr>
      </w:pPr>
    </w:p>
    <w:bookmarkStart w:id="27" w:name="page28"/>
    <w:bookmarkEnd w:id="27"/>
    <w:p>
      <w:pPr>
        <w:spacing w:after="0"/>
        <w:rPr>
          <w:sz w:val="20"/>
          <w:szCs w:val="20"/>
          <w:color w:val="auto"/>
        </w:rPr>
      </w:pPr>
      <w:r>
        <w:rPr>
          <w:rFonts w:ascii="Arial" w:cs="Arial" w:eastAsia="Arial" w:hAnsi="Arial"/>
          <w:sz w:val="13"/>
          <w:szCs w:val="13"/>
          <w:color w:val="050A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9664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9" w:lineRule="exact"/>
        <w:rPr>
          <w:sz w:val="20"/>
          <w:szCs w:val="20"/>
          <w:color w:val="auto"/>
        </w:rPr>
      </w:pPr>
    </w:p>
    <w:p>
      <w:pPr>
        <w:ind w:right="160"/>
        <w:spacing w:after="0" w:line="264" w:lineRule="auto"/>
        <w:rPr>
          <w:sz w:val="20"/>
          <w:szCs w:val="20"/>
          <w:color w:val="auto"/>
        </w:rPr>
      </w:pPr>
      <w:r>
        <w:rPr>
          <w:rFonts w:ascii="Arial" w:cs="Arial" w:eastAsia="Arial" w:hAnsi="Arial"/>
          <w:sz w:val="15"/>
          <w:szCs w:val="15"/>
          <w:color w:val="050A35"/>
        </w:rPr>
        <w:t>increased to 1.5 times annual base salary and target annual bonus and (ii) reimbursement for COBRA premiums would have been for up to 18 months.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Death or Disability</w:t>
      </w:r>
    </w:p>
    <w:p>
      <w:pPr>
        <w:spacing w:after="0" w:line="106" w:lineRule="exact"/>
        <w:rPr>
          <w:sz w:val="20"/>
          <w:szCs w:val="20"/>
          <w:color w:val="auto"/>
        </w:rPr>
      </w:pPr>
    </w:p>
    <w:p>
      <w:pPr>
        <w:ind w:right="220"/>
        <w:spacing w:after="0" w:line="244" w:lineRule="auto"/>
        <w:rPr>
          <w:sz w:val="20"/>
          <w:szCs w:val="20"/>
          <w:color w:val="auto"/>
        </w:rPr>
      </w:pPr>
      <w:r>
        <w:rPr>
          <w:rFonts w:ascii="Arial" w:cs="Arial" w:eastAsia="Arial" w:hAnsi="Arial"/>
          <w:sz w:val="15"/>
          <w:szCs w:val="15"/>
          <w:color w:val="050A35"/>
        </w:rPr>
        <w:t>Upon a termination of employment due to death or disability on December 31, 2025, pursuant to the terms of such named executive officer’s employment agreement in effect at that time, each named executive officer would have been entitled to immediate vesting of all outstanding equity awards and carried interest awards.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Potential Payments Upon Termination or Change in Control Table</w:t>
      </w:r>
    </w:p>
    <w:p>
      <w:pPr>
        <w:spacing w:after="0" w:line="106" w:lineRule="exact"/>
        <w:rPr>
          <w:sz w:val="20"/>
          <w:szCs w:val="20"/>
          <w:color w:val="auto"/>
        </w:rPr>
      </w:pPr>
    </w:p>
    <w:p>
      <w:pPr>
        <w:ind w:right="40"/>
        <w:spacing w:after="0" w:line="232" w:lineRule="auto"/>
        <w:rPr>
          <w:sz w:val="20"/>
          <w:szCs w:val="20"/>
          <w:color w:val="auto"/>
        </w:rPr>
      </w:pPr>
      <w:r>
        <w:rPr>
          <w:rFonts w:ascii="Arial" w:cs="Arial" w:eastAsia="Arial" w:hAnsi="Arial"/>
          <w:sz w:val="15"/>
          <w:szCs w:val="15"/>
          <w:color w:val="050A35"/>
        </w:rPr>
        <w:t>The amounts that would have become payable to our named executive officers upon the events described above, assuming a termination and, if applicable, change in control date of December 31, 2025 (the last business day of 2025), are described and quantified in the table below. These amounts, which exclude the effect of any applicable taxes, are based on the named executive officer’s annual base salary, target annual bonus amount, the number of equity awards outstanding, and the closing price of our common stock ($9.81), on December 31, 2025. Carried interest is paid based on the price at which the Company can sell or otherwise realize value from its investments. It is inherently uncertain and any yet unrealized carried interest amounts may not be paid for several years after carried interest is fully vested, if at all. Because of this uncertainty, we do not provide a calculation of carried interest payment amounts that would have become payable upon the applicable event on December 31,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112B19"/>
              </w:rPr>
              <w:t>COBRA</w:t>
            </w:r>
          </w:p>
        </w:tc>
        <w:tc>
          <w:tcPr>
            <w:tcW w:w="23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112B19"/>
              </w:rPr>
              <w:t>Acceleration of Equity Awards</w:t>
            </w: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center"/>
              <w:ind w:right="148"/>
              <w:spacing w:after="0"/>
              <w:rPr>
                <w:sz w:val="20"/>
                <w:szCs w:val="20"/>
                <w:color w:val="auto"/>
              </w:rPr>
            </w:pPr>
            <w:r>
              <w:rPr>
                <w:rFonts w:ascii="Arial" w:cs="Arial" w:eastAsia="Arial" w:hAnsi="Arial"/>
                <w:sz w:val="14"/>
                <w:szCs w:val="14"/>
                <w:b w:val="1"/>
                <w:bCs w:val="1"/>
                <w:color w:val="112B19"/>
              </w:rPr>
              <w:t>Cash</w:t>
            </w:r>
          </w:p>
        </w:tc>
        <w:tc>
          <w:tcPr>
            <w:tcW w:w="1200" w:type="dxa"/>
            <w:vAlign w:val="bottom"/>
          </w:tcPr>
          <w:p>
            <w:pPr>
              <w:jc w:val="right"/>
              <w:ind w:right="68"/>
              <w:spacing w:after="0"/>
              <w:rPr>
                <w:sz w:val="20"/>
                <w:szCs w:val="20"/>
                <w:color w:val="auto"/>
              </w:rPr>
            </w:pPr>
            <w:r>
              <w:rPr>
                <w:rFonts w:ascii="Arial" w:cs="Arial" w:eastAsia="Arial" w:hAnsi="Arial"/>
                <w:sz w:val="14"/>
                <w:szCs w:val="14"/>
                <w:b w:val="1"/>
                <w:bCs w:val="1"/>
                <w:color w:val="112B19"/>
              </w:rPr>
              <w:t>Reimburseme</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jc w:val="center"/>
              <w:ind w:right="168"/>
              <w:spacing w:after="0"/>
              <w:rPr>
                <w:sz w:val="20"/>
                <w:szCs w:val="20"/>
                <w:color w:val="auto"/>
              </w:rPr>
            </w:pPr>
            <w:r>
              <w:rPr>
                <w:rFonts w:ascii="Arial" w:cs="Arial" w:eastAsia="Arial" w:hAnsi="Arial"/>
                <w:sz w:val="14"/>
                <w:szCs w:val="14"/>
                <w:b w:val="1"/>
                <w:bCs w:val="1"/>
                <w:color w:val="112B19"/>
              </w:rPr>
              <w:t>Payment in</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jc w:val="center"/>
              <w:ind w:right="108"/>
              <w:spacing w:after="0" w:line="145" w:lineRule="exact"/>
              <w:rPr>
                <w:sz w:val="20"/>
                <w:szCs w:val="20"/>
                <w:color w:val="auto"/>
              </w:rPr>
            </w:pPr>
            <w:r>
              <w:rPr>
                <w:rFonts w:ascii="Arial" w:cs="Arial" w:eastAsia="Arial" w:hAnsi="Arial"/>
                <w:sz w:val="14"/>
                <w:szCs w:val="14"/>
                <w:b w:val="1"/>
                <w:bCs w:val="1"/>
                <w:color w:val="112B19"/>
              </w:rPr>
              <w:t>Severance</w:t>
            </w:r>
          </w:p>
        </w:tc>
        <w:tc>
          <w:tcPr>
            <w:tcW w:w="1200" w:type="dxa"/>
            <w:vAlign w:val="bottom"/>
          </w:tcPr>
          <w:p>
            <w:pPr>
              <w:jc w:val="center"/>
              <w:spacing w:after="0" w:line="145" w:lineRule="exact"/>
              <w:rPr>
                <w:sz w:val="20"/>
                <w:szCs w:val="20"/>
                <w:color w:val="auto"/>
              </w:rPr>
            </w:pPr>
            <w:r>
              <w:rPr>
                <w:rFonts w:ascii="Arial" w:cs="Arial" w:eastAsia="Arial" w:hAnsi="Arial"/>
                <w:sz w:val="14"/>
                <w:szCs w:val="14"/>
                <w:b w:val="1"/>
                <w:bCs w:val="1"/>
                <w:color w:val="112B19"/>
              </w:rPr>
              <w:t>nt</w:t>
            </w:r>
          </w:p>
        </w:tc>
        <w:tc>
          <w:tcPr>
            <w:tcW w:w="1160" w:type="dxa"/>
            <w:vAlign w:val="bottom"/>
          </w:tcPr>
          <w:p>
            <w:pPr>
              <w:jc w:val="right"/>
              <w:ind w:right="348"/>
              <w:spacing w:after="0" w:line="145" w:lineRule="exact"/>
              <w:rPr>
                <w:sz w:val="20"/>
                <w:szCs w:val="20"/>
                <w:color w:val="auto"/>
              </w:rPr>
            </w:pPr>
            <w:r>
              <w:rPr>
                <w:rFonts w:ascii="Arial" w:cs="Arial" w:eastAsia="Arial" w:hAnsi="Arial"/>
                <w:sz w:val="14"/>
                <w:szCs w:val="14"/>
                <w:b w:val="1"/>
                <w:bCs w:val="1"/>
                <w:color w:val="112B19"/>
              </w:rPr>
              <w:t>RSUs</w:t>
            </w:r>
          </w:p>
        </w:tc>
        <w:tc>
          <w:tcPr>
            <w:tcW w:w="1200" w:type="dxa"/>
            <w:vAlign w:val="bottom"/>
          </w:tcPr>
          <w:p>
            <w:pPr>
              <w:jc w:val="right"/>
              <w:ind w:right="68"/>
              <w:spacing w:after="0" w:line="145" w:lineRule="exact"/>
              <w:rPr>
                <w:sz w:val="20"/>
                <w:szCs w:val="20"/>
                <w:color w:val="auto"/>
              </w:rPr>
            </w:pPr>
            <w:r>
              <w:rPr>
                <w:rFonts w:ascii="Arial" w:cs="Arial" w:eastAsia="Arial" w:hAnsi="Arial"/>
                <w:sz w:val="14"/>
                <w:szCs w:val="14"/>
                <w:b w:val="1"/>
                <w:bCs w:val="1"/>
                <w:color w:val="112B19"/>
              </w:rPr>
              <w:t>Stock Options</w:t>
            </w:r>
          </w:p>
        </w:tc>
        <w:tc>
          <w:tcPr>
            <w:tcW w:w="130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112B19"/>
              </w:rPr>
              <w:t>lieu of RSUs</w:t>
            </w:r>
          </w:p>
        </w:tc>
        <w:tc>
          <w:tcPr>
            <w:tcW w:w="1040" w:type="dxa"/>
            <w:vAlign w:val="bottom"/>
          </w:tcPr>
          <w:p>
            <w:pPr>
              <w:jc w:val="right"/>
              <w:ind w:right="368"/>
              <w:spacing w:after="0" w:line="145" w:lineRule="exact"/>
              <w:rPr>
                <w:sz w:val="20"/>
                <w:szCs w:val="20"/>
                <w:color w:val="auto"/>
              </w:rPr>
            </w:pPr>
            <w:r>
              <w:rPr>
                <w:rFonts w:ascii="Arial" w:cs="Arial" w:eastAsia="Arial" w:hAnsi="Arial"/>
                <w:sz w:val="14"/>
                <w:szCs w:val="14"/>
                <w:b w:val="1"/>
                <w:bCs w:val="1"/>
                <w:color w:val="112B19"/>
              </w:rPr>
              <w:t>Total</w:t>
            </w:r>
          </w:p>
        </w:tc>
        <w:tc>
          <w:tcPr>
            <w:tcW w:w="0" w:type="dxa"/>
            <w:vAlign w:val="bottom"/>
          </w:tcPr>
          <w:p>
            <w:pPr>
              <w:spacing w:after="0"/>
              <w:rPr>
                <w:sz w:val="1"/>
                <w:szCs w:val="1"/>
                <w:color w:val="auto"/>
              </w:rPr>
            </w:pPr>
          </w:p>
        </w:tc>
      </w:tr>
      <w:tr>
        <w:trPr>
          <w:trHeight w:val="189"/>
        </w:trPr>
        <w:tc>
          <w:tcPr>
            <w:tcW w:w="2040" w:type="dxa"/>
            <w:vAlign w:val="bottom"/>
            <w:tcBorders>
              <w:bottom w:val="single" w:sz="8" w:color="112B19"/>
            </w:tcBorders>
          </w:tcPr>
          <w:p>
            <w:pPr>
              <w:spacing w:after="0"/>
              <w:rPr>
                <w:sz w:val="20"/>
                <w:szCs w:val="20"/>
                <w:color w:val="auto"/>
              </w:rPr>
            </w:pPr>
            <w:r>
              <w:rPr>
                <w:rFonts w:ascii="Arial" w:cs="Arial" w:eastAsia="Arial" w:hAnsi="Arial"/>
                <w:sz w:val="14"/>
                <w:szCs w:val="14"/>
                <w:b w:val="1"/>
                <w:bCs w:val="1"/>
                <w:color w:val="112B19"/>
              </w:rPr>
              <w:t>Name and Event</w:t>
            </w:r>
          </w:p>
        </w:tc>
        <w:tc>
          <w:tcPr>
            <w:tcW w:w="1460" w:type="dxa"/>
            <w:vAlign w:val="bottom"/>
            <w:tcBorders>
              <w:bottom w:val="single" w:sz="8" w:color="112B19"/>
            </w:tcBorders>
            <w:gridSpan w:val="2"/>
          </w:tcPr>
          <w:p>
            <w:pPr>
              <w:jc w:val="center"/>
              <w:ind w:left="168"/>
              <w:spacing w:after="0"/>
              <w:rPr>
                <w:sz w:val="20"/>
                <w:szCs w:val="20"/>
                <w:color w:val="auto"/>
              </w:rPr>
            </w:pPr>
            <w:r>
              <w:rPr>
                <w:rFonts w:ascii="Arial" w:cs="Arial" w:eastAsia="Arial" w:hAnsi="Arial"/>
                <w:sz w:val="14"/>
                <w:szCs w:val="14"/>
                <w:b w:val="1"/>
                <w:bCs w:val="1"/>
                <w:color w:val="112B19"/>
              </w:rPr>
              <w:t>($)</w:t>
            </w:r>
          </w:p>
        </w:tc>
        <w:tc>
          <w:tcPr>
            <w:tcW w:w="1200" w:type="dxa"/>
            <w:vAlign w:val="bottom"/>
            <w:tcBorders>
              <w:bottom w:val="single" w:sz="8" w:color="112B19"/>
            </w:tcBorders>
          </w:tcPr>
          <w:p>
            <w:pPr>
              <w:jc w:val="center"/>
              <w:spacing w:after="0" w:line="189" w:lineRule="exact"/>
              <w:rPr>
                <w:sz w:val="20"/>
                <w:szCs w:val="20"/>
                <w:color w:val="auto"/>
              </w:rPr>
            </w:pPr>
            <w:r>
              <w:rPr>
                <w:rFonts w:ascii="Arial" w:cs="Arial" w:eastAsia="Arial" w:hAnsi="Arial"/>
                <w:sz w:val="14"/>
                <w:szCs w:val="14"/>
                <w:b w:val="1"/>
                <w:bCs w:val="1"/>
                <w:color w:val="112B19"/>
                <w:w w:val="91"/>
              </w:rPr>
              <w:t>($)</w:t>
            </w:r>
            <w:r>
              <w:rPr>
                <w:rFonts w:ascii="Arial" w:cs="Arial" w:eastAsia="Arial" w:hAnsi="Arial"/>
                <w:sz w:val="19"/>
                <w:szCs w:val="19"/>
                <w:b w:val="1"/>
                <w:bCs w:val="1"/>
                <w:color w:val="112B19"/>
                <w:w w:val="91"/>
                <w:vertAlign w:val="superscript"/>
              </w:rPr>
              <w:t>(1)</w:t>
            </w:r>
          </w:p>
        </w:tc>
        <w:tc>
          <w:tcPr>
            <w:tcW w:w="1160" w:type="dxa"/>
            <w:vAlign w:val="bottom"/>
            <w:tcBorders>
              <w:bottom w:val="single" w:sz="8" w:color="112B19"/>
            </w:tcBorders>
          </w:tcPr>
          <w:p>
            <w:pPr>
              <w:jc w:val="right"/>
              <w:ind w:right="388"/>
              <w:spacing w:after="0" w:line="189" w:lineRule="exact"/>
              <w:rPr>
                <w:sz w:val="20"/>
                <w:szCs w:val="20"/>
                <w:color w:val="auto"/>
              </w:rPr>
            </w:pPr>
            <w:r>
              <w:rPr>
                <w:rFonts w:ascii="Arial" w:cs="Arial" w:eastAsia="Arial" w:hAnsi="Arial"/>
                <w:sz w:val="14"/>
                <w:szCs w:val="14"/>
                <w:b w:val="1"/>
                <w:bCs w:val="1"/>
                <w:color w:val="112B19"/>
              </w:rPr>
              <w:t>($)</w:t>
            </w:r>
            <w:r>
              <w:rPr>
                <w:rFonts w:ascii="Arial" w:cs="Arial" w:eastAsia="Arial" w:hAnsi="Arial"/>
                <w:sz w:val="19"/>
                <w:szCs w:val="19"/>
                <w:b w:val="1"/>
                <w:bCs w:val="1"/>
                <w:color w:val="112B19"/>
                <w:vertAlign w:val="superscript"/>
              </w:rPr>
              <w:t>(2)</w:t>
            </w:r>
          </w:p>
        </w:tc>
        <w:tc>
          <w:tcPr>
            <w:tcW w:w="1200" w:type="dxa"/>
            <w:vAlign w:val="bottom"/>
            <w:tcBorders>
              <w:bottom w:val="single" w:sz="8" w:color="112B19"/>
            </w:tcBorders>
          </w:tcPr>
          <w:p>
            <w:pPr>
              <w:jc w:val="right"/>
              <w:ind w:right="408"/>
              <w:spacing w:after="0" w:line="189" w:lineRule="exact"/>
              <w:rPr>
                <w:sz w:val="20"/>
                <w:szCs w:val="20"/>
                <w:color w:val="auto"/>
              </w:rPr>
            </w:pPr>
            <w:r>
              <w:rPr>
                <w:rFonts w:ascii="Arial" w:cs="Arial" w:eastAsia="Arial" w:hAnsi="Arial"/>
                <w:sz w:val="14"/>
                <w:szCs w:val="14"/>
                <w:b w:val="1"/>
                <w:bCs w:val="1"/>
                <w:color w:val="112B19"/>
              </w:rPr>
              <w:t>($)</w:t>
            </w:r>
            <w:r>
              <w:rPr>
                <w:rFonts w:ascii="Arial" w:cs="Arial" w:eastAsia="Arial" w:hAnsi="Arial"/>
                <w:sz w:val="19"/>
                <w:szCs w:val="19"/>
                <w:b w:val="1"/>
                <w:bCs w:val="1"/>
                <w:color w:val="112B19"/>
                <w:vertAlign w:val="superscript"/>
              </w:rPr>
              <w:t>(3)</w:t>
            </w:r>
          </w:p>
        </w:tc>
        <w:tc>
          <w:tcPr>
            <w:tcW w:w="1300" w:type="dxa"/>
            <w:vAlign w:val="bottom"/>
            <w:tcBorders>
              <w:bottom w:val="single" w:sz="8" w:color="112B19"/>
            </w:tcBorders>
          </w:tcPr>
          <w:p>
            <w:pPr>
              <w:jc w:val="center"/>
              <w:ind w:right="128"/>
              <w:spacing w:after="0" w:line="189" w:lineRule="exact"/>
              <w:rPr>
                <w:sz w:val="20"/>
                <w:szCs w:val="20"/>
                <w:color w:val="auto"/>
              </w:rPr>
            </w:pPr>
            <w:r>
              <w:rPr>
                <w:rFonts w:ascii="Arial" w:cs="Arial" w:eastAsia="Arial" w:hAnsi="Arial"/>
                <w:sz w:val="14"/>
                <w:szCs w:val="14"/>
                <w:b w:val="1"/>
                <w:bCs w:val="1"/>
                <w:color w:val="112B19"/>
                <w:w w:val="91"/>
              </w:rPr>
              <w:t>($)</w:t>
            </w:r>
            <w:r>
              <w:rPr>
                <w:rFonts w:ascii="Arial" w:cs="Arial" w:eastAsia="Arial" w:hAnsi="Arial"/>
                <w:sz w:val="19"/>
                <w:szCs w:val="19"/>
                <w:b w:val="1"/>
                <w:bCs w:val="1"/>
                <w:color w:val="112B19"/>
                <w:w w:val="91"/>
                <w:vertAlign w:val="superscript"/>
              </w:rPr>
              <w:t>(4)</w:t>
            </w:r>
          </w:p>
        </w:tc>
        <w:tc>
          <w:tcPr>
            <w:tcW w:w="1040" w:type="dxa"/>
            <w:vAlign w:val="bottom"/>
            <w:tcBorders>
              <w:bottom w:val="single" w:sz="8" w:color="112B19"/>
            </w:tcBorders>
          </w:tcPr>
          <w:p>
            <w:pPr>
              <w:jc w:val="right"/>
              <w:ind w:right="448"/>
              <w:spacing w:after="0"/>
              <w:rPr>
                <w:sz w:val="20"/>
                <w:szCs w:val="20"/>
                <w:color w:val="auto"/>
              </w:rPr>
            </w:pPr>
            <w:r>
              <w:rPr>
                <w:rFonts w:ascii="Arial" w:cs="Arial" w:eastAsia="Arial" w:hAnsi="Arial"/>
                <w:sz w:val="14"/>
                <w:szCs w:val="14"/>
                <w:b w:val="1"/>
                <w:bCs w:val="1"/>
                <w:color w:val="112B19"/>
              </w:rPr>
              <w:t>($)</w:t>
            </w:r>
          </w:p>
        </w:tc>
        <w:tc>
          <w:tcPr>
            <w:tcW w:w="0" w:type="dxa"/>
            <w:vAlign w:val="bottom"/>
          </w:tcPr>
          <w:p>
            <w:pPr>
              <w:spacing w:after="0"/>
              <w:rPr>
                <w:sz w:val="1"/>
                <w:szCs w:val="1"/>
                <w:color w:val="auto"/>
              </w:rPr>
            </w:pPr>
          </w:p>
        </w:tc>
      </w:tr>
      <w:tr>
        <w:trPr>
          <w:trHeight w:val="188"/>
        </w:trPr>
        <w:tc>
          <w:tcPr>
            <w:tcW w:w="2040" w:type="dxa"/>
            <w:vAlign w:val="bottom"/>
          </w:tcPr>
          <w:p>
            <w:pPr>
              <w:ind w:left="100"/>
              <w:spacing w:after="0"/>
              <w:rPr>
                <w:sz w:val="20"/>
                <w:szCs w:val="20"/>
                <w:color w:val="auto"/>
              </w:rPr>
            </w:pPr>
            <w:r>
              <w:rPr>
                <w:rFonts w:ascii="Arial" w:cs="Arial" w:eastAsia="Arial" w:hAnsi="Arial"/>
                <w:sz w:val="14"/>
                <w:szCs w:val="14"/>
                <w:color w:val="auto"/>
              </w:rPr>
              <w:t>Luke Sarsfield</w:t>
            </w: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40" w:type="dxa"/>
            <w:vAlign w:val="bottom"/>
          </w:tcPr>
          <w:p>
            <w:pPr>
              <w:ind w:left="180"/>
              <w:spacing w:after="0"/>
              <w:rPr>
                <w:sz w:val="20"/>
                <w:szCs w:val="20"/>
                <w:color w:val="auto"/>
              </w:rPr>
            </w:pPr>
            <w:r>
              <w:rPr>
                <w:rFonts w:ascii="Arial" w:cs="Arial" w:eastAsia="Arial" w:hAnsi="Arial"/>
                <w:sz w:val="14"/>
                <w:szCs w:val="14"/>
                <w:i w:val="1"/>
                <w:iCs w:val="1"/>
                <w:color w:val="auto"/>
              </w:rPr>
              <w:t>Qualifying Termination (not</w:t>
            </w:r>
          </w:p>
        </w:tc>
        <w:tc>
          <w:tcPr>
            <w:tcW w:w="146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3,750,000</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3,462,636</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237,433</w:t>
            </w:r>
          </w:p>
        </w:tc>
        <w:tc>
          <w:tcPr>
            <w:tcW w:w="13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7,450,069</w:t>
            </w:r>
          </w:p>
        </w:tc>
        <w:tc>
          <w:tcPr>
            <w:tcW w:w="0" w:type="dxa"/>
            <w:vAlign w:val="bottom"/>
          </w:tcPr>
          <w:p>
            <w:pPr>
              <w:spacing w:after="0"/>
              <w:rPr>
                <w:sz w:val="1"/>
                <w:szCs w:val="1"/>
                <w:color w:val="auto"/>
              </w:rPr>
            </w:pPr>
          </w:p>
        </w:tc>
      </w:tr>
      <w:tr>
        <w:trPr>
          <w:trHeight w:val="176"/>
        </w:trPr>
        <w:tc>
          <w:tcPr>
            <w:tcW w:w="2040" w:type="dxa"/>
            <w:vAlign w:val="bottom"/>
          </w:tcPr>
          <w:p>
            <w:pPr>
              <w:ind w:left="180"/>
              <w:spacing w:after="0"/>
              <w:rPr>
                <w:sz w:val="20"/>
                <w:szCs w:val="20"/>
                <w:color w:val="auto"/>
              </w:rPr>
            </w:pPr>
            <w:r>
              <w:rPr>
                <w:rFonts w:ascii="Arial" w:cs="Arial" w:eastAsia="Arial" w:hAnsi="Arial"/>
                <w:sz w:val="14"/>
                <w:szCs w:val="14"/>
                <w:i w:val="1"/>
                <w:iCs w:val="1"/>
                <w:color w:val="auto"/>
              </w:rPr>
              <w:t>including non-renewal)</w:t>
            </w:r>
          </w:p>
        </w:tc>
        <w:tc>
          <w:tcPr>
            <w:tcW w:w="146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180"/>
              <w:spacing w:after="0"/>
              <w:rPr>
                <w:sz w:val="20"/>
                <w:szCs w:val="20"/>
                <w:color w:val="auto"/>
              </w:rPr>
            </w:pPr>
            <w:r>
              <w:rPr>
                <w:rFonts w:ascii="Arial" w:cs="Arial" w:eastAsia="Arial" w:hAnsi="Arial"/>
                <w:sz w:val="14"/>
                <w:szCs w:val="14"/>
                <w:i w:val="1"/>
                <w:iCs w:val="1"/>
                <w:color w:val="auto"/>
              </w:rPr>
              <w:t>Change in Control</w:t>
            </w:r>
          </w:p>
        </w:tc>
        <w:tc>
          <w:tcPr>
            <w:tcW w:w="44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3,462,636</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237,433</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669,238</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4,369,307</w:t>
            </w:r>
          </w:p>
        </w:tc>
        <w:tc>
          <w:tcPr>
            <w:tcW w:w="0" w:type="dxa"/>
            <w:vAlign w:val="bottom"/>
          </w:tcPr>
          <w:p>
            <w:pPr>
              <w:spacing w:after="0"/>
              <w:rPr>
                <w:sz w:val="1"/>
                <w:szCs w:val="1"/>
                <w:color w:val="auto"/>
              </w:rPr>
            </w:pPr>
          </w:p>
        </w:tc>
      </w:tr>
      <w:tr>
        <w:trPr>
          <w:trHeight w:val="162"/>
        </w:trPr>
        <w:tc>
          <w:tcPr>
            <w:tcW w:w="2040" w:type="dxa"/>
            <w:vAlign w:val="bottom"/>
          </w:tcPr>
          <w:p>
            <w:pPr>
              <w:ind w:left="180"/>
              <w:spacing w:after="0"/>
              <w:rPr>
                <w:sz w:val="20"/>
                <w:szCs w:val="20"/>
                <w:color w:val="auto"/>
              </w:rPr>
            </w:pPr>
            <w:r>
              <w:rPr>
                <w:rFonts w:ascii="Arial" w:cs="Arial" w:eastAsia="Arial" w:hAnsi="Arial"/>
                <w:sz w:val="14"/>
                <w:szCs w:val="14"/>
                <w:i w:val="1"/>
                <w:iCs w:val="1"/>
                <w:color w:val="auto"/>
              </w:rPr>
              <w:t>Qualifying Termination in</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180"/>
              <w:spacing w:after="0"/>
              <w:rPr>
                <w:sz w:val="20"/>
                <w:szCs w:val="20"/>
                <w:color w:val="auto"/>
              </w:rPr>
            </w:pPr>
            <w:r>
              <w:rPr>
                <w:rFonts w:ascii="Arial" w:cs="Arial" w:eastAsia="Arial" w:hAnsi="Arial"/>
                <w:sz w:val="14"/>
                <w:szCs w:val="14"/>
                <w:i w:val="1"/>
                <w:iCs w:val="1"/>
                <w:color w:val="auto"/>
              </w:rPr>
              <w:t>connection with Change in</w:t>
            </w:r>
          </w:p>
        </w:tc>
        <w:tc>
          <w:tcPr>
            <w:tcW w:w="146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3,750,000</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3,462,636</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237,433</w:t>
            </w:r>
          </w:p>
        </w:tc>
        <w:tc>
          <w:tcPr>
            <w:tcW w:w="1300" w:type="dxa"/>
            <w:vAlign w:val="bottom"/>
            <w:vMerge w:val="restart"/>
          </w:tcPr>
          <w:p>
            <w:pPr>
              <w:jc w:val="right"/>
              <w:ind w:right="188"/>
              <w:spacing w:after="0"/>
              <w:rPr>
                <w:sz w:val="20"/>
                <w:szCs w:val="20"/>
                <w:color w:val="auto"/>
              </w:rPr>
            </w:pPr>
            <w:r>
              <w:rPr>
                <w:rFonts w:ascii="Arial" w:cs="Arial" w:eastAsia="Arial" w:hAnsi="Arial"/>
                <w:sz w:val="14"/>
                <w:szCs w:val="14"/>
                <w:color w:val="auto"/>
              </w:rPr>
              <w:t>669,238</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8,119,307</w:t>
            </w:r>
          </w:p>
        </w:tc>
        <w:tc>
          <w:tcPr>
            <w:tcW w:w="0" w:type="dxa"/>
            <w:vAlign w:val="bottom"/>
          </w:tcPr>
          <w:p>
            <w:pPr>
              <w:spacing w:after="0"/>
              <w:rPr>
                <w:sz w:val="1"/>
                <w:szCs w:val="1"/>
                <w:color w:val="auto"/>
              </w:rPr>
            </w:pPr>
          </w:p>
        </w:tc>
      </w:tr>
      <w:tr>
        <w:trPr>
          <w:trHeight w:val="175"/>
        </w:trPr>
        <w:tc>
          <w:tcPr>
            <w:tcW w:w="2040" w:type="dxa"/>
            <w:vAlign w:val="bottom"/>
          </w:tcPr>
          <w:p>
            <w:pPr>
              <w:ind w:left="180"/>
              <w:spacing w:after="0"/>
              <w:rPr>
                <w:sz w:val="20"/>
                <w:szCs w:val="20"/>
                <w:color w:val="auto"/>
              </w:rPr>
            </w:pPr>
            <w:r>
              <w:rPr>
                <w:rFonts w:ascii="Arial" w:cs="Arial" w:eastAsia="Arial" w:hAnsi="Arial"/>
                <w:sz w:val="14"/>
                <w:szCs w:val="14"/>
                <w:i w:val="1"/>
                <w:iCs w:val="1"/>
                <w:color w:val="auto"/>
              </w:rPr>
              <w:t>Control</w:t>
            </w:r>
          </w:p>
        </w:tc>
        <w:tc>
          <w:tcPr>
            <w:tcW w:w="146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40" w:type="dxa"/>
            <w:vAlign w:val="bottom"/>
          </w:tcPr>
          <w:p>
            <w:pPr>
              <w:ind w:left="180"/>
              <w:spacing w:after="0"/>
              <w:rPr>
                <w:sz w:val="20"/>
                <w:szCs w:val="20"/>
                <w:color w:val="auto"/>
              </w:rPr>
            </w:pPr>
            <w:r>
              <w:rPr>
                <w:rFonts w:ascii="Arial" w:cs="Arial" w:eastAsia="Arial" w:hAnsi="Arial"/>
                <w:sz w:val="14"/>
                <w:szCs w:val="14"/>
                <w:i w:val="1"/>
                <w:iCs w:val="1"/>
                <w:color w:val="auto"/>
              </w:rPr>
              <w:t>Death or Disability</w:t>
            </w:r>
          </w:p>
        </w:tc>
        <w:tc>
          <w:tcPr>
            <w:tcW w:w="44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3,462,636</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237,433</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3,700,069</w:t>
            </w:r>
          </w:p>
        </w:tc>
        <w:tc>
          <w:tcPr>
            <w:tcW w:w="0" w:type="dxa"/>
            <w:vAlign w:val="bottom"/>
          </w:tcPr>
          <w:p>
            <w:pPr>
              <w:spacing w:after="0"/>
              <w:rPr>
                <w:sz w:val="1"/>
                <w:szCs w:val="1"/>
                <w:color w:val="auto"/>
              </w:rPr>
            </w:pPr>
          </w:p>
        </w:tc>
      </w:tr>
      <w:tr>
        <w:trPr>
          <w:trHeight w:val="194"/>
        </w:trPr>
        <w:tc>
          <w:tcPr>
            <w:tcW w:w="2040" w:type="dxa"/>
            <w:vAlign w:val="bottom"/>
            <w:shd w:val="clear" w:color="auto" w:fill="EDEDED"/>
          </w:tcPr>
          <w:p>
            <w:pPr>
              <w:ind w:left="100"/>
              <w:spacing w:after="0"/>
              <w:rPr>
                <w:sz w:val="20"/>
                <w:szCs w:val="20"/>
                <w:color w:val="auto"/>
              </w:rPr>
            </w:pPr>
            <w:r>
              <w:rPr>
                <w:rFonts w:ascii="Arial" w:cs="Arial" w:eastAsia="Arial" w:hAnsi="Arial"/>
                <w:sz w:val="14"/>
                <w:szCs w:val="14"/>
                <w:color w:val="auto"/>
              </w:rPr>
              <w:t>Amanda Coussens</w:t>
            </w:r>
          </w:p>
        </w:tc>
        <w:tc>
          <w:tcPr>
            <w:tcW w:w="440" w:type="dxa"/>
            <w:vAlign w:val="bottom"/>
            <w:shd w:val="clear" w:color="auto" w:fill="EDEDED"/>
          </w:tcPr>
          <w:p>
            <w:pPr>
              <w:spacing w:after="0"/>
              <w:rPr>
                <w:sz w:val="16"/>
                <w:szCs w:val="16"/>
                <w:color w:val="auto"/>
              </w:rPr>
            </w:pPr>
          </w:p>
        </w:tc>
        <w:tc>
          <w:tcPr>
            <w:tcW w:w="1020" w:type="dxa"/>
            <w:vAlign w:val="bottom"/>
            <w:shd w:val="clear" w:color="auto" w:fill="EDEDED"/>
          </w:tcPr>
          <w:p>
            <w:pPr>
              <w:spacing w:after="0"/>
              <w:rPr>
                <w:sz w:val="16"/>
                <w:szCs w:val="16"/>
                <w:color w:val="auto"/>
              </w:rPr>
            </w:pPr>
          </w:p>
        </w:tc>
        <w:tc>
          <w:tcPr>
            <w:tcW w:w="1200" w:type="dxa"/>
            <w:vAlign w:val="bottom"/>
            <w:shd w:val="clear" w:color="auto" w:fill="EDEDED"/>
          </w:tcPr>
          <w:p>
            <w:pPr>
              <w:spacing w:after="0"/>
              <w:rPr>
                <w:sz w:val="16"/>
                <w:szCs w:val="16"/>
                <w:color w:val="auto"/>
              </w:rPr>
            </w:pPr>
          </w:p>
        </w:tc>
        <w:tc>
          <w:tcPr>
            <w:tcW w:w="1160" w:type="dxa"/>
            <w:vAlign w:val="bottom"/>
            <w:shd w:val="clear" w:color="auto" w:fill="EDEDED"/>
          </w:tcPr>
          <w:p>
            <w:pPr>
              <w:spacing w:after="0"/>
              <w:rPr>
                <w:sz w:val="16"/>
                <w:szCs w:val="16"/>
                <w:color w:val="auto"/>
              </w:rPr>
            </w:pPr>
          </w:p>
        </w:tc>
        <w:tc>
          <w:tcPr>
            <w:tcW w:w="1200" w:type="dxa"/>
            <w:vAlign w:val="bottom"/>
            <w:shd w:val="clear" w:color="auto" w:fill="EDEDED"/>
          </w:tcPr>
          <w:p>
            <w:pPr>
              <w:spacing w:after="0"/>
              <w:rPr>
                <w:sz w:val="16"/>
                <w:szCs w:val="16"/>
                <w:color w:val="auto"/>
              </w:rPr>
            </w:pPr>
          </w:p>
        </w:tc>
        <w:tc>
          <w:tcPr>
            <w:tcW w:w="1300" w:type="dxa"/>
            <w:vAlign w:val="bottom"/>
            <w:shd w:val="clear" w:color="auto" w:fill="EDEDED"/>
          </w:tcPr>
          <w:p>
            <w:pPr>
              <w:spacing w:after="0"/>
              <w:rPr>
                <w:sz w:val="16"/>
                <w:szCs w:val="16"/>
                <w:color w:val="auto"/>
              </w:rPr>
            </w:pPr>
          </w:p>
        </w:tc>
        <w:tc>
          <w:tcPr>
            <w:tcW w:w="104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40" w:type="dxa"/>
            <w:vAlign w:val="bottom"/>
            <w:shd w:val="clear" w:color="auto" w:fill="EDEDED"/>
          </w:tcPr>
          <w:p>
            <w:pPr>
              <w:ind w:left="180"/>
              <w:spacing w:after="0"/>
              <w:rPr>
                <w:sz w:val="20"/>
                <w:szCs w:val="20"/>
                <w:color w:val="auto"/>
              </w:rPr>
            </w:pPr>
            <w:r>
              <w:rPr>
                <w:rFonts w:ascii="Arial" w:cs="Arial" w:eastAsia="Arial" w:hAnsi="Arial"/>
                <w:sz w:val="14"/>
                <w:szCs w:val="14"/>
                <w:i w:val="1"/>
                <w:iCs w:val="1"/>
                <w:color w:val="auto"/>
              </w:rPr>
              <w:t>Qualifying Termination</w:t>
            </w:r>
          </w:p>
        </w:tc>
        <w:tc>
          <w:tcPr>
            <w:tcW w:w="1460" w:type="dxa"/>
            <w:vAlign w:val="bottom"/>
            <w:gridSpan w:val="2"/>
            <w:shd w:val="clear" w:color="auto" w:fill="EDEDED"/>
          </w:tcPr>
          <w:p>
            <w:pPr>
              <w:jc w:val="right"/>
              <w:ind w:right="28"/>
              <w:spacing w:after="0"/>
              <w:rPr>
                <w:sz w:val="20"/>
                <w:szCs w:val="20"/>
                <w:color w:val="auto"/>
              </w:rPr>
            </w:pPr>
            <w:r>
              <w:rPr>
                <w:rFonts w:ascii="Arial" w:cs="Arial" w:eastAsia="Arial" w:hAnsi="Arial"/>
                <w:sz w:val="14"/>
                <w:szCs w:val="14"/>
                <w:color w:val="auto"/>
              </w:rPr>
              <w:t>800,000</w:t>
            </w:r>
          </w:p>
        </w:tc>
        <w:tc>
          <w:tcPr>
            <w:tcW w:w="1200" w:type="dxa"/>
            <w:vAlign w:val="bottom"/>
            <w:shd w:val="clear" w:color="auto" w:fill="EDEDED"/>
          </w:tcPr>
          <w:p>
            <w:pPr>
              <w:jc w:val="right"/>
              <w:ind w:right="48"/>
              <w:spacing w:after="0"/>
              <w:rPr>
                <w:sz w:val="20"/>
                <w:szCs w:val="20"/>
                <w:color w:val="auto"/>
              </w:rPr>
            </w:pPr>
            <w:r>
              <w:rPr>
                <w:rFonts w:ascii="Arial" w:cs="Arial" w:eastAsia="Arial" w:hAnsi="Arial"/>
                <w:sz w:val="14"/>
                <w:szCs w:val="14"/>
                <w:color w:val="auto"/>
              </w:rPr>
              <w:t>17,804</w:t>
            </w:r>
          </w:p>
        </w:tc>
        <w:tc>
          <w:tcPr>
            <w:tcW w:w="116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556,246</w:t>
            </w:r>
          </w:p>
        </w:tc>
        <w:tc>
          <w:tcPr>
            <w:tcW w:w="1200" w:type="dxa"/>
            <w:vAlign w:val="bottom"/>
            <w:shd w:val="clear" w:color="auto" w:fill="EDEDED"/>
          </w:tcPr>
          <w:p>
            <w:pPr>
              <w:jc w:val="right"/>
              <w:ind w:right="48"/>
              <w:spacing w:after="0"/>
              <w:rPr>
                <w:sz w:val="20"/>
                <w:szCs w:val="20"/>
                <w:color w:val="auto"/>
              </w:rPr>
            </w:pPr>
            <w:r>
              <w:rPr>
                <w:rFonts w:ascii="Arial" w:cs="Arial" w:eastAsia="Arial" w:hAnsi="Arial"/>
                <w:sz w:val="14"/>
                <w:szCs w:val="14"/>
                <w:color w:val="auto"/>
              </w:rPr>
              <w:t>589,190</w:t>
            </w:r>
          </w:p>
        </w:tc>
        <w:tc>
          <w:tcPr>
            <w:tcW w:w="1300" w:type="dxa"/>
            <w:vAlign w:val="bottom"/>
            <w:shd w:val="clear" w:color="auto" w:fill="EDEDED"/>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1,963,240</w:t>
            </w:r>
          </w:p>
        </w:tc>
        <w:tc>
          <w:tcPr>
            <w:tcW w:w="0" w:type="dxa"/>
            <w:vAlign w:val="bottom"/>
          </w:tcPr>
          <w:p>
            <w:pPr>
              <w:spacing w:after="0"/>
              <w:rPr>
                <w:sz w:val="1"/>
                <w:szCs w:val="1"/>
                <w:color w:val="auto"/>
              </w:rPr>
            </w:pPr>
          </w:p>
        </w:tc>
      </w:tr>
      <w:tr>
        <w:trPr>
          <w:trHeight w:val="155"/>
        </w:trPr>
        <w:tc>
          <w:tcPr>
            <w:tcW w:w="2040" w:type="dxa"/>
            <w:vAlign w:val="bottom"/>
            <w:shd w:val="clear" w:color="auto" w:fill="EDEDED"/>
          </w:tcPr>
          <w:p>
            <w:pPr>
              <w:ind w:left="180"/>
              <w:spacing w:after="0" w:line="155" w:lineRule="exact"/>
              <w:rPr>
                <w:sz w:val="20"/>
                <w:szCs w:val="20"/>
                <w:color w:val="auto"/>
              </w:rPr>
            </w:pPr>
            <w:r>
              <w:rPr>
                <w:rFonts w:ascii="Arial" w:cs="Arial" w:eastAsia="Arial" w:hAnsi="Arial"/>
                <w:sz w:val="14"/>
                <w:szCs w:val="14"/>
                <w:i w:val="1"/>
                <w:iCs w:val="1"/>
                <w:color w:val="auto"/>
              </w:rPr>
              <w:t>Qualifying Termination in</w:t>
            </w:r>
          </w:p>
        </w:tc>
        <w:tc>
          <w:tcPr>
            <w:tcW w:w="440" w:type="dxa"/>
            <w:vAlign w:val="bottom"/>
            <w:shd w:val="clear" w:color="auto" w:fill="EDEDED"/>
          </w:tcPr>
          <w:p>
            <w:pPr>
              <w:spacing w:after="0"/>
              <w:rPr>
                <w:sz w:val="13"/>
                <w:szCs w:val="13"/>
                <w:color w:val="auto"/>
              </w:rPr>
            </w:pPr>
          </w:p>
        </w:tc>
        <w:tc>
          <w:tcPr>
            <w:tcW w:w="1020" w:type="dxa"/>
            <w:vAlign w:val="bottom"/>
            <w:shd w:val="clear" w:color="auto" w:fill="EDEDED"/>
          </w:tcPr>
          <w:p>
            <w:pPr>
              <w:spacing w:after="0"/>
              <w:rPr>
                <w:sz w:val="13"/>
                <w:szCs w:val="13"/>
                <w:color w:val="auto"/>
              </w:rPr>
            </w:pPr>
          </w:p>
        </w:tc>
        <w:tc>
          <w:tcPr>
            <w:tcW w:w="1200" w:type="dxa"/>
            <w:vAlign w:val="bottom"/>
            <w:shd w:val="clear" w:color="auto" w:fill="EDEDED"/>
          </w:tcPr>
          <w:p>
            <w:pPr>
              <w:spacing w:after="0"/>
              <w:rPr>
                <w:sz w:val="13"/>
                <w:szCs w:val="13"/>
                <w:color w:val="auto"/>
              </w:rPr>
            </w:pPr>
          </w:p>
        </w:tc>
        <w:tc>
          <w:tcPr>
            <w:tcW w:w="1160" w:type="dxa"/>
            <w:vAlign w:val="bottom"/>
            <w:shd w:val="clear" w:color="auto" w:fill="EDEDED"/>
          </w:tcPr>
          <w:p>
            <w:pPr>
              <w:spacing w:after="0"/>
              <w:rPr>
                <w:sz w:val="13"/>
                <w:szCs w:val="13"/>
                <w:color w:val="auto"/>
              </w:rPr>
            </w:pPr>
          </w:p>
        </w:tc>
        <w:tc>
          <w:tcPr>
            <w:tcW w:w="1200" w:type="dxa"/>
            <w:vAlign w:val="bottom"/>
            <w:shd w:val="clear" w:color="auto" w:fill="EDEDED"/>
          </w:tcPr>
          <w:p>
            <w:pPr>
              <w:spacing w:after="0"/>
              <w:rPr>
                <w:sz w:val="13"/>
                <w:szCs w:val="13"/>
                <w:color w:val="auto"/>
              </w:rPr>
            </w:pPr>
          </w:p>
        </w:tc>
        <w:tc>
          <w:tcPr>
            <w:tcW w:w="1300" w:type="dxa"/>
            <w:vAlign w:val="bottom"/>
            <w:shd w:val="clear" w:color="auto" w:fill="EDEDED"/>
          </w:tcPr>
          <w:p>
            <w:pPr>
              <w:spacing w:after="0"/>
              <w:rPr>
                <w:sz w:val="13"/>
                <w:szCs w:val="13"/>
                <w:color w:val="auto"/>
              </w:rPr>
            </w:pPr>
          </w:p>
        </w:tc>
        <w:tc>
          <w:tcPr>
            <w:tcW w:w="104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EDEDED"/>
          </w:tcPr>
          <w:p>
            <w:pPr>
              <w:ind w:left="180"/>
              <w:spacing w:after="0"/>
              <w:rPr>
                <w:sz w:val="20"/>
                <w:szCs w:val="20"/>
                <w:color w:val="auto"/>
              </w:rPr>
            </w:pPr>
            <w:r>
              <w:rPr>
                <w:rFonts w:ascii="Arial" w:cs="Arial" w:eastAsia="Arial" w:hAnsi="Arial"/>
                <w:sz w:val="14"/>
                <w:szCs w:val="14"/>
                <w:i w:val="1"/>
                <w:iCs w:val="1"/>
                <w:color w:val="auto"/>
              </w:rPr>
              <w:t>connection with Change in</w:t>
            </w:r>
          </w:p>
        </w:tc>
        <w:tc>
          <w:tcPr>
            <w:tcW w:w="440" w:type="dxa"/>
            <w:vAlign w:val="bottom"/>
            <w:shd w:val="clear" w:color="auto" w:fill="EDEDED"/>
          </w:tcPr>
          <w:p>
            <w:pPr>
              <w:spacing w:after="0"/>
              <w:rPr>
                <w:sz w:val="14"/>
                <w:szCs w:val="14"/>
                <w:color w:val="auto"/>
              </w:rPr>
            </w:pPr>
          </w:p>
        </w:tc>
        <w:tc>
          <w:tcPr>
            <w:tcW w:w="102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1,200,000</w:t>
            </w:r>
          </w:p>
        </w:tc>
        <w:tc>
          <w:tcPr>
            <w:tcW w:w="1200" w:type="dxa"/>
            <w:vAlign w:val="bottom"/>
            <w:vMerge w:val="restart"/>
            <w:shd w:val="clear" w:color="auto" w:fill="EDEDED"/>
          </w:tcPr>
          <w:p>
            <w:pPr>
              <w:jc w:val="right"/>
              <w:ind w:right="48"/>
              <w:spacing w:after="0"/>
              <w:rPr>
                <w:sz w:val="20"/>
                <w:szCs w:val="20"/>
                <w:color w:val="auto"/>
              </w:rPr>
            </w:pPr>
            <w:r>
              <w:rPr>
                <w:rFonts w:ascii="Arial" w:cs="Arial" w:eastAsia="Arial" w:hAnsi="Arial"/>
                <w:sz w:val="14"/>
                <w:szCs w:val="14"/>
                <w:color w:val="auto"/>
              </w:rPr>
              <w:t>26,705</w:t>
            </w:r>
          </w:p>
        </w:tc>
        <w:tc>
          <w:tcPr>
            <w:tcW w:w="116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556,246</w:t>
            </w:r>
          </w:p>
        </w:tc>
        <w:tc>
          <w:tcPr>
            <w:tcW w:w="1200" w:type="dxa"/>
            <w:vAlign w:val="bottom"/>
            <w:vMerge w:val="restart"/>
            <w:shd w:val="clear" w:color="auto" w:fill="EDEDED"/>
          </w:tcPr>
          <w:p>
            <w:pPr>
              <w:jc w:val="right"/>
              <w:ind w:right="48"/>
              <w:spacing w:after="0"/>
              <w:rPr>
                <w:sz w:val="20"/>
                <w:szCs w:val="20"/>
                <w:color w:val="auto"/>
              </w:rPr>
            </w:pPr>
            <w:r>
              <w:rPr>
                <w:rFonts w:ascii="Arial" w:cs="Arial" w:eastAsia="Arial" w:hAnsi="Arial"/>
                <w:sz w:val="14"/>
                <w:szCs w:val="14"/>
                <w:color w:val="auto"/>
              </w:rPr>
              <w:t>589,190</w:t>
            </w:r>
          </w:p>
        </w:tc>
        <w:tc>
          <w:tcPr>
            <w:tcW w:w="1300" w:type="dxa"/>
            <w:vAlign w:val="bottom"/>
            <w:vMerge w:val="restart"/>
            <w:shd w:val="clear" w:color="auto" w:fill="EDEDED"/>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2,372,141</w:t>
            </w:r>
          </w:p>
        </w:tc>
        <w:tc>
          <w:tcPr>
            <w:tcW w:w="0" w:type="dxa"/>
            <w:vAlign w:val="bottom"/>
          </w:tcPr>
          <w:p>
            <w:pPr>
              <w:spacing w:after="0"/>
              <w:rPr>
                <w:sz w:val="1"/>
                <w:szCs w:val="1"/>
                <w:color w:val="auto"/>
              </w:rPr>
            </w:pPr>
          </w:p>
        </w:tc>
      </w:tr>
      <w:tr>
        <w:trPr>
          <w:trHeight w:val="169"/>
        </w:trPr>
        <w:tc>
          <w:tcPr>
            <w:tcW w:w="2040" w:type="dxa"/>
            <w:vAlign w:val="bottom"/>
            <w:shd w:val="clear" w:color="auto" w:fill="EDEDED"/>
          </w:tcPr>
          <w:p>
            <w:pPr>
              <w:ind w:left="180"/>
              <w:spacing w:after="0"/>
              <w:rPr>
                <w:sz w:val="20"/>
                <w:szCs w:val="20"/>
                <w:color w:val="auto"/>
              </w:rPr>
            </w:pPr>
            <w:r>
              <w:rPr>
                <w:rFonts w:ascii="Arial" w:cs="Arial" w:eastAsia="Arial" w:hAnsi="Arial"/>
                <w:sz w:val="14"/>
                <w:szCs w:val="14"/>
                <w:i w:val="1"/>
                <w:iCs w:val="1"/>
                <w:color w:val="auto"/>
              </w:rPr>
              <w:t>Control</w:t>
            </w:r>
          </w:p>
        </w:tc>
        <w:tc>
          <w:tcPr>
            <w:tcW w:w="440" w:type="dxa"/>
            <w:vAlign w:val="bottom"/>
            <w:shd w:val="clear" w:color="auto" w:fill="EDEDED"/>
          </w:tcPr>
          <w:p>
            <w:pPr>
              <w:spacing w:after="0"/>
              <w:rPr>
                <w:sz w:val="14"/>
                <w:szCs w:val="14"/>
                <w:color w:val="auto"/>
              </w:rPr>
            </w:pPr>
          </w:p>
        </w:tc>
        <w:tc>
          <w:tcPr>
            <w:tcW w:w="1020" w:type="dxa"/>
            <w:vAlign w:val="bottom"/>
            <w:vMerge w:val="continue"/>
            <w:shd w:val="clear" w:color="auto" w:fill="EDEDED"/>
          </w:tcPr>
          <w:p>
            <w:pPr>
              <w:spacing w:after="0"/>
              <w:rPr>
                <w:sz w:val="14"/>
                <w:szCs w:val="14"/>
                <w:color w:val="auto"/>
              </w:rPr>
            </w:pPr>
          </w:p>
        </w:tc>
        <w:tc>
          <w:tcPr>
            <w:tcW w:w="1200" w:type="dxa"/>
            <w:vAlign w:val="bottom"/>
            <w:vMerge w:val="continue"/>
            <w:shd w:val="clear" w:color="auto" w:fill="EDEDED"/>
          </w:tcPr>
          <w:p>
            <w:pPr>
              <w:spacing w:after="0"/>
              <w:rPr>
                <w:sz w:val="14"/>
                <w:szCs w:val="14"/>
                <w:color w:val="auto"/>
              </w:rPr>
            </w:pPr>
          </w:p>
        </w:tc>
        <w:tc>
          <w:tcPr>
            <w:tcW w:w="1160" w:type="dxa"/>
            <w:vAlign w:val="bottom"/>
            <w:vMerge w:val="continue"/>
            <w:shd w:val="clear" w:color="auto" w:fill="EDEDED"/>
          </w:tcPr>
          <w:p>
            <w:pPr>
              <w:spacing w:after="0"/>
              <w:rPr>
                <w:sz w:val="14"/>
                <w:szCs w:val="14"/>
                <w:color w:val="auto"/>
              </w:rPr>
            </w:pPr>
          </w:p>
        </w:tc>
        <w:tc>
          <w:tcPr>
            <w:tcW w:w="1200" w:type="dxa"/>
            <w:vAlign w:val="bottom"/>
            <w:vMerge w:val="continue"/>
            <w:shd w:val="clear" w:color="auto" w:fill="EDEDED"/>
          </w:tcPr>
          <w:p>
            <w:pPr>
              <w:spacing w:after="0"/>
              <w:rPr>
                <w:sz w:val="14"/>
                <w:szCs w:val="14"/>
                <w:color w:val="auto"/>
              </w:rPr>
            </w:pPr>
          </w:p>
        </w:tc>
        <w:tc>
          <w:tcPr>
            <w:tcW w:w="1300" w:type="dxa"/>
            <w:vAlign w:val="bottom"/>
            <w:vMerge w:val="continue"/>
            <w:shd w:val="clear" w:color="auto" w:fill="EDEDED"/>
          </w:tcPr>
          <w:p>
            <w:pPr>
              <w:spacing w:after="0"/>
              <w:rPr>
                <w:sz w:val="14"/>
                <w:szCs w:val="14"/>
                <w:color w:val="auto"/>
              </w:rPr>
            </w:pPr>
          </w:p>
        </w:tc>
        <w:tc>
          <w:tcPr>
            <w:tcW w:w="1040" w:type="dxa"/>
            <w:vAlign w:val="bottom"/>
            <w:vMerge w:val="continue"/>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EDEDED"/>
          </w:tcPr>
          <w:p>
            <w:pPr>
              <w:ind w:left="180"/>
              <w:spacing w:after="0"/>
              <w:rPr>
                <w:sz w:val="20"/>
                <w:szCs w:val="20"/>
                <w:color w:val="auto"/>
              </w:rPr>
            </w:pPr>
            <w:r>
              <w:rPr>
                <w:rFonts w:ascii="Arial" w:cs="Arial" w:eastAsia="Arial" w:hAnsi="Arial"/>
                <w:sz w:val="14"/>
                <w:szCs w:val="14"/>
                <w:i w:val="1"/>
                <w:iCs w:val="1"/>
                <w:color w:val="auto"/>
              </w:rPr>
              <w:t>Death or Disability</w:t>
            </w:r>
          </w:p>
        </w:tc>
        <w:tc>
          <w:tcPr>
            <w:tcW w:w="440" w:type="dxa"/>
            <w:vAlign w:val="bottom"/>
            <w:shd w:val="clear" w:color="auto" w:fill="EDEDED"/>
          </w:tcPr>
          <w:p>
            <w:pPr>
              <w:spacing w:after="0"/>
              <w:rPr>
                <w:sz w:val="17"/>
                <w:szCs w:val="17"/>
                <w:color w:val="auto"/>
              </w:rPr>
            </w:pPr>
          </w:p>
        </w:tc>
        <w:tc>
          <w:tcPr>
            <w:tcW w:w="102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DEDED"/>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556,246</w:t>
            </w:r>
          </w:p>
        </w:tc>
        <w:tc>
          <w:tcPr>
            <w:tcW w:w="1200" w:type="dxa"/>
            <w:vAlign w:val="bottom"/>
            <w:shd w:val="clear" w:color="auto" w:fill="EDEDED"/>
          </w:tcPr>
          <w:p>
            <w:pPr>
              <w:jc w:val="right"/>
              <w:ind w:right="48"/>
              <w:spacing w:after="0"/>
              <w:rPr>
                <w:sz w:val="20"/>
                <w:szCs w:val="20"/>
                <w:color w:val="auto"/>
              </w:rPr>
            </w:pPr>
            <w:r>
              <w:rPr>
                <w:rFonts w:ascii="Arial" w:cs="Arial" w:eastAsia="Arial" w:hAnsi="Arial"/>
                <w:sz w:val="14"/>
                <w:szCs w:val="14"/>
                <w:color w:val="auto"/>
              </w:rPr>
              <w:t>589,190</w:t>
            </w:r>
          </w:p>
        </w:tc>
        <w:tc>
          <w:tcPr>
            <w:tcW w:w="1300" w:type="dxa"/>
            <w:vAlign w:val="bottom"/>
            <w:shd w:val="clear" w:color="auto" w:fill="EDEDED"/>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1,145,436</w:t>
            </w:r>
          </w:p>
        </w:tc>
        <w:tc>
          <w:tcPr>
            <w:tcW w:w="0" w:type="dxa"/>
            <w:vAlign w:val="bottom"/>
          </w:tcPr>
          <w:p>
            <w:pPr>
              <w:spacing w:after="0"/>
              <w:rPr>
                <w:sz w:val="1"/>
                <w:szCs w:val="1"/>
                <w:color w:val="auto"/>
              </w:rPr>
            </w:pPr>
          </w:p>
        </w:tc>
      </w:tr>
      <w:tr>
        <w:trPr>
          <w:trHeight w:val="194"/>
        </w:trPr>
        <w:tc>
          <w:tcPr>
            <w:tcW w:w="2040" w:type="dxa"/>
            <w:vAlign w:val="bottom"/>
          </w:tcPr>
          <w:p>
            <w:pPr>
              <w:ind w:left="100"/>
              <w:spacing w:after="0"/>
              <w:rPr>
                <w:sz w:val="20"/>
                <w:szCs w:val="20"/>
                <w:color w:val="auto"/>
              </w:rPr>
            </w:pPr>
            <w:r>
              <w:rPr>
                <w:rFonts w:ascii="Arial" w:cs="Arial" w:eastAsia="Arial" w:hAnsi="Arial"/>
                <w:sz w:val="14"/>
                <w:szCs w:val="14"/>
                <w:color w:val="auto"/>
              </w:rPr>
              <w:t>Mark Hood</w:t>
            </w: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4"/>
                <w:szCs w:val="14"/>
                <w:i w:val="1"/>
                <w:iCs w:val="1"/>
                <w:color w:val="auto"/>
              </w:rPr>
              <w:t>Qualifying Termination</w:t>
            </w:r>
          </w:p>
        </w:tc>
        <w:tc>
          <w:tcPr>
            <w:tcW w:w="1460" w:type="dxa"/>
            <w:vAlign w:val="bottom"/>
            <w:gridSpan w:val="2"/>
          </w:tcPr>
          <w:p>
            <w:pPr>
              <w:jc w:val="right"/>
              <w:ind w:right="28"/>
              <w:spacing w:after="0"/>
              <w:rPr>
                <w:sz w:val="20"/>
                <w:szCs w:val="20"/>
                <w:color w:val="auto"/>
              </w:rPr>
            </w:pPr>
            <w:r>
              <w:rPr>
                <w:rFonts w:ascii="Arial" w:cs="Arial" w:eastAsia="Arial" w:hAnsi="Arial"/>
                <w:sz w:val="14"/>
                <w:szCs w:val="14"/>
                <w:color w:val="auto"/>
              </w:rPr>
              <w:t>800,000</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22,177</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556,247</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340,167</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1,718,591</w:t>
            </w:r>
          </w:p>
        </w:tc>
        <w:tc>
          <w:tcPr>
            <w:tcW w:w="0" w:type="dxa"/>
            <w:vAlign w:val="bottom"/>
          </w:tcPr>
          <w:p>
            <w:pPr>
              <w:spacing w:after="0"/>
              <w:rPr>
                <w:sz w:val="1"/>
                <w:szCs w:val="1"/>
                <w:color w:val="auto"/>
              </w:rPr>
            </w:pPr>
          </w:p>
        </w:tc>
      </w:tr>
      <w:tr>
        <w:trPr>
          <w:trHeight w:val="162"/>
        </w:trPr>
        <w:tc>
          <w:tcPr>
            <w:tcW w:w="2040" w:type="dxa"/>
            <w:vAlign w:val="bottom"/>
          </w:tcPr>
          <w:p>
            <w:pPr>
              <w:ind w:left="180"/>
              <w:spacing w:after="0"/>
              <w:rPr>
                <w:sz w:val="20"/>
                <w:szCs w:val="20"/>
                <w:color w:val="auto"/>
              </w:rPr>
            </w:pPr>
            <w:r>
              <w:rPr>
                <w:rFonts w:ascii="Arial" w:cs="Arial" w:eastAsia="Arial" w:hAnsi="Arial"/>
                <w:sz w:val="14"/>
                <w:szCs w:val="14"/>
                <w:i w:val="1"/>
                <w:iCs w:val="1"/>
                <w:color w:val="auto"/>
              </w:rPr>
              <w:t>Qualifying Termination in</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180"/>
              <w:spacing w:after="0"/>
              <w:rPr>
                <w:sz w:val="20"/>
                <w:szCs w:val="20"/>
                <w:color w:val="auto"/>
              </w:rPr>
            </w:pPr>
            <w:r>
              <w:rPr>
                <w:rFonts w:ascii="Arial" w:cs="Arial" w:eastAsia="Arial" w:hAnsi="Arial"/>
                <w:sz w:val="14"/>
                <w:szCs w:val="14"/>
                <w:i w:val="1"/>
                <w:iCs w:val="1"/>
                <w:color w:val="auto"/>
              </w:rPr>
              <w:t>connection with Change in</w:t>
            </w:r>
          </w:p>
        </w:tc>
        <w:tc>
          <w:tcPr>
            <w:tcW w:w="146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1,200,000</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33,266</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556,247</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340,167</w:t>
            </w:r>
          </w:p>
        </w:tc>
        <w:tc>
          <w:tcPr>
            <w:tcW w:w="13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2,129,680</w:t>
            </w:r>
          </w:p>
        </w:tc>
        <w:tc>
          <w:tcPr>
            <w:tcW w:w="0" w:type="dxa"/>
            <w:vAlign w:val="bottom"/>
          </w:tcPr>
          <w:p>
            <w:pPr>
              <w:spacing w:after="0"/>
              <w:rPr>
                <w:sz w:val="1"/>
                <w:szCs w:val="1"/>
                <w:color w:val="auto"/>
              </w:rPr>
            </w:pPr>
          </w:p>
        </w:tc>
      </w:tr>
      <w:tr>
        <w:trPr>
          <w:trHeight w:val="175"/>
        </w:trPr>
        <w:tc>
          <w:tcPr>
            <w:tcW w:w="2040" w:type="dxa"/>
            <w:vAlign w:val="bottom"/>
          </w:tcPr>
          <w:p>
            <w:pPr>
              <w:ind w:left="180"/>
              <w:spacing w:after="0"/>
              <w:rPr>
                <w:sz w:val="20"/>
                <w:szCs w:val="20"/>
                <w:color w:val="auto"/>
              </w:rPr>
            </w:pPr>
            <w:r>
              <w:rPr>
                <w:rFonts w:ascii="Arial" w:cs="Arial" w:eastAsia="Arial" w:hAnsi="Arial"/>
                <w:sz w:val="14"/>
                <w:szCs w:val="14"/>
                <w:i w:val="1"/>
                <w:iCs w:val="1"/>
                <w:color w:val="auto"/>
              </w:rPr>
              <w:t>Control</w:t>
            </w:r>
          </w:p>
        </w:tc>
        <w:tc>
          <w:tcPr>
            <w:tcW w:w="146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40" w:type="dxa"/>
            <w:vAlign w:val="bottom"/>
          </w:tcPr>
          <w:p>
            <w:pPr>
              <w:ind w:left="180"/>
              <w:spacing w:after="0"/>
              <w:rPr>
                <w:sz w:val="20"/>
                <w:szCs w:val="20"/>
                <w:color w:val="auto"/>
              </w:rPr>
            </w:pPr>
            <w:r>
              <w:rPr>
                <w:rFonts w:ascii="Arial" w:cs="Arial" w:eastAsia="Arial" w:hAnsi="Arial"/>
                <w:sz w:val="14"/>
                <w:szCs w:val="14"/>
                <w:i w:val="1"/>
                <w:iCs w:val="1"/>
                <w:color w:val="auto"/>
              </w:rPr>
              <w:t>Death or Disability</w:t>
            </w:r>
          </w:p>
        </w:tc>
        <w:tc>
          <w:tcPr>
            <w:tcW w:w="44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556,247</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340,167</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896,414</w:t>
            </w:r>
          </w:p>
        </w:tc>
        <w:tc>
          <w:tcPr>
            <w:tcW w:w="0" w:type="dxa"/>
            <w:vAlign w:val="bottom"/>
          </w:tcPr>
          <w:p>
            <w:pPr>
              <w:spacing w:after="0"/>
              <w:rPr>
                <w:sz w:val="1"/>
                <w:szCs w:val="1"/>
                <w:color w:val="auto"/>
              </w:rPr>
            </w:pPr>
          </w:p>
        </w:tc>
      </w:tr>
      <w:tr>
        <w:trPr>
          <w:trHeight w:val="195"/>
        </w:trPr>
        <w:tc>
          <w:tcPr>
            <w:tcW w:w="2040" w:type="dxa"/>
            <w:vAlign w:val="bottom"/>
            <w:shd w:val="clear" w:color="auto" w:fill="EDEDED"/>
          </w:tcPr>
          <w:p>
            <w:pPr>
              <w:ind w:left="100"/>
              <w:spacing w:after="0"/>
              <w:rPr>
                <w:sz w:val="20"/>
                <w:szCs w:val="20"/>
                <w:color w:val="auto"/>
              </w:rPr>
            </w:pPr>
            <w:r>
              <w:rPr>
                <w:rFonts w:ascii="Arial" w:cs="Arial" w:eastAsia="Arial" w:hAnsi="Arial"/>
                <w:sz w:val="14"/>
                <w:szCs w:val="14"/>
                <w:color w:val="auto"/>
              </w:rPr>
              <w:t>Sarita Jairath</w:t>
            </w:r>
          </w:p>
        </w:tc>
        <w:tc>
          <w:tcPr>
            <w:tcW w:w="440" w:type="dxa"/>
            <w:vAlign w:val="bottom"/>
            <w:shd w:val="clear" w:color="auto" w:fill="EDEDED"/>
          </w:tcPr>
          <w:p>
            <w:pPr>
              <w:spacing w:after="0"/>
              <w:rPr>
                <w:sz w:val="16"/>
                <w:szCs w:val="16"/>
                <w:color w:val="auto"/>
              </w:rPr>
            </w:pPr>
          </w:p>
        </w:tc>
        <w:tc>
          <w:tcPr>
            <w:tcW w:w="1020" w:type="dxa"/>
            <w:vAlign w:val="bottom"/>
            <w:shd w:val="clear" w:color="auto" w:fill="EDEDED"/>
          </w:tcPr>
          <w:p>
            <w:pPr>
              <w:spacing w:after="0"/>
              <w:rPr>
                <w:sz w:val="16"/>
                <w:szCs w:val="16"/>
                <w:color w:val="auto"/>
              </w:rPr>
            </w:pPr>
          </w:p>
        </w:tc>
        <w:tc>
          <w:tcPr>
            <w:tcW w:w="1200" w:type="dxa"/>
            <w:vAlign w:val="bottom"/>
            <w:shd w:val="clear" w:color="auto" w:fill="EDEDED"/>
          </w:tcPr>
          <w:p>
            <w:pPr>
              <w:spacing w:after="0"/>
              <w:rPr>
                <w:sz w:val="16"/>
                <w:szCs w:val="16"/>
                <w:color w:val="auto"/>
              </w:rPr>
            </w:pPr>
          </w:p>
        </w:tc>
        <w:tc>
          <w:tcPr>
            <w:tcW w:w="1160" w:type="dxa"/>
            <w:vAlign w:val="bottom"/>
            <w:shd w:val="clear" w:color="auto" w:fill="EDEDED"/>
          </w:tcPr>
          <w:p>
            <w:pPr>
              <w:spacing w:after="0"/>
              <w:rPr>
                <w:sz w:val="16"/>
                <w:szCs w:val="16"/>
                <w:color w:val="auto"/>
              </w:rPr>
            </w:pPr>
          </w:p>
        </w:tc>
        <w:tc>
          <w:tcPr>
            <w:tcW w:w="1200" w:type="dxa"/>
            <w:vAlign w:val="bottom"/>
            <w:shd w:val="clear" w:color="auto" w:fill="EDEDED"/>
          </w:tcPr>
          <w:p>
            <w:pPr>
              <w:spacing w:after="0"/>
              <w:rPr>
                <w:sz w:val="16"/>
                <w:szCs w:val="16"/>
                <w:color w:val="auto"/>
              </w:rPr>
            </w:pPr>
          </w:p>
        </w:tc>
        <w:tc>
          <w:tcPr>
            <w:tcW w:w="1300" w:type="dxa"/>
            <w:vAlign w:val="bottom"/>
            <w:shd w:val="clear" w:color="auto" w:fill="EDEDED"/>
          </w:tcPr>
          <w:p>
            <w:pPr>
              <w:spacing w:after="0"/>
              <w:rPr>
                <w:sz w:val="16"/>
                <w:szCs w:val="16"/>
                <w:color w:val="auto"/>
              </w:rPr>
            </w:pPr>
          </w:p>
        </w:tc>
        <w:tc>
          <w:tcPr>
            <w:tcW w:w="104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40" w:type="dxa"/>
            <w:vAlign w:val="bottom"/>
            <w:shd w:val="clear" w:color="auto" w:fill="EDEDED"/>
          </w:tcPr>
          <w:p>
            <w:pPr>
              <w:ind w:left="180"/>
              <w:spacing w:after="0"/>
              <w:rPr>
                <w:sz w:val="20"/>
                <w:szCs w:val="20"/>
                <w:color w:val="auto"/>
              </w:rPr>
            </w:pPr>
            <w:r>
              <w:rPr>
                <w:rFonts w:ascii="Arial" w:cs="Arial" w:eastAsia="Arial" w:hAnsi="Arial"/>
                <w:sz w:val="14"/>
                <w:szCs w:val="14"/>
                <w:i w:val="1"/>
                <w:iCs w:val="1"/>
                <w:color w:val="auto"/>
              </w:rPr>
              <w:t>Qualifying Termination</w:t>
            </w:r>
          </w:p>
        </w:tc>
        <w:tc>
          <w:tcPr>
            <w:tcW w:w="1460" w:type="dxa"/>
            <w:vAlign w:val="bottom"/>
            <w:gridSpan w:val="2"/>
            <w:shd w:val="clear" w:color="auto" w:fill="EDEDED"/>
          </w:tcPr>
          <w:p>
            <w:pPr>
              <w:jc w:val="right"/>
              <w:ind w:right="28"/>
              <w:spacing w:after="0"/>
              <w:rPr>
                <w:sz w:val="20"/>
                <w:szCs w:val="20"/>
                <w:color w:val="auto"/>
              </w:rPr>
            </w:pPr>
            <w:r>
              <w:rPr>
                <w:rFonts w:ascii="Arial" w:cs="Arial" w:eastAsia="Arial" w:hAnsi="Arial"/>
                <w:sz w:val="14"/>
                <w:szCs w:val="14"/>
                <w:color w:val="auto"/>
              </w:rPr>
              <w:t>1,000,000</w:t>
            </w:r>
          </w:p>
        </w:tc>
        <w:tc>
          <w:tcPr>
            <w:tcW w:w="1200" w:type="dxa"/>
            <w:vAlign w:val="bottom"/>
            <w:shd w:val="clear" w:color="auto" w:fill="EDEDED"/>
          </w:tcPr>
          <w:p>
            <w:pPr>
              <w:jc w:val="right"/>
              <w:ind w:right="48"/>
              <w:spacing w:after="0"/>
              <w:rPr>
                <w:sz w:val="20"/>
                <w:szCs w:val="20"/>
                <w:color w:val="auto"/>
              </w:rPr>
            </w:pPr>
            <w:r>
              <w:rPr>
                <w:rFonts w:ascii="Arial" w:cs="Arial" w:eastAsia="Arial" w:hAnsi="Arial"/>
                <w:sz w:val="14"/>
                <w:szCs w:val="14"/>
                <w:color w:val="auto"/>
              </w:rPr>
              <w:t>19,559</w:t>
            </w:r>
          </w:p>
        </w:tc>
        <w:tc>
          <w:tcPr>
            <w:tcW w:w="116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796,346</w:t>
            </w:r>
          </w:p>
        </w:tc>
        <w:tc>
          <w:tcPr>
            <w:tcW w:w="1200" w:type="dxa"/>
            <w:vAlign w:val="bottom"/>
            <w:shd w:val="clear" w:color="auto" w:fill="EDEDED"/>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EDEDED"/>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1,815,905</w:t>
            </w:r>
          </w:p>
        </w:tc>
        <w:tc>
          <w:tcPr>
            <w:tcW w:w="0" w:type="dxa"/>
            <w:vAlign w:val="bottom"/>
          </w:tcPr>
          <w:p>
            <w:pPr>
              <w:spacing w:after="0"/>
              <w:rPr>
                <w:sz w:val="1"/>
                <w:szCs w:val="1"/>
                <w:color w:val="auto"/>
              </w:rPr>
            </w:pPr>
          </w:p>
        </w:tc>
      </w:tr>
      <w:tr>
        <w:trPr>
          <w:trHeight w:val="155"/>
        </w:trPr>
        <w:tc>
          <w:tcPr>
            <w:tcW w:w="2040" w:type="dxa"/>
            <w:vAlign w:val="bottom"/>
            <w:shd w:val="clear" w:color="auto" w:fill="EDEDED"/>
          </w:tcPr>
          <w:p>
            <w:pPr>
              <w:ind w:left="180"/>
              <w:spacing w:after="0" w:line="155" w:lineRule="exact"/>
              <w:rPr>
                <w:sz w:val="20"/>
                <w:szCs w:val="20"/>
                <w:color w:val="auto"/>
              </w:rPr>
            </w:pPr>
            <w:r>
              <w:rPr>
                <w:rFonts w:ascii="Arial" w:cs="Arial" w:eastAsia="Arial" w:hAnsi="Arial"/>
                <w:sz w:val="14"/>
                <w:szCs w:val="14"/>
                <w:i w:val="1"/>
                <w:iCs w:val="1"/>
                <w:color w:val="auto"/>
              </w:rPr>
              <w:t>Qualifying Termination in</w:t>
            </w:r>
          </w:p>
        </w:tc>
        <w:tc>
          <w:tcPr>
            <w:tcW w:w="440" w:type="dxa"/>
            <w:vAlign w:val="bottom"/>
            <w:shd w:val="clear" w:color="auto" w:fill="EDEDED"/>
          </w:tcPr>
          <w:p>
            <w:pPr>
              <w:spacing w:after="0"/>
              <w:rPr>
                <w:sz w:val="13"/>
                <w:szCs w:val="13"/>
                <w:color w:val="auto"/>
              </w:rPr>
            </w:pPr>
          </w:p>
        </w:tc>
        <w:tc>
          <w:tcPr>
            <w:tcW w:w="1020" w:type="dxa"/>
            <w:vAlign w:val="bottom"/>
            <w:shd w:val="clear" w:color="auto" w:fill="EDEDED"/>
          </w:tcPr>
          <w:p>
            <w:pPr>
              <w:spacing w:after="0"/>
              <w:rPr>
                <w:sz w:val="13"/>
                <w:szCs w:val="13"/>
                <w:color w:val="auto"/>
              </w:rPr>
            </w:pPr>
          </w:p>
        </w:tc>
        <w:tc>
          <w:tcPr>
            <w:tcW w:w="1200" w:type="dxa"/>
            <w:vAlign w:val="bottom"/>
            <w:shd w:val="clear" w:color="auto" w:fill="EDEDED"/>
          </w:tcPr>
          <w:p>
            <w:pPr>
              <w:spacing w:after="0"/>
              <w:rPr>
                <w:sz w:val="13"/>
                <w:szCs w:val="13"/>
                <w:color w:val="auto"/>
              </w:rPr>
            </w:pPr>
          </w:p>
        </w:tc>
        <w:tc>
          <w:tcPr>
            <w:tcW w:w="1160" w:type="dxa"/>
            <w:vAlign w:val="bottom"/>
            <w:shd w:val="clear" w:color="auto" w:fill="EDEDED"/>
          </w:tcPr>
          <w:p>
            <w:pPr>
              <w:spacing w:after="0"/>
              <w:rPr>
                <w:sz w:val="13"/>
                <w:szCs w:val="13"/>
                <w:color w:val="auto"/>
              </w:rPr>
            </w:pPr>
          </w:p>
        </w:tc>
        <w:tc>
          <w:tcPr>
            <w:tcW w:w="1200" w:type="dxa"/>
            <w:vAlign w:val="bottom"/>
            <w:shd w:val="clear" w:color="auto" w:fill="EDEDED"/>
          </w:tcPr>
          <w:p>
            <w:pPr>
              <w:spacing w:after="0"/>
              <w:rPr>
                <w:sz w:val="13"/>
                <w:szCs w:val="13"/>
                <w:color w:val="auto"/>
              </w:rPr>
            </w:pPr>
          </w:p>
        </w:tc>
        <w:tc>
          <w:tcPr>
            <w:tcW w:w="1300" w:type="dxa"/>
            <w:vAlign w:val="bottom"/>
            <w:shd w:val="clear" w:color="auto" w:fill="EDEDED"/>
          </w:tcPr>
          <w:p>
            <w:pPr>
              <w:spacing w:after="0"/>
              <w:rPr>
                <w:sz w:val="13"/>
                <w:szCs w:val="13"/>
                <w:color w:val="auto"/>
              </w:rPr>
            </w:pPr>
          </w:p>
        </w:tc>
        <w:tc>
          <w:tcPr>
            <w:tcW w:w="104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EDEDED"/>
          </w:tcPr>
          <w:p>
            <w:pPr>
              <w:ind w:left="180"/>
              <w:spacing w:after="0"/>
              <w:rPr>
                <w:sz w:val="20"/>
                <w:szCs w:val="20"/>
                <w:color w:val="auto"/>
              </w:rPr>
            </w:pPr>
            <w:r>
              <w:rPr>
                <w:rFonts w:ascii="Arial" w:cs="Arial" w:eastAsia="Arial" w:hAnsi="Arial"/>
                <w:sz w:val="14"/>
                <w:szCs w:val="14"/>
                <w:i w:val="1"/>
                <w:iCs w:val="1"/>
                <w:color w:val="auto"/>
              </w:rPr>
              <w:t>connection with Change in</w:t>
            </w:r>
          </w:p>
        </w:tc>
        <w:tc>
          <w:tcPr>
            <w:tcW w:w="440" w:type="dxa"/>
            <w:vAlign w:val="bottom"/>
            <w:shd w:val="clear" w:color="auto" w:fill="EDEDED"/>
          </w:tcPr>
          <w:p>
            <w:pPr>
              <w:spacing w:after="0"/>
              <w:rPr>
                <w:sz w:val="14"/>
                <w:szCs w:val="14"/>
                <w:color w:val="auto"/>
              </w:rPr>
            </w:pPr>
          </w:p>
        </w:tc>
        <w:tc>
          <w:tcPr>
            <w:tcW w:w="102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1,500,000</w:t>
            </w:r>
          </w:p>
        </w:tc>
        <w:tc>
          <w:tcPr>
            <w:tcW w:w="1200" w:type="dxa"/>
            <w:vAlign w:val="bottom"/>
            <w:vMerge w:val="restart"/>
            <w:shd w:val="clear" w:color="auto" w:fill="EDEDED"/>
          </w:tcPr>
          <w:p>
            <w:pPr>
              <w:jc w:val="right"/>
              <w:ind w:right="48"/>
              <w:spacing w:after="0"/>
              <w:rPr>
                <w:sz w:val="20"/>
                <w:szCs w:val="20"/>
                <w:color w:val="auto"/>
              </w:rPr>
            </w:pPr>
            <w:r>
              <w:rPr>
                <w:rFonts w:ascii="Arial" w:cs="Arial" w:eastAsia="Arial" w:hAnsi="Arial"/>
                <w:sz w:val="14"/>
                <w:szCs w:val="14"/>
                <w:color w:val="auto"/>
              </w:rPr>
              <w:t>29,339</w:t>
            </w:r>
          </w:p>
        </w:tc>
        <w:tc>
          <w:tcPr>
            <w:tcW w:w="116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796,346</w:t>
            </w:r>
          </w:p>
        </w:tc>
        <w:tc>
          <w:tcPr>
            <w:tcW w:w="1200" w:type="dxa"/>
            <w:vAlign w:val="bottom"/>
            <w:vMerge w:val="restart"/>
            <w:shd w:val="clear" w:color="auto" w:fill="EDEDED"/>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EDEDED"/>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2,325,685</w:t>
            </w:r>
          </w:p>
        </w:tc>
        <w:tc>
          <w:tcPr>
            <w:tcW w:w="0" w:type="dxa"/>
            <w:vAlign w:val="bottom"/>
          </w:tcPr>
          <w:p>
            <w:pPr>
              <w:spacing w:after="0"/>
              <w:rPr>
                <w:sz w:val="1"/>
                <w:szCs w:val="1"/>
                <w:color w:val="auto"/>
              </w:rPr>
            </w:pPr>
          </w:p>
        </w:tc>
      </w:tr>
      <w:tr>
        <w:trPr>
          <w:trHeight w:val="169"/>
        </w:trPr>
        <w:tc>
          <w:tcPr>
            <w:tcW w:w="2040" w:type="dxa"/>
            <w:vAlign w:val="bottom"/>
            <w:shd w:val="clear" w:color="auto" w:fill="EDEDED"/>
          </w:tcPr>
          <w:p>
            <w:pPr>
              <w:ind w:left="180"/>
              <w:spacing w:after="0"/>
              <w:rPr>
                <w:sz w:val="20"/>
                <w:szCs w:val="20"/>
                <w:color w:val="auto"/>
              </w:rPr>
            </w:pPr>
            <w:r>
              <w:rPr>
                <w:rFonts w:ascii="Arial" w:cs="Arial" w:eastAsia="Arial" w:hAnsi="Arial"/>
                <w:sz w:val="14"/>
                <w:szCs w:val="14"/>
                <w:i w:val="1"/>
                <w:iCs w:val="1"/>
                <w:color w:val="auto"/>
              </w:rPr>
              <w:t>Control</w:t>
            </w:r>
          </w:p>
        </w:tc>
        <w:tc>
          <w:tcPr>
            <w:tcW w:w="440" w:type="dxa"/>
            <w:vAlign w:val="bottom"/>
            <w:shd w:val="clear" w:color="auto" w:fill="EDEDED"/>
          </w:tcPr>
          <w:p>
            <w:pPr>
              <w:spacing w:after="0"/>
              <w:rPr>
                <w:sz w:val="14"/>
                <w:szCs w:val="14"/>
                <w:color w:val="auto"/>
              </w:rPr>
            </w:pPr>
          </w:p>
        </w:tc>
        <w:tc>
          <w:tcPr>
            <w:tcW w:w="1020" w:type="dxa"/>
            <w:vAlign w:val="bottom"/>
            <w:vMerge w:val="continue"/>
            <w:shd w:val="clear" w:color="auto" w:fill="EDEDED"/>
          </w:tcPr>
          <w:p>
            <w:pPr>
              <w:spacing w:after="0"/>
              <w:rPr>
                <w:sz w:val="14"/>
                <w:szCs w:val="14"/>
                <w:color w:val="auto"/>
              </w:rPr>
            </w:pPr>
          </w:p>
        </w:tc>
        <w:tc>
          <w:tcPr>
            <w:tcW w:w="1200" w:type="dxa"/>
            <w:vAlign w:val="bottom"/>
            <w:vMerge w:val="continue"/>
            <w:shd w:val="clear" w:color="auto" w:fill="EDEDED"/>
          </w:tcPr>
          <w:p>
            <w:pPr>
              <w:spacing w:after="0"/>
              <w:rPr>
                <w:sz w:val="14"/>
                <w:szCs w:val="14"/>
                <w:color w:val="auto"/>
              </w:rPr>
            </w:pPr>
          </w:p>
        </w:tc>
        <w:tc>
          <w:tcPr>
            <w:tcW w:w="1160" w:type="dxa"/>
            <w:vAlign w:val="bottom"/>
            <w:vMerge w:val="continue"/>
            <w:shd w:val="clear" w:color="auto" w:fill="EDEDED"/>
          </w:tcPr>
          <w:p>
            <w:pPr>
              <w:spacing w:after="0"/>
              <w:rPr>
                <w:sz w:val="14"/>
                <w:szCs w:val="14"/>
                <w:color w:val="auto"/>
              </w:rPr>
            </w:pPr>
          </w:p>
        </w:tc>
        <w:tc>
          <w:tcPr>
            <w:tcW w:w="1200" w:type="dxa"/>
            <w:vAlign w:val="bottom"/>
            <w:vMerge w:val="continue"/>
            <w:shd w:val="clear" w:color="auto" w:fill="EDEDED"/>
          </w:tcPr>
          <w:p>
            <w:pPr>
              <w:spacing w:after="0"/>
              <w:rPr>
                <w:sz w:val="14"/>
                <w:szCs w:val="14"/>
                <w:color w:val="auto"/>
              </w:rPr>
            </w:pPr>
          </w:p>
        </w:tc>
        <w:tc>
          <w:tcPr>
            <w:tcW w:w="1300" w:type="dxa"/>
            <w:vAlign w:val="bottom"/>
            <w:vMerge w:val="continue"/>
            <w:shd w:val="clear" w:color="auto" w:fill="EDEDED"/>
          </w:tcPr>
          <w:p>
            <w:pPr>
              <w:spacing w:after="0"/>
              <w:rPr>
                <w:sz w:val="14"/>
                <w:szCs w:val="14"/>
                <w:color w:val="auto"/>
              </w:rPr>
            </w:pPr>
          </w:p>
        </w:tc>
        <w:tc>
          <w:tcPr>
            <w:tcW w:w="1040" w:type="dxa"/>
            <w:vAlign w:val="bottom"/>
            <w:vMerge w:val="continue"/>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EDEDED"/>
          </w:tcPr>
          <w:p>
            <w:pPr>
              <w:ind w:left="180"/>
              <w:spacing w:after="0"/>
              <w:rPr>
                <w:sz w:val="20"/>
                <w:szCs w:val="20"/>
                <w:color w:val="auto"/>
              </w:rPr>
            </w:pPr>
            <w:r>
              <w:rPr>
                <w:rFonts w:ascii="Arial" w:cs="Arial" w:eastAsia="Arial" w:hAnsi="Arial"/>
                <w:sz w:val="14"/>
                <w:szCs w:val="14"/>
                <w:i w:val="1"/>
                <w:iCs w:val="1"/>
                <w:color w:val="auto"/>
              </w:rPr>
              <w:t>Death or Disability</w:t>
            </w:r>
          </w:p>
        </w:tc>
        <w:tc>
          <w:tcPr>
            <w:tcW w:w="440" w:type="dxa"/>
            <w:vAlign w:val="bottom"/>
            <w:shd w:val="clear" w:color="auto" w:fill="EDEDED"/>
          </w:tcPr>
          <w:p>
            <w:pPr>
              <w:spacing w:after="0"/>
              <w:rPr>
                <w:sz w:val="17"/>
                <w:szCs w:val="17"/>
                <w:color w:val="auto"/>
              </w:rPr>
            </w:pPr>
          </w:p>
        </w:tc>
        <w:tc>
          <w:tcPr>
            <w:tcW w:w="102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DEDED"/>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796,346</w:t>
            </w:r>
          </w:p>
        </w:tc>
        <w:tc>
          <w:tcPr>
            <w:tcW w:w="1200" w:type="dxa"/>
            <w:vAlign w:val="bottom"/>
            <w:shd w:val="clear" w:color="auto" w:fill="EDEDED"/>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EDEDED"/>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796,346</w:t>
            </w:r>
          </w:p>
        </w:tc>
        <w:tc>
          <w:tcPr>
            <w:tcW w:w="0" w:type="dxa"/>
            <w:vAlign w:val="bottom"/>
          </w:tcPr>
          <w:p>
            <w:pPr>
              <w:spacing w:after="0"/>
              <w:rPr>
                <w:sz w:val="1"/>
                <w:szCs w:val="1"/>
                <w:color w:val="auto"/>
              </w:rPr>
            </w:pPr>
          </w:p>
        </w:tc>
      </w:tr>
      <w:tr>
        <w:trPr>
          <w:trHeight w:val="195"/>
        </w:trPr>
        <w:tc>
          <w:tcPr>
            <w:tcW w:w="2040" w:type="dxa"/>
            <w:vAlign w:val="bottom"/>
          </w:tcPr>
          <w:p>
            <w:pPr>
              <w:ind w:left="100"/>
              <w:spacing w:after="0"/>
              <w:rPr>
                <w:sz w:val="20"/>
                <w:szCs w:val="20"/>
                <w:color w:val="auto"/>
              </w:rPr>
            </w:pPr>
            <w:r>
              <w:rPr>
                <w:rFonts w:ascii="Arial" w:cs="Arial" w:eastAsia="Arial" w:hAnsi="Arial"/>
                <w:sz w:val="14"/>
                <w:szCs w:val="14"/>
                <w:color w:val="auto"/>
              </w:rPr>
              <w:t>Richard J. (Arjay) Jensen</w:t>
            </w: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ind w:left="180"/>
              <w:spacing w:after="0"/>
              <w:rPr>
                <w:sz w:val="20"/>
                <w:szCs w:val="20"/>
                <w:color w:val="auto"/>
              </w:rPr>
            </w:pPr>
            <w:r>
              <w:rPr>
                <w:rFonts w:ascii="Arial" w:cs="Arial" w:eastAsia="Arial" w:hAnsi="Arial"/>
                <w:sz w:val="14"/>
                <w:szCs w:val="14"/>
                <w:i w:val="1"/>
                <w:iCs w:val="1"/>
                <w:color w:val="auto"/>
              </w:rPr>
              <w:t>Qualifying Termination</w:t>
            </w:r>
          </w:p>
        </w:tc>
        <w:tc>
          <w:tcPr>
            <w:tcW w:w="1460" w:type="dxa"/>
            <w:vAlign w:val="bottom"/>
            <w:gridSpan w:val="2"/>
          </w:tcPr>
          <w:p>
            <w:pPr>
              <w:jc w:val="right"/>
              <w:ind w:right="28"/>
              <w:spacing w:after="0"/>
              <w:rPr>
                <w:sz w:val="20"/>
                <w:szCs w:val="20"/>
                <w:color w:val="auto"/>
              </w:rPr>
            </w:pPr>
            <w:r>
              <w:rPr>
                <w:rFonts w:ascii="Arial" w:cs="Arial" w:eastAsia="Arial" w:hAnsi="Arial"/>
                <w:sz w:val="14"/>
                <w:szCs w:val="14"/>
                <w:color w:val="auto"/>
              </w:rPr>
              <w:t>800,000</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23,107</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556,247</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50,268</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1,429,622</w:t>
            </w:r>
          </w:p>
        </w:tc>
        <w:tc>
          <w:tcPr>
            <w:tcW w:w="0" w:type="dxa"/>
            <w:vAlign w:val="bottom"/>
          </w:tcPr>
          <w:p>
            <w:pPr>
              <w:spacing w:after="0"/>
              <w:rPr>
                <w:sz w:val="1"/>
                <w:szCs w:val="1"/>
                <w:color w:val="auto"/>
              </w:rPr>
            </w:pPr>
          </w:p>
        </w:tc>
      </w:tr>
      <w:tr>
        <w:trPr>
          <w:trHeight w:val="162"/>
        </w:trPr>
        <w:tc>
          <w:tcPr>
            <w:tcW w:w="2040" w:type="dxa"/>
            <w:vAlign w:val="bottom"/>
          </w:tcPr>
          <w:p>
            <w:pPr>
              <w:ind w:left="180"/>
              <w:spacing w:after="0"/>
              <w:rPr>
                <w:sz w:val="20"/>
                <w:szCs w:val="20"/>
                <w:color w:val="auto"/>
              </w:rPr>
            </w:pPr>
            <w:r>
              <w:rPr>
                <w:rFonts w:ascii="Arial" w:cs="Arial" w:eastAsia="Arial" w:hAnsi="Arial"/>
                <w:sz w:val="14"/>
                <w:szCs w:val="14"/>
                <w:i w:val="1"/>
                <w:iCs w:val="1"/>
                <w:color w:val="auto"/>
              </w:rPr>
              <w:t>Qualifying Termination in</w:t>
            </w: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180"/>
              <w:spacing w:after="0"/>
              <w:rPr>
                <w:sz w:val="20"/>
                <w:szCs w:val="20"/>
                <w:color w:val="auto"/>
              </w:rPr>
            </w:pPr>
            <w:r>
              <w:rPr>
                <w:rFonts w:ascii="Arial" w:cs="Arial" w:eastAsia="Arial" w:hAnsi="Arial"/>
                <w:sz w:val="14"/>
                <w:szCs w:val="14"/>
                <w:i w:val="1"/>
                <w:iCs w:val="1"/>
                <w:color w:val="auto"/>
              </w:rPr>
              <w:t>connection with Change in</w:t>
            </w:r>
          </w:p>
        </w:tc>
        <w:tc>
          <w:tcPr>
            <w:tcW w:w="146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1,200,000</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34,660</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556,247</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50,268</w:t>
            </w:r>
          </w:p>
        </w:tc>
        <w:tc>
          <w:tcPr>
            <w:tcW w:w="13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1,841,175</w:t>
            </w:r>
          </w:p>
        </w:tc>
        <w:tc>
          <w:tcPr>
            <w:tcW w:w="0" w:type="dxa"/>
            <w:vAlign w:val="bottom"/>
          </w:tcPr>
          <w:p>
            <w:pPr>
              <w:spacing w:after="0"/>
              <w:rPr>
                <w:sz w:val="1"/>
                <w:szCs w:val="1"/>
                <w:color w:val="auto"/>
              </w:rPr>
            </w:pPr>
          </w:p>
        </w:tc>
      </w:tr>
      <w:tr>
        <w:trPr>
          <w:trHeight w:val="175"/>
        </w:trPr>
        <w:tc>
          <w:tcPr>
            <w:tcW w:w="2040" w:type="dxa"/>
            <w:vAlign w:val="bottom"/>
          </w:tcPr>
          <w:p>
            <w:pPr>
              <w:ind w:left="180"/>
              <w:spacing w:after="0"/>
              <w:rPr>
                <w:sz w:val="20"/>
                <w:szCs w:val="20"/>
                <w:color w:val="auto"/>
              </w:rPr>
            </w:pPr>
            <w:r>
              <w:rPr>
                <w:rFonts w:ascii="Arial" w:cs="Arial" w:eastAsia="Arial" w:hAnsi="Arial"/>
                <w:sz w:val="14"/>
                <w:szCs w:val="14"/>
                <w:i w:val="1"/>
                <w:iCs w:val="1"/>
                <w:color w:val="auto"/>
              </w:rPr>
              <w:t>Control</w:t>
            </w:r>
          </w:p>
        </w:tc>
        <w:tc>
          <w:tcPr>
            <w:tcW w:w="146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40" w:type="dxa"/>
            <w:vAlign w:val="bottom"/>
            <w:tcBorders>
              <w:bottom w:val="single" w:sz="8" w:color="auto"/>
            </w:tcBorders>
          </w:tcPr>
          <w:p>
            <w:pPr>
              <w:ind w:left="180"/>
              <w:spacing w:after="0"/>
              <w:rPr>
                <w:sz w:val="20"/>
                <w:szCs w:val="20"/>
                <w:color w:val="auto"/>
              </w:rPr>
            </w:pPr>
            <w:r>
              <w:rPr>
                <w:rFonts w:ascii="Arial" w:cs="Arial" w:eastAsia="Arial" w:hAnsi="Arial"/>
                <w:sz w:val="14"/>
                <w:szCs w:val="14"/>
                <w:i w:val="1"/>
                <w:iCs w:val="1"/>
                <w:color w:val="auto"/>
              </w:rPr>
              <w:t>Death or Disability</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556,247</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50,268</w:t>
            </w:r>
          </w:p>
        </w:tc>
        <w:tc>
          <w:tcPr>
            <w:tcW w:w="13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606,515</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right="400" w:hanging="314"/>
        <w:spacing w:after="0" w:line="251" w:lineRule="auto"/>
        <w:tabs>
          <w:tab w:leader="none" w:pos="320" w:val="left"/>
        </w:tabs>
        <w:numPr>
          <w:ilvl w:val="0"/>
          <w:numId w:val="46"/>
        </w:numPr>
        <w:rPr>
          <w:rFonts w:ascii="Times New Roman" w:cs="Times New Roman" w:eastAsia="Times New Roman" w:hAnsi="Times New Roman"/>
          <w:sz w:val="14"/>
          <w:szCs w:val="14"/>
          <w:color w:val="050A35"/>
        </w:rPr>
      </w:pPr>
      <w:r>
        <w:rPr>
          <w:rFonts w:ascii="Arial" w:cs="Arial" w:eastAsia="Arial" w:hAnsi="Arial"/>
          <w:sz w:val="14"/>
          <w:szCs w:val="14"/>
          <w:color w:val="050A35"/>
        </w:rPr>
        <w:t>Represents aggregate reimbursement of COBRA premiums for the maximum applicable period and applying COBRA rates reflecting the named executive officer’s coverage level elections as of December 31, 2025.</w:t>
      </w:r>
    </w:p>
    <w:p>
      <w:pPr>
        <w:ind w:left="320" w:right="280" w:hanging="314"/>
        <w:spacing w:after="0" w:line="241" w:lineRule="auto"/>
        <w:tabs>
          <w:tab w:leader="none" w:pos="320" w:val="left"/>
        </w:tabs>
        <w:numPr>
          <w:ilvl w:val="0"/>
          <w:numId w:val="46"/>
        </w:numPr>
        <w:rPr>
          <w:rFonts w:ascii="Times New Roman" w:cs="Times New Roman" w:eastAsia="Times New Roman" w:hAnsi="Times New Roman"/>
          <w:sz w:val="14"/>
          <w:szCs w:val="14"/>
          <w:color w:val="050A35"/>
        </w:rPr>
      </w:pPr>
      <w:r>
        <w:rPr>
          <w:rFonts w:ascii="Arial" w:cs="Arial" w:eastAsia="Arial" w:hAnsi="Arial"/>
          <w:sz w:val="14"/>
          <w:szCs w:val="14"/>
          <w:color w:val="050A35"/>
        </w:rPr>
        <w:t>Represents the closing price of our common stock ($9.81) on December 31, 2025, multiplied by the number of RSUs accelerated upon the occurrence of the relevant event.</w:t>
      </w:r>
    </w:p>
    <w:p>
      <w:pPr>
        <w:ind w:left="320" w:right="260" w:hanging="314"/>
        <w:spacing w:after="0" w:line="241" w:lineRule="auto"/>
        <w:tabs>
          <w:tab w:leader="none" w:pos="320" w:val="left"/>
        </w:tabs>
        <w:numPr>
          <w:ilvl w:val="0"/>
          <w:numId w:val="46"/>
        </w:numPr>
        <w:rPr>
          <w:rFonts w:ascii="Times New Roman" w:cs="Times New Roman" w:eastAsia="Times New Roman" w:hAnsi="Times New Roman"/>
          <w:sz w:val="14"/>
          <w:szCs w:val="14"/>
          <w:color w:val="050A35"/>
        </w:rPr>
      </w:pPr>
      <w:r>
        <w:rPr>
          <w:rFonts w:ascii="Arial" w:cs="Arial" w:eastAsia="Arial" w:hAnsi="Arial"/>
          <w:sz w:val="14"/>
          <w:szCs w:val="14"/>
          <w:color w:val="050A35"/>
        </w:rPr>
        <w:t>Represents the difference between the closing price of our common stock ($9.81) on December 31, 2025 and the exercise prices of in-the-money stock options accelerated upon the occurrence of the relevant event, multiplied by the number of stock options so accelerated.</w:t>
      </w:r>
    </w:p>
    <w:p>
      <w:pPr>
        <w:ind w:left="320" w:right="320" w:hanging="314"/>
        <w:spacing w:after="0" w:line="263" w:lineRule="auto"/>
        <w:tabs>
          <w:tab w:leader="none" w:pos="320" w:val="left"/>
        </w:tabs>
        <w:numPr>
          <w:ilvl w:val="0"/>
          <w:numId w:val="46"/>
        </w:numPr>
        <w:rPr>
          <w:rFonts w:ascii="Times New Roman" w:cs="Times New Roman" w:eastAsia="Times New Roman" w:hAnsi="Times New Roman"/>
          <w:sz w:val="14"/>
          <w:szCs w:val="14"/>
          <w:color w:val="050A35"/>
        </w:rPr>
      </w:pPr>
      <w:r>
        <w:rPr>
          <w:rFonts w:ascii="Arial" w:cs="Arial" w:eastAsia="Arial" w:hAnsi="Arial"/>
          <w:sz w:val="14"/>
          <w:szCs w:val="14"/>
          <w:color w:val="050A35"/>
        </w:rPr>
        <w:t>Based on a 30-day volume-weighted average price of our common stock ($9.65) on December 31, 2025 and calculated as set forth in Mr. Sarsfield’s employment agreement.</w:t>
      </w:r>
    </w:p>
    <w:p>
      <w:pPr>
        <w:spacing w:after="0" w:line="56" w:lineRule="exact"/>
        <w:rPr>
          <w:sz w:val="20"/>
          <w:szCs w:val="20"/>
          <w:color w:val="auto"/>
        </w:rPr>
      </w:pPr>
    </w:p>
    <w:p>
      <w:pPr>
        <w:ind w:right="360"/>
        <w:spacing w:after="0" w:line="264" w:lineRule="auto"/>
        <w:rPr>
          <w:sz w:val="20"/>
          <w:szCs w:val="20"/>
          <w:color w:val="auto"/>
        </w:rPr>
      </w:pPr>
      <w:r>
        <w:rPr>
          <w:rFonts w:ascii="Arial" w:cs="Arial" w:eastAsia="Arial" w:hAnsi="Arial"/>
          <w:sz w:val="15"/>
          <w:szCs w:val="15"/>
          <w:color w:val="050A35"/>
        </w:rPr>
        <w:t>On March 17, 2026, Mr. Hood notified the Company that he will be retiring as the Company’s Executive Vice President and Chief Administrative Officer effective as of May 31, 2026. On March 19, 2026, in connection with his retirement, the Company and Mr. Hood</w:t>
      </w:r>
    </w:p>
    <w:p>
      <w:pPr>
        <w:spacing w:after="0" w:line="155" w:lineRule="exact"/>
        <w:rPr>
          <w:sz w:val="20"/>
          <w:szCs w:val="20"/>
          <w:color w:val="auto"/>
        </w:rPr>
      </w:pPr>
    </w:p>
    <w:p>
      <w:pPr>
        <w:ind w:left="480" w:hanging="474"/>
        <w:spacing w:after="0"/>
        <w:tabs>
          <w:tab w:leader="none" w:pos="480" w:val="left"/>
        </w:tabs>
        <w:numPr>
          <w:ilvl w:val="0"/>
          <w:numId w:val="47"/>
        </w:numPr>
        <w:rPr>
          <w:rFonts w:ascii="Arial" w:cs="Arial" w:eastAsia="Arial" w:hAnsi="Arial"/>
          <w:sz w:val="14"/>
          <w:szCs w:val="14"/>
          <w:b w:val="1"/>
          <w:bCs w:val="1"/>
          <w:color w:val="050A35"/>
        </w:rPr>
      </w:pPr>
      <w:r>
        <w:rPr>
          <w:rFonts w:ascii="Arial" w:cs="Arial" w:eastAsia="Arial" w:hAnsi="Arial"/>
          <w:sz w:val="14"/>
          <w:szCs w:val="14"/>
          <w:color w:val="050A35"/>
        </w:rPr>
        <w:t>RIDGEPOST CAPITAL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473710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775" w:right="1259" w:bottom="1440" w:gutter="0" w:footer="0" w:header="0"/>
        </w:sectPr>
      </w:pPr>
    </w:p>
    <w:bookmarkStart w:id="28" w:name="page29"/>
    <w:bookmarkEnd w:id="28"/>
    <w:p>
      <w:pPr>
        <w:jc w:val="right"/>
        <w:ind w:right="660"/>
        <w:spacing w:after="0"/>
        <w:rPr>
          <w:sz w:val="20"/>
          <w:szCs w:val="20"/>
          <w:color w:val="auto"/>
        </w:rPr>
      </w:pPr>
      <w:r>
        <w:rPr>
          <w:rFonts w:ascii="Arial" w:cs="Arial" w:eastAsia="Arial" w:hAnsi="Arial"/>
          <w:sz w:val="13"/>
          <w:szCs w:val="13"/>
          <w:color w:val="050A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9" w:lineRule="exact"/>
        <w:rPr>
          <w:sz w:val="20"/>
          <w:szCs w:val="20"/>
          <w:color w:val="auto"/>
        </w:rPr>
      </w:pPr>
    </w:p>
    <w:p>
      <w:pPr>
        <w:ind w:left="660" w:right="820"/>
        <w:spacing w:after="0" w:line="231" w:lineRule="auto"/>
        <w:rPr>
          <w:sz w:val="20"/>
          <w:szCs w:val="20"/>
          <w:color w:val="auto"/>
        </w:rPr>
      </w:pPr>
      <w:r>
        <w:rPr>
          <w:rFonts w:ascii="Arial" w:cs="Arial" w:eastAsia="Arial" w:hAnsi="Arial"/>
          <w:sz w:val="15"/>
          <w:szCs w:val="15"/>
          <w:color w:val="050A35"/>
        </w:rPr>
        <w:t>entered into a separation and release agreement (the “Separation Agreement”), pursuant to which Mr. Hood will receive a one-time separation payment of $125,000, subject to execution and non-revocation of a release and compliance with customary post-termination covenants as further described below. In connection with his retirement, on March 19, 2026, the Company also entered into a consulting agreement (the “Consulting Agreement”) with Mr. Hood, pursuant to which he will be engaged by the Company during the period from June 1, 2026 through March 31, 2027 to provide certain transition and other advisory services to the Company and will receive (i) a monthly advisory fee of $15,000, and (ii) reimbursement or direct payment of COBRA premiums during the consulting period. In addition, Mr. Hood's outstanding equity and carried interest awards will continue to vest and remain exercisable, as his service will continue uninterrupted pursuant to the Consulting Agreement. The Separation Agreement and Consulting Agreement also contain customary confidentiality, non-solicitation and non-competition covenants.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22"/>
          <w:szCs w:val="22"/>
          <w:color w:val="050A35"/>
        </w:rPr>
        <w:t>Pay Versus Performance</w:t>
      </w:r>
    </w:p>
    <w:p>
      <w:pPr>
        <w:spacing w:after="0" w:line="131" w:lineRule="exact"/>
        <w:rPr>
          <w:sz w:val="20"/>
          <w:szCs w:val="20"/>
          <w:color w:val="auto"/>
        </w:rPr>
      </w:pPr>
    </w:p>
    <w:p>
      <w:pPr>
        <w:ind w:left="660" w:right="720"/>
        <w:spacing w:after="0"/>
        <w:rPr>
          <w:sz w:val="20"/>
          <w:szCs w:val="20"/>
          <w:color w:val="auto"/>
        </w:rPr>
      </w:pPr>
      <w:r>
        <w:rPr>
          <w:rFonts w:ascii="Arial" w:cs="Arial" w:eastAsia="Arial" w:hAnsi="Arial"/>
          <w:sz w:val="15"/>
          <w:szCs w:val="15"/>
          <w:color w:val="050A35"/>
        </w:rPr>
        <w:t>As required by Section 953(a) of the Dodd-Frank Wall Street Reform and Consumer Protection Act, and Item 402(v) of Regulation S-K under the Securities Act, we are providing the following information about the relationship between executive “compensation actually paid” and certain financial performance of the Company. For further information concerning the Company’s pay for performance philosophy and how the Company aligns executive compensation with the Company’s performance, see the “Compensation Discussion and Analysis” above.</w:t>
      </w:r>
    </w:p>
    <w:p>
      <w:pPr>
        <w:spacing w:after="0" w:line="281"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40" w:type="dxa"/>
            <w:vAlign w:val="bottom"/>
            <w:gridSpan w:val="2"/>
          </w:tcPr>
          <w:p>
            <w:pPr>
              <w:jc w:val="center"/>
              <w:spacing w:after="0"/>
              <w:rPr>
                <w:sz w:val="20"/>
                <w:szCs w:val="20"/>
                <w:color w:val="auto"/>
              </w:rPr>
            </w:pPr>
            <w:r>
              <w:rPr>
                <w:rFonts w:ascii="Arial" w:cs="Arial" w:eastAsia="Arial" w:hAnsi="Arial"/>
                <w:sz w:val="11"/>
                <w:szCs w:val="11"/>
                <w:b w:val="1"/>
                <w:bCs w:val="1"/>
                <w:color w:val="112B19"/>
                <w:w w:val="97"/>
              </w:rPr>
              <w:t>Value of Initial Fixed $100</w:t>
            </w: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2"/>
        </w:trPr>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112B19"/>
                <w:w w:val="99"/>
              </w:rPr>
              <w:t>Investment Based on</w:t>
            </w: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5"/>
        </w:trPr>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bottom w:val="single" w:sz="8" w:color="112B19"/>
            </w:tcBorders>
          </w:tcPr>
          <w:p>
            <w:pPr>
              <w:spacing w:after="0"/>
              <w:rPr>
                <w:sz w:val="11"/>
                <w:szCs w:val="11"/>
                <w:color w:val="auto"/>
              </w:rPr>
            </w:pPr>
          </w:p>
        </w:tc>
        <w:tc>
          <w:tcPr>
            <w:tcW w:w="660" w:type="dxa"/>
            <w:vAlign w:val="bottom"/>
            <w:tcBorders>
              <w:bottom w:val="single" w:sz="8" w:color="112B19"/>
            </w:tcBorders>
          </w:tcPr>
          <w:p>
            <w:pPr>
              <w:spacing w:after="0"/>
              <w:rPr>
                <w:sz w:val="11"/>
                <w:szCs w:val="11"/>
                <w:color w:val="auto"/>
              </w:rPr>
            </w:pPr>
          </w:p>
        </w:tc>
        <w:tc>
          <w:tcPr>
            <w:tcW w:w="660" w:type="dxa"/>
            <w:vAlign w:val="bottom"/>
            <w:tcBorders>
              <w:bottom w:val="single" w:sz="8" w:color="112B19"/>
            </w:tcBorders>
          </w:tcPr>
          <w:p>
            <w:pPr>
              <w:spacing w:after="0"/>
              <w:rPr>
                <w:sz w:val="11"/>
                <w:szCs w:val="11"/>
                <w:color w:val="auto"/>
              </w:rPr>
            </w:pPr>
          </w:p>
        </w:tc>
        <w:tc>
          <w:tcPr>
            <w:tcW w:w="820" w:type="dxa"/>
            <w:vAlign w:val="bottom"/>
            <w:tcBorders>
              <w:bottom w:val="single" w:sz="8" w:color="112B19"/>
            </w:tcBorders>
          </w:tcPr>
          <w:p>
            <w:pPr>
              <w:spacing w:after="0"/>
              <w:rPr>
                <w:sz w:val="11"/>
                <w:szCs w:val="11"/>
                <w:color w:val="auto"/>
              </w:rPr>
            </w:pPr>
          </w:p>
        </w:tc>
        <w:tc>
          <w:tcPr>
            <w:tcW w:w="840" w:type="dxa"/>
            <w:vAlign w:val="bottom"/>
            <w:tcBorders>
              <w:bottom w:val="single" w:sz="8" w:color="112B19"/>
            </w:tcBorders>
          </w:tcPr>
          <w:p>
            <w:pPr>
              <w:spacing w:after="0"/>
              <w:rPr>
                <w:sz w:val="11"/>
                <w:szCs w:val="11"/>
                <w:color w:val="auto"/>
              </w:rPr>
            </w:pPr>
          </w:p>
        </w:tc>
        <w:tc>
          <w:tcPr>
            <w:tcW w:w="820" w:type="dxa"/>
            <w:vAlign w:val="bottom"/>
            <w:tcBorders>
              <w:bottom w:val="single" w:sz="8" w:color="112B19"/>
            </w:tcBorders>
          </w:tcPr>
          <w:p>
            <w:pPr>
              <w:spacing w:after="0"/>
              <w:rPr>
                <w:sz w:val="11"/>
                <w:szCs w:val="11"/>
                <w:color w:val="auto"/>
              </w:rPr>
            </w:pPr>
          </w:p>
        </w:tc>
        <w:tc>
          <w:tcPr>
            <w:tcW w:w="820" w:type="dxa"/>
            <w:vAlign w:val="bottom"/>
            <w:tcBorders>
              <w:bottom w:val="single" w:sz="8" w:color="112B19"/>
            </w:tcBorders>
          </w:tcPr>
          <w:p>
            <w:pPr>
              <w:spacing w:after="0"/>
              <w:rPr>
                <w:sz w:val="11"/>
                <w:szCs w:val="11"/>
                <w:color w:val="auto"/>
              </w:rPr>
            </w:pPr>
          </w:p>
        </w:tc>
        <w:tc>
          <w:tcPr>
            <w:tcW w:w="820" w:type="dxa"/>
            <w:vAlign w:val="bottom"/>
            <w:tcBorders>
              <w:bottom w:val="single" w:sz="8" w:color="112B19"/>
            </w:tcBorders>
          </w:tcPr>
          <w:p>
            <w:pPr>
              <w:spacing w:after="0"/>
              <w:rPr>
                <w:sz w:val="11"/>
                <w:szCs w:val="11"/>
                <w:color w:val="auto"/>
              </w:rPr>
            </w:pPr>
          </w:p>
        </w:tc>
        <w:tc>
          <w:tcPr>
            <w:tcW w:w="1440" w:type="dxa"/>
            <w:vAlign w:val="bottom"/>
            <w:tcBorders>
              <w:bottom w:val="single" w:sz="8" w:color="112B19"/>
            </w:tcBorders>
            <w:gridSpan w:val="2"/>
          </w:tcPr>
          <w:p>
            <w:pPr>
              <w:jc w:val="center"/>
              <w:spacing w:after="0"/>
              <w:rPr>
                <w:sz w:val="20"/>
                <w:szCs w:val="20"/>
                <w:color w:val="auto"/>
              </w:rPr>
            </w:pPr>
            <w:r>
              <w:rPr>
                <w:rFonts w:ascii="Arial" w:cs="Arial" w:eastAsia="Arial" w:hAnsi="Arial"/>
                <w:sz w:val="11"/>
                <w:szCs w:val="11"/>
                <w:b w:val="1"/>
                <w:bCs w:val="1"/>
                <w:color w:val="112B19"/>
                <w:w w:val="99"/>
              </w:rPr>
              <w:t>Stockholder Return</w:t>
            </w:r>
          </w:p>
        </w:tc>
        <w:tc>
          <w:tcPr>
            <w:tcW w:w="640" w:type="dxa"/>
            <w:vAlign w:val="bottom"/>
            <w:tcBorders>
              <w:bottom w:val="single" w:sz="8" w:color="112B19"/>
            </w:tcBorders>
          </w:tcPr>
          <w:p>
            <w:pPr>
              <w:spacing w:after="0"/>
              <w:rPr>
                <w:sz w:val="11"/>
                <w:szCs w:val="11"/>
                <w:color w:val="auto"/>
              </w:rPr>
            </w:pPr>
          </w:p>
        </w:tc>
        <w:tc>
          <w:tcPr>
            <w:tcW w:w="760" w:type="dxa"/>
            <w:vAlign w:val="bottom"/>
            <w:tcBorders>
              <w:bottom w:val="single" w:sz="8" w:color="112B19"/>
            </w:tcBorders>
          </w:tcPr>
          <w:p>
            <w:pPr>
              <w:spacing w:after="0"/>
              <w:rPr>
                <w:sz w:val="11"/>
                <w:szCs w:val="11"/>
                <w:color w:val="auto"/>
              </w:rPr>
            </w:pPr>
          </w:p>
        </w:tc>
      </w:tr>
      <w:tr>
        <w:trPr>
          <w:trHeight w:val="102"/>
        </w:trPr>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jc w:val="center"/>
              <w:spacing w:after="0" w:line="102" w:lineRule="exact"/>
              <w:rPr>
                <w:sz w:val="20"/>
                <w:szCs w:val="20"/>
                <w:color w:val="auto"/>
              </w:rPr>
            </w:pPr>
            <w:r>
              <w:rPr>
                <w:rFonts w:ascii="Arial" w:cs="Arial" w:eastAsia="Arial" w:hAnsi="Arial"/>
                <w:sz w:val="11"/>
                <w:szCs w:val="11"/>
                <w:b w:val="1"/>
                <w:bCs w:val="1"/>
                <w:color w:val="112B19"/>
                <w:w w:val="96"/>
              </w:rPr>
              <w:t>Average</w:t>
            </w: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22"/>
        </w:trPr>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112B19"/>
                <w:w w:val="95"/>
              </w:rPr>
              <w:t>Summary</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112B19"/>
                <w:w w:val="95"/>
              </w:rPr>
              <w:t>Summary</w:t>
            </w: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112B19"/>
                <w:w w:val="96"/>
              </w:rPr>
              <w:t>Average</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112B19"/>
              </w:rPr>
              <w:t>Fee Related</w:t>
            </w:r>
          </w:p>
        </w:tc>
      </w:tr>
      <w:tr>
        <w:trPr>
          <w:trHeight w:val="122"/>
        </w:trPr>
        <w:tc>
          <w:tcPr>
            <w:tcW w:w="280" w:type="dxa"/>
            <w:vAlign w:val="bottom"/>
          </w:tcPr>
          <w:p>
            <w:pPr>
              <w:spacing w:after="0"/>
              <w:rPr>
                <w:sz w:val="10"/>
                <w:szCs w:val="10"/>
                <w:color w:val="auto"/>
              </w:rPr>
            </w:pPr>
          </w:p>
        </w:tc>
        <w:tc>
          <w:tcPr>
            <w:tcW w:w="8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112B19"/>
                <w:w w:val="96"/>
              </w:rPr>
              <w:t>Compensation</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112B19"/>
                <w:w w:val="97"/>
              </w:rPr>
              <w:t>Compensatio</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112B19"/>
              </w:rPr>
              <w:t>Compensatio</w:t>
            </w: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112B19"/>
                <w:w w:val="97"/>
              </w:rPr>
              <w:t>Compensatio</w:t>
            </w: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112B19"/>
                <w:w w:val="97"/>
              </w:rPr>
              <w:t>Compensatio</w:t>
            </w: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112B19"/>
                <w:w w:val="97"/>
              </w:rPr>
              <w:t>Compensatio</w:t>
            </w:r>
          </w:p>
        </w:tc>
        <w:tc>
          <w:tcPr>
            <w:tcW w:w="7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112B19"/>
                <w:w w:val="96"/>
              </w:rPr>
              <w:t>Peer Group</w:t>
            </w:r>
          </w:p>
        </w:tc>
        <w:tc>
          <w:tcPr>
            <w:tcW w:w="640" w:type="dxa"/>
            <w:vAlign w:val="bottom"/>
          </w:tcPr>
          <w:p>
            <w:pPr>
              <w:spacing w:after="0"/>
              <w:rPr>
                <w:sz w:val="10"/>
                <w:szCs w:val="10"/>
                <w:color w:val="auto"/>
              </w:rPr>
            </w:pPr>
          </w:p>
        </w:tc>
        <w:tc>
          <w:tcPr>
            <w:tcW w:w="7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112B19"/>
                <w:w w:val="97"/>
              </w:rPr>
              <w:t>Earnings</w:t>
            </w:r>
          </w:p>
        </w:tc>
      </w:tr>
      <w:tr>
        <w:trPr>
          <w:trHeight w:val="122"/>
        </w:trPr>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112B19"/>
                <w:w w:val="98"/>
              </w:rPr>
              <w:t>Table (SCT)</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112B19"/>
                <w:w w:val="98"/>
              </w:rPr>
              <w:t>n Actually</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112B19"/>
                <w:w w:val="98"/>
              </w:rPr>
              <w:t>n Actually</w:t>
            </w:r>
          </w:p>
        </w:tc>
        <w:tc>
          <w:tcPr>
            <w:tcW w:w="820" w:type="dxa"/>
            <w:vAlign w:val="bottom"/>
          </w:tcPr>
          <w:p>
            <w:pPr>
              <w:jc w:val="center"/>
              <w:ind w:right="9"/>
              <w:spacing w:after="0" w:line="122" w:lineRule="exact"/>
              <w:rPr>
                <w:sz w:val="20"/>
                <w:szCs w:val="20"/>
                <w:color w:val="auto"/>
              </w:rPr>
            </w:pPr>
            <w:r>
              <w:rPr>
                <w:rFonts w:ascii="Arial" w:cs="Arial" w:eastAsia="Arial" w:hAnsi="Arial"/>
                <w:sz w:val="11"/>
                <w:szCs w:val="11"/>
                <w:b w:val="1"/>
                <w:bCs w:val="1"/>
                <w:color w:val="112B19"/>
                <w:w w:val="98"/>
              </w:rPr>
              <w:t>n Actually</w:t>
            </w: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112B19"/>
                <w:w w:val="97"/>
              </w:rPr>
              <w:t>n Table Total</w:t>
            </w:r>
          </w:p>
        </w:tc>
        <w:tc>
          <w:tcPr>
            <w:tcW w:w="8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112B19"/>
                <w:w w:val="98"/>
              </w:rPr>
              <w:t>n Actually</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112B19"/>
                <w:w w:val="98"/>
              </w:rPr>
              <w:t>Total</w:t>
            </w:r>
          </w:p>
        </w:tc>
        <w:tc>
          <w:tcPr>
            <w:tcW w:w="7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112B19"/>
                <w:w w:val="98"/>
              </w:rPr>
              <w:t>Total</w:t>
            </w:r>
          </w:p>
        </w:tc>
        <w:tc>
          <w:tcPr>
            <w:tcW w:w="640" w:type="dxa"/>
            <w:vAlign w:val="bottom"/>
          </w:tcPr>
          <w:p>
            <w:pPr>
              <w:spacing w:after="0"/>
              <w:rPr>
                <w:sz w:val="10"/>
                <w:szCs w:val="10"/>
                <w:color w:val="auto"/>
              </w:rPr>
            </w:pPr>
          </w:p>
        </w:tc>
        <w:tc>
          <w:tcPr>
            <w:tcW w:w="7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112B19"/>
              </w:rPr>
              <w:t>(Company</w:t>
            </w:r>
          </w:p>
        </w:tc>
      </w:tr>
      <w:tr>
        <w:trPr>
          <w:trHeight w:val="108"/>
        </w:trPr>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112B19"/>
                <w:w w:val="95"/>
              </w:rPr>
              <w:t>Total for CEO</w:t>
            </w:r>
          </w:p>
        </w:tc>
        <w:tc>
          <w:tcPr>
            <w:tcW w:w="660" w:type="dxa"/>
            <w:vAlign w:val="bottom"/>
          </w:tcPr>
          <w:p>
            <w:pPr>
              <w:jc w:val="right"/>
              <w:ind w:right="46"/>
              <w:spacing w:after="0" w:line="108" w:lineRule="exact"/>
              <w:rPr>
                <w:sz w:val="20"/>
                <w:szCs w:val="20"/>
                <w:color w:val="auto"/>
              </w:rPr>
            </w:pPr>
            <w:r>
              <w:rPr>
                <w:rFonts w:ascii="Arial" w:cs="Arial" w:eastAsia="Arial" w:hAnsi="Arial"/>
                <w:sz w:val="11"/>
                <w:szCs w:val="11"/>
                <w:b w:val="1"/>
                <w:bCs w:val="1"/>
                <w:color w:val="112B19"/>
              </w:rPr>
              <w:t>SCT Total</w:t>
            </w:r>
          </w:p>
        </w:tc>
        <w:tc>
          <w:tcPr>
            <w:tcW w:w="660" w:type="dxa"/>
            <w:vAlign w:val="bottom"/>
          </w:tcPr>
          <w:p>
            <w:pPr>
              <w:jc w:val="right"/>
              <w:ind w:right="46"/>
              <w:spacing w:after="0" w:line="108" w:lineRule="exact"/>
              <w:rPr>
                <w:sz w:val="20"/>
                <w:szCs w:val="20"/>
                <w:color w:val="auto"/>
              </w:rPr>
            </w:pPr>
            <w:r>
              <w:rPr>
                <w:rFonts w:ascii="Arial" w:cs="Arial" w:eastAsia="Arial" w:hAnsi="Arial"/>
                <w:sz w:val="11"/>
                <w:szCs w:val="11"/>
                <w:b w:val="1"/>
                <w:bCs w:val="1"/>
                <w:color w:val="112B19"/>
              </w:rPr>
              <w:t>SCT Total</w:t>
            </w:r>
          </w:p>
        </w:tc>
        <w:tc>
          <w:tcPr>
            <w:tcW w:w="820" w:type="dxa"/>
            <w:vAlign w:val="bottom"/>
          </w:tcPr>
          <w:p>
            <w:pPr>
              <w:jc w:val="center"/>
              <w:spacing w:after="0" w:line="108" w:lineRule="exact"/>
              <w:rPr>
                <w:sz w:val="20"/>
                <w:szCs w:val="20"/>
                <w:color w:val="auto"/>
              </w:rPr>
            </w:pPr>
            <w:r>
              <w:rPr>
                <w:rFonts w:ascii="Arial" w:cs="Arial" w:eastAsia="Arial" w:hAnsi="Arial"/>
                <w:sz w:val="11"/>
                <w:szCs w:val="11"/>
                <w:b w:val="1"/>
                <w:bCs w:val="1"/>
                <w:color w:val="112B19"/>
                <w:w w:val="97"/>
              </w:rPr>
              <w:t>Paid to CEO</w:t>
            </w:r>
          </w:p>
        </w:tc>
        <w:tc>
          <w:tcPr>
            <w:tcW w:w="840" w:type="dxa"/>
            <w:vAlign w:val="bottom"/>
          </w:tcPr>
          <w:p>
            <w:pPr>
              <w:jc w:val="center"/>
              <w:ind w:right="9"/>
              <w:spacing w:after="0" w:line="108" w:lineRule="exact"/>
              <w:rPr>
                <w:sz w:val="20"/>
                <w:szCs w:val="20"/>
                <w:color w:val="auto"/>
              </w:rPr>
            </w:pPr>
            <w:r>
              <w:rPr>
                <w:rFonts w:ascii="Arial" w:cs="Arial" w:eastAsia="Arial" w:hAnsi="Arial"/>
                <w:sz w:val="11"/>
                <w:szCs w:val="11"/>
                <w:b w:val="1"/>
                <w:bCs w:val="1"/>
                <w:color w:val="112B19"/>
                <w:w w:val="97"/>
              </w:rPr>
              <w:t>Paid to CEO</w:t>
            </w:r>
          </w:p>
        </w:tc>
        <w:tc>
          <w:tcPr>
            <w:tcW w:w="820" w:type="dxa"/>
            <w:vAlign w:val="bottom"/>
          </w:tcPr>
          <w:p>
            <w:pPr>
              <w:jc w:val="center"/>
              <w:ind w:right="9"/>
              <w:spacing w:after="0" w:line="108" w:lineRule="exact"/>
              <w:rPr>
                <w:sz w:val="20"/>
                <w:szCs w:val="20"/>
                <w:color w:val="auto"/>
              </w:rPr>
            </w:pPr>
            <w:r>
              <w:rPr>
                <w:rFonts w:ascii="Arial" w:cs="Arial" w:eastAsia="Arial" w:hAnsi="Arial"/>
                <w:sz w:val="11"/>
                <w:szCs w:val="11"/>
                <w:b w:val="1"/>
                <w:bCs w:val="1"/>
                <w:color w:val="112B19"/>
              </w:rPr>
              <w:t>Paid to CEO</w:t>
            </w:r>
          </w:p>
        </w:tc>
        <w:tc>
          <w:tcPr>
            <w:tcW w:w="820" w:type="dxa"/>
            <w:vAlign w:val="bottom"/>
          </w:tcPr>
          <w:p>
            <w:pPr>
              <w:jc w:val="center"/>
              <w:spacing w:after="0" w:line="108" w:lineRule="exact"/>
              <w:rPr>
                <w:sz w:val="20"/>
                <w:szCs w:val="20"/>
                <w:color w:val="auto"/>
              </w:rPr>
            </w:pPr>
            <w:r>
              <w:rPr>
                <w:rFonts w:ascii="Arial" w:cs="Arial" w:eastAsia="Arial" w:hAnsi="Arial"/>
                <w:sz w:val="11"/>
                <w:szCs w:val="11"/>
                <w:b w:val="1"/>
                <w:bCs w:val="1"/>
                <w:color w:val="112B19"/>
                <w:w w:val="97"/>
              </w:rPr>
              <w:t>for Other</w:t>
            </w:r>
          </w:p>
        </w:tc>
        <w:tc>
          <w:tcPr>
            <w:tcW w:w="820" w:type="dxa"/>
            <w:vAlign w:val="bottom"/>
          </w:tcPr>
          <w:p>
            <w:pPr>
              <w:jc w:val="center"/>
              <w:ind w:right="6"/>
              <w:spacing w:after="0" w:line="108" w:lineRule="exact"/>
              <w:rPr>
                <w:sz w:val="20"/>
                <w:szCs w:val="20"/>
                <w:color w:val="auto"/>
              </w:rPr>
            </w:pPr>
            <w:r>
              <w:rPr>
                <w:rFonts w:ascii="Arial" w:cs="Arial" w:eastAsia="Arial" w:hAnsi="Arial"/>
                <w:sz w:val="11"/>
                <w:szCs w:val="11"/>
                <w:b w:val="1"/>
                <w:bCs w:val="1"/>
                <w:color w:val="112B19"/>
                <w:w w:val="98"/>
              </w:rPr>
              <w:t>Paid to Other</w:t>
            </w:r>
          </w:p>
        </w:tc>
        <w:tc>
          <w:tcPr>
            <w:tcW w:w="720" w:type="dxa"/>
            <w:vAlign w:val="bottom"/>
          </w:tcPr>
          <w:p>
            <w:pPr>
              <w:jc w:val="center"/>
              <w:spacing w:after="0" w:line="108" w:lineRule="exact"/>
              <w:rPr>
                <w:sz w:val="20"/>
                <w:szCs w:val="20"/>
                <w:color w:val="auto"/>
              </w:rPr>
            </w:pPr>
            <w:r>
              <w:rPr>
                <w:rFonts w:ascii="Arial" w:cs="Arial" w:eastAsia="Arial" w:hAnsi="Arial"/>
                <w:sz w:val="11"/>
                <w:szCs w:val="11"/>
                <w:b w:val="1"/>
                <w:bCs w:val="1"/>
                <w:color w:val="112B19"/>
              </w:rPr>
              <w:t>Stockholde</w:t>
            </w:r>
          </w:p>
        </w:tc>
        <w:tc>
          <w:tcPr>
            <w:tcW w:w="720" w:type="dxa"/>
            <w:vAlign w:val="bottom"/>
          </w:tcPr>
          <w:p>
            <w:pPr>
              <w:jc w:val="center"/>
              <w:spacing w:after="0" w:line="108" w:lineRule="exact"/>
              <w:rPr>
                <w:sz w:val="20"/>
                <w:szCs w:val="20"/>
                <w:color w:val="auto"/>
              </w:rPr>
            </w:pPr>
            <w:r>
              <w:rPr>
                <w:rFonts w:ascii="Arial" w:cs="Arial" w:eastAsia="Arial" w:hAnsi="Arial"/>
                <w:sz w:val="11"/>
                <w:szCs w:val="11"/>
                <w:b w:val="1"/>
                <w:bCs w:val="1"/>
                <w:color w:val="112B19"/>
                <w:w w:val="97"/>
              </w:rPr>
              <w:t>Stockholde</w:t>
            </w:r>
          </w:p>
        </w:tc>
        <w:tc>
          <w:tcPr>
            <w:tcW w:w="640" w:type="dxa"/>
            <w:vAlign w:val="bottom"/>
          </w:tcPr>
          <w:p>
            <w:pPr>
              <w:jc w:val="right"/>
              <w:ind w:right="206"/>
              <w:spacing w:after="0" w:line="108" w:lineRule="exact"/>
              <w:rPr>
                <w:sz w:val="20"/>
                <w:szCs w:val="20"/>
                <w:color w:val="auto"/>
              </w:rPr>
            </w:pPr>
            <w:r>
              <w:rPr>
                <w:rFonts w:ascii="Arial" w:cs="Arial" w:eastAsia="Arial" w:hAnsi="Arial"/>
                <w:sz w:val="11"/>
                <w:szCs w:val="11"/>
                <w:b w:val="1"/>
                <w:bCs w:val="1"/>
                <w:color w:val="112B19"/>
              </w:rPr>
              <w:t>Net</w:t>
            </w:r>
          </w:p>
        </w:tc>
        <w:tc>
          <w:tcPr>
            <w:tcW w:w="76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112B19"/>
              </w:rPr>
              <w:t>Selected</w:t>
            </w:r>
          </w:p>
        </w:tc>
      </w:tr>
      <w:tr>
        <w:trPr>
          <w:trHeight w:val="148"/>
        </w:trPr>
        <w:tc>
          <w:tcPr>
            <w:tcW w:w="280" w:type="dxa"/>
            <w:vAlign w:val="bottom"/>
            <w:tcBorders>
              <w:bottom w:val="single" w:sz="8" w:color="112B19"/>
            </w:tcBorders>
          </w:tcPr>
          <w:p>
            <w:pPr>
              <w:spacing w:after="0"/>
              <w:rPr>
                <w:sz w:val="20"/>
                <w:szCs w:val="20"/>
                <w:color w:val="auto"/>
              </w:rPr>
            </w:pPr>
            <w:r>
              <w:rPr>
                <w:rFonts w:ascii="Arial" w:cs="Arial" w:eastAsia="Arial" w:hAnsi="Arial"/>
                <w:sz w:val="11"/>
                <w:szCs w:val="11"/>
                <w:b w:val="1"/>
                <w:bCs w:val="1"/>
                <w:color w:val="112B19"/>
              </w:rPr>
              <w:t>Year</w:t>
            </w:r>
          </w:p>
        </w:tc>
        <w:tc>
          <w:tcPr>
            <w:tcW w:w="840" w:type="dxa"/>
            <w:vAlign w:val="bottom"/>
            <w:tcBorders>
              <w:bottom w:val="single" w:sz="8" w:color="112B19"/>
            </w:tcBorders>
            <w:gridSpan w:val="2"/>
          </w:tcPr>
          <w:p>
            <w:pPr>
              <w:jc w:val="center"/>
              <w:spacing w:after="0"/>
              <w:rPr>
                <w:sz w:val="20"/>
                <w:szCs w:val="20"/>
                <w:color w:val="auto"/>
              </w:rPr>
            </w:pPr>
            <w:r>
              <w:rPr>
                <w:rFonts w:ascii="Arial" w:cs="Arial" w:eastAsia="Arial" w:hAnsi="Arial"/>
                <w:sz w:val="11"/>
                <w:szCs w:val="11"/>
                <w:b w:val="1"/>
                <w:bCs w:val="1"/>
                <w:color w:val="112B19"/>
                <w:w w:val="97"/>
              </w:rPr>
              <w:t>1</w:t>
            </w:r>
          </w:p>
        </w:tc>
        <w:tc>
          <w:tcPr>
            <w:tcW w:w="660" w:type="dxa"/>
            <w:vAlign w:val="bottom"/>
            <w:tcBorders>
              <w:bottom w:val="single" w:sz="8" w:color="112B19"/>
            </w:tcBorders>
          </w:tcPr>
          <w:p>
            <w:pPr>
              <w:jc w:val="right"/>
              <w:ind w:right="26"/>
              <w:spacing w:after="0"/>
              <w:rPr>
                <w:sz w:val="20"/>
                <w:szCs w:val="20"/>
                <w:color w:val="auto"/>
              </w:rPr>
            </w:pPr>
            <w:r>
              <w:rPr>
                <w:rFonts w:ascii="Arial" w:cs="Arial" w:eastAsia="Arial" w:hAnsi="Arial"/>
                <w:sz w:val="11"/>
                <w:szCs w:val="11"/>
                <w:b w:val="1"/>
                <w:bCs w:val="1"/>
                <w:color w:val="112B19"/>
              </w:rPr>
              <w:t>for CEO 2</w:t>
            </w:r>
          </w:p>
        </w:tc>
        <w:tc>
          <w:tcPr>
            <w:tcW w:w="660" w:type="dxa"/>
            <w:vAlign w:val="bottom"/>
            <w:tcBorders>
              <w:bottom w:val="single" w:sz="8" w:color="112B19"/>
            </w:tcBorders>
          </w:tcPr>
          <w:p>
            <w:pPr>
              <w:jc w:val="right"/>
              <w:ind w:right="46"/>
              <w:spacing w:after="0"/>
              <w:rPr>
                <w:sz w:val="20"/>
                <w:szCs w:val="20"/>
                <w:color w:val="auto"/>
              </w:rPr>
            </w:pPr>
            <w:r>
              <w:rPr>
                <w:rFonts w:ascii="Arial" w:cs="Arial" w:eastAsia="Arial" w:hAnsi="Arial"/>
                <w:sz w:val="11"/>
                <w:szCs w:val="11"/>
                <w:b w:val="1"/>
                <w:bCs w:val="1"/>
                <w:color w:val="112B19"/>
              </w:rPr>
              <w:t>for CEO 3</w:t>
            </w:r>
          </w:p>
        </w:tc>
        <w:tc>
          <w:tcPr>
            <w:tcW w:w="820" w:type="dxa"/>
            <w:vAlign w:val="bottom"/>
            <w:tcBorders>
              <w:bottom w:val="single" w:sz="8" w:color="112B19"/>
            </w:tcBorders>
          </w:tcPr>
          <w:p>
            <w:pPr>
              <w:jc w:val="center"/>
              <w:spacing w:after="0" w:line="149" w:lineRule="exact"/>
              <w:rPr>
                <w:sz w:val="20"/>
                <w:szCs w:val="20"/>
                <w:color w:val="auto"/>
              </w:rPr>
            </w:pPr>
            <w:r>
              <w:rPr>
                <w:rFonts w:ascii="Arial" w:cs="Arial" w:eastAsia="Arial" w:hAnsi="Arial"/>
                <w:sz w:val="17"/>
                <w:szCs w:val="17"/>
                <w:b w:val="1"/>
                <w:bCs w:val="1"/>
                <w:color w:val="112B19"/>
                <w:vertAlign w:val="subscript"/>
              </w:rPr>
              <w:t>1</w:t>
            </w:r>
            <w:r>
              <w:rPr>
                <w:rFonts w:ascii="Arial" w:cs="Arial" w:eastAsia="Arial" w:hAnsi="Arial"/>
                <w:sz w:val="6"/>
                <w:szCs w:val="6"/>
                <w:b w:val="1"/>
                <w:bCs w:val="1"/>
                <w:color w:val="112B19"/>
              </w:rPr>
              <w:t>(1)</w:t>
            </w:r>
          </w:p>
        </w:tc>
        <w:tc>
          <w:tcPr>
            <w:tcW w:w="840" w:type="dxa"/>
            <w:vAlign w:val="bottom"/>
            <w:tcBorders>
              <w:bottom w:val="single" w:sz="8" w:color="112B19"/>
            </w:tcBorders>
          </w:tcPr>
          <w:p>
            <w:pPr>
              <w:jc w:val="center"/>
              <w:spacing w:after="0" w:line="149" w:lineRule="exact"/>
              <w:rPr>
                <w:sz w:val="20"/>
                <w:szCs w:val="20"/>
                <w:color w:val="auto"/>
              </w:rPr>
            </w:pPr>
            <w:r>
              <w:rPr>
                <w:rFonts w:ascii="Arial" w:cs="Arial" w:eastAsia="Arial" w:hAnsi="Arial"/>
                <w:sz w:val="17"/>
                <w:szCs w:val="17"/>
                <w:b w:val="1"/>
                <w:bCs w:val="1"/>
                <w:color w:val="112B19"/>
                <w:vertAlign w:val="subscript"/>
              </w:rPr>
              <w:t>2</w:t>
            </w:r>
            <w:r>
              <w:rPr>
                <w:rFonts w:ascii="Arial" w:cs="Arial" w:eastAsia="Arial" w:hAnsi="Arial"/>
                <w:sz w:val="6"/>
                <w:szCs w:val="6"/>
                <w:b w:val="1"/>
                <w:bCs w:val="1"/>
                <w:color w:val="112B19"/>
              </w:rPr>
              <w:t>(1)</w:t>
            </w:r>
          </w:p>
        </w:tc>
        <w:tc>
          <w:tcPr>
            <w:tcW w:w="820" w:type="dxa"/>
            <w:vAlign w:val="bottom"/>
            <w:tcBorders>
              <w:bottom w:val="single" w:sz="8" w:color="112B19"/>
            </w:tcBorders>
          </w:tcPr>
          <w:p>
            <w:pPr>
              <w:jc w:val="center"/>
              <w:spacing w:after="0" w:line="149" w:lineRule="exact"/>
              <w:rPr>
                <w:sz w:val="20"/>
                <w:szCs w:val="20"/>
                <w:color w:val="auto"/>
              </w:rPr>
            </w:pPr>
            <w:r>
              <w:rPr>
                <w:rFonts w:ascii="Arial" w:cs="Arial" w:eastAsia="Arial" w:hAnsi="Arial"/>
                <w:sz w:val="17"/>
                <w:szCs w:val="17"/>
                <w:b w:val="1"/>
                <w:bCs w:val="1"/>
                <w:color w:val="112B19"/>
                <w:vertAlign w:val="subscript"/>
              </w:rPr>
              <w:t>3</w:t>
            </w:r>
            <w:r>
              <w:rPr>
                <w:rFonts w:ascii="Arial" w:cs="Arial" w:eastAsia="Arial" w:hAnsi="Arial"/>
                <w:sz w:val="6"/>
                <w:szCs w:val="6"/>
                <w:b w:val="1"/>
                <w:bCs w:val="1"/>
                <w:color w:val="112B19"/>
              </w:rPr>
              <w:t>(1)</w:t>
            </w:r>
          </w:p>
        </w:tc>
        <w:tc>
          <w:tcPr>
            <w:tcW w:w="820" w:type="dxa"/>
            <w:vAlign w:val="bottom"/>
            <w:tcBorders>
              <w:bottom w:val="single" w:sz="8" w:color="112B19"/>
            </w:tcBorders>
          </w:tcPr>
          <w:p>
            <w:pPr>
              <w:jc w:val="center"/>
              <w:spacing w:after="0" w:line="149" w:lineRule="exact"/>
              <w:rPr>
                <w:sz w:val="20"/>
                <w:szCs w:val="20"/>
                <w:color w:val="auto"/>
              </w:rPr>
            </w:pPr>
            <w:r>
              <w:rPr>
                <w:rFonts w:ascii="Arial" w:cs="Arial" w:eastAsia="Arial" w:hAnsi="Arial"/>
                <w:sz w:val="11"/>
                <w:szCs w:val="11"/>
                <w:b w:val="1"/>
                <w:bCs w:val="1"/>
                <w:color w:val="112B19"/>
                <w:w w:val="91"/>
              </w:rPr>
              <w:t>NEOs</w:t>
            </w:r>
            <w:r>
              <w:rPr>
                <w:rFonts w:ascii="Arial" w:cs="Arial" w:eastAsia="Arial" w:hAnsi="Arial"/>
                <w:sz w:val="14"/>
                <w:szCs w:val="14"/>
                <w:b w:val="1"/>
                <w:bCs w:val="1"/>
                <w:color w:val="112B19"/>
                <w:w w:val="91"/>
                <w:vertAlign w:val="superscript"/>
              </w:rPr>
              <w:t>(2)</w:t>
            </w:r>
          </w:p>
        </w:tc>
        <w:tc>
          <w:tcPr>
            <w:tcW w:w="820" w:type="dxa"/>
            <w:vAlign w:val="bottom"/>
            <w:tcBorders>
              <w:bottom w:val="single" w:sz="8" w:color="112B19"/>
            </w:tcBorders>
          </w:tcPr>
          <w:p>
            <w:pPr>
              <w:jc w:val="center"/>
              <w:spacing w:after="0" w:line="149" w:lineRule="exact"/>
              <w:rPr>
                <w:sz w:val="20"/>
                <w:szCs w:val="20"/>
                <w:color w:val="auto"/>
              </w:rPr>
            </w:pPr>
            <w:r>
              <w:rPr>
                <w:rFonts w:ascii="Arial" w:cs="Arial" w:eastAsia="Arial" w:hAnsi="Arial"/>
                <w:sz w:val="11"/>
                <w:szCs w:val="11"/>
                <w:b w:val="1"/>
                <w:bCs w:val="1"/>
                <w:color w:val="112B19"/>
                <w:w w:val="91"/>
              </w:rPr>
              <w:t>NEOs</w:t>
            </w:r>
            <w:r>
              <w:rPr>
                <w:rFonts w:ascii="Arial" w:cs="Arial" w:eastAsia="Arial" w:hAnsi="Arial"/>
                <w:sz w:val="14"/>
                <w:szCs w:val="14"/>
                <w:b w:val="1"/>
                <w:bCs w:val="1"/>
                <w:color w:val="112B19"/>
                <w:w w:val="91"/>
                <w:vertAlign w:val="superscript"/>
              </w:rPr>
              <w:t>(3)</w:t>
            </w:r>
          </w:p>
        </w:tc>
        <w:tc>
          <w:tcPr>
            <w:tcW w:w="720" w:type="dxa"/>
            <w:vAlign w:val="bottom"/>
            <w:tcBorders>
              <w:bottom w:val="single" w:sz="8" w:color="112B19"/>
            </w:tcBorders>
          </w:tcPr>
          <w:p>
            <w:pPr>
              <w:jc w:val="center"/>
              <w:spacing w:after="0" w:line="149" w:lineRule="exact"/>
              <w:rPr>
                <w:sz w:val="20"/>
                <w:szCs w:val="20"/>
                <w:color w:val="auto"/>
              </w:rPr>
            </w:pPr>
            <w:r>
              <w:rPr>
                <w:rFonts w:ascii="Arial" w:cs="Arial" w:eastAsia="Arial" w:hAnsi="Arial"/>
                <w:sz w:val="11"/>
                <w:szCs w:val="11"/>
                <w:b w:val="1"/>
                <w:bCs w:val="1"/>
                <w:color w:val="112B19"/>
                <w:w w:val="95"/>
              </w:rPr>
              <w:t>r Return</w:t>
            </w:r>
            <w:r>
              <w:rPr>
                <w:rFonts w:ascii="Arial" w:cs="Arial" w:eastAsia="Arial" w:hAnsi="Arial"/>
                <w:sz w:val="14"/>
                <w:szCs w:val="14"/>
                <w:b w:val="1"/>
                <w:bCs w:val="1"/>
                <w:color w:val="112B19"/>
                <w:w w:val="95"/>
                <w:vertAlign w:val="superscript"/>
              </w:rPr>
              <w:t>(4)</w:t>
            </w:r>
          </w:p>
        </w:tc>
        <w:tc>
          <w:tcPr>
            <w:tcW w:w="720" w:type="dxa"/>
            <w:vAlign w:val="bottom"/>
            <w:tcBorders>
              <w:bottom w:val="single" w:sz="8" w:color="112B19"/>
            </w:tcBorders>
          </w:tcPr>
          <w:p>
            <w:pPr>
              <w:jc w:val="center"/>
              <w:spacing w:after="0" w:line="149" w:lineRule="exact"/>
              <w:rPr>
                <w:sz w:val="20"/>
                <w:szCs w:val="20"/>
                <w:color w:val="auto"/>
              </w:rPr>
            </w:pPr>
            <w:r>
              <w:rPr>
                <w:rFonts w:ascii="Arial" w:cs="Arial" w:eastAsia="Arial" w:hAnsi="Arial"/>
                <w:sz w:val="11"/>
                <w:szCs w:val="11"/>
                <w:b w:val="1"/>
                <w:bCs w:val="1"/>
                <w:color w:val="112B19"/>
                <w:w w:val="92"/>
              </w:rPr>
              <w:t>r Return</w:t>
            </w:r>
            <w:r>
              <w:rPr>
                <w:rFonts w:ascii="Arial" w:cs="Arial" w:eastAsia="Arial" w:hAnsi="Arial"/>
                <w:sz w:val="14"/>
                <w:szCs w:val="14"/>
                <w:b w:val="1"/>
                <w:bCs w:val="1"/>
                <w:color w:val="112B19"/>
                <w:w w:val="92"/>
                <w:vertAlign w:val="superscript"/>
              </w:rPr>
              <w:t>(5)</w:t>
            </w:r>
          </w:p>
        </w:tc>
        <w:tc>
          <w:tcPr>
            <w:tcW w:w="640" w:type="dxa"/>
            <w:vAlign w:val="bottom"/>
            <w:tcBorders>
              <w:bottom w:val="single" w:sz="8" w:color="112B19"/>
            </w:tcBorders>
          </w:tcPr>
          <w:p>
            <w:pPr>
              <w:jc w:val="right"/>
              <w:ind w:right="46"/>
              <w:spacing w:after="0" w:line="149" w:lineRule="exact"/>
              <w:rPr>
                <w:sz w:val="20"/>
                <w:szCs w:val="20"/>
                <w:color w:val="auto"/>
              </w:rPr>
            </w:pPr>
            <w:r>
              <w:rPr>
                <w:rFonts w:ascii="Arial" w:cs="Arial" w:eastAsia="Arial" w:hAnsi="Arial"/>
                <w:sz w:val="11"/>
                <w:szCs w:val="11"/>
                <w:b w:val="1"/>
                <w:bCs w:val="1"/>
                <w:color w:val="112B19"/>
                <w:w w:val="98"/>
              </w:rPr>
              <w:t xml:space="preserve">Income </w:t>
            </w:r>
            <w:r>
              <w:rPr>
                <w:rFonts w:ascii="Arial" w:cs="Arial" w:eastAsia="Arial" w:hAnsi="Arial"/>
                <w:sz w:val="14"/>
                <w:szCs w:val="14"/>
                <w:b w:val="1"/>
                <w:bCs w:val="1"/>
                <w:color w:val="112B19"/>
                <w:w w:val="98"/>
                <w:vertAlign w:val="superscript"/>
              </w:rPr>
              <w:t>(6)</w:t>
            </w:r>
          </w:p>
        </w:tc>
        <w:tc>
          <w:tcPr>
            <w:tcW w:w="760" w:type="dxa"/>
            <w:vAlign w:val="bottom"/>
            <w:tcBorders>
              <w:bottom w:val="single" w:sz="8" w:color="112B19"/>
            </w:tcBorders>
          </w:tcPr>
          <w:p>
            <w:pPr>
              <w:jc w:val="center"/>
              <w:ind w:right="26"/>
              <w:spacing w:after="0" w:line="149" w:lineRule="exact"/>
              <w:rPr>
                <w:sz w:val="20"/>
                <w:szCs w:val="20"/>
                <w:color w:val="auto"/>
              </w:rPr>
            </w:pPr>
            <w:r>
              <w:rPr>
                <w:rFonts w:ascii="Arial" w:cs="Arial" w:eastAsia="Arial" w:hAnsi="Arial"/>
                <w:sz w:val="11"/>
                <w:szCs w:val="11"/>
                <w:b w:val="1"/>
                <w:bCs w:val="1"/>
                <w:color w:val="112B19"/>
                <w:w w:val="93"/>
              </w:rPr>
              <w:t>Measure)</w:t>
            </w:r>
            <w:r>
              <w:rPr>
                <w:rFonts w:ascii="Arial" w:cs="Arial" w:eastAsia="Arial" w:hAnsi="Arial"/>
                <w:sz w:val="14"/>
                <w:szCs w:val="14"/>
                <w:b w:val="1"/>
                <w:bCs w:val="1"/>
                <w:color w:val="112B19"/>
                <w:w w:val="93"/>
                <w:vertAlign w:val="superscript"/>
              </w:rPr>
              <w:t>(7)</w:t>
            </w:r>
          </w:p>
        </w:tc>
      </w:tr>
      <w:tr>
        <w:trPr>
          <w:trHeight w:val="102"/>
        </w:trPr>
        <w:tc>
          <w:tcPr>
            <w:tcW w:w="280" w:type="dxa"/>
            <w:vAlign w:val="bottom"/>
          </w:tcPr>
          <w:p>
            <w:pPr>
              <w:ind w:left="80"/>
              <w:spacing w:after="0" w:line="102" w:lineRule="exact"/>
              <w:rPr>
                <w:sz w:val="20"/>
                <w:szCs w:val="20"/>
                <w:color w:val="auto"/>
              </w:rPr>
            </w:pPr>
            <w:r>
              <w:rPr>
                <w:rFonts w:ascii="Arial" w:cs="Arial" w:eastAsia="Arial" w:hAnsi="Arial"/>
                <w:sz w:val="11"/>
                <w:szCs w:val="11"/>
                <w:color w:val="auto"/>
                <w:w w:val="97"/>
              </w:rPr>
              <w:t>202</w:t>
            </w: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jc w:val="right"/>
              <w:ind w:right="26"/>
              <w:spacing w:after="0" w:line="102" w:lineRule="exact"/>
              <w:rPr>
                <w:sz w:val="20"/>
                <w:szCs w:val="20"/>
                <w:color w:val="auto"/>
              </w:rPr>
            </w:pPr>
            <w:r>
              <w:rPr>
                <w:rFonts w:ascii="Arial" w:cs="Arial" w:eastAsia="Arial" w:hAnsi="Arial"/>
                <w:sz w:val="11"/>
                <w:szCs w:val="11"/>
                <w:color w:val="auto"/>
              </w:rPr>
              <w:t>22,963,0</w:t>
            </w:r>
          </w:p>
        </w:tc>
        <w:tc>
          <w:tcPr>
            <w:tcW w:w="760" w:type="dxa"/>
            <w:vAlign w:val="bottom"/>
          </w:tcPr>
          <w:p>
            <w:pPr>
              <w:jc w:val="right"/>
              <w:ind w:right="46"/>
              <w:spacing w:after="0" w:line="102" w:lineRule="exact"/>
              <w:rPr>
                <w:sz w:val="20"/>
                <w:szCs w:val="20"/>
                <w:color w:val="auto"/>
              </w:rPr>
            </w:pPr>
            <w:r>
              <w:rPr>
                <w:rFonts w:ascii="Arial" w:cs="Arial" w:eastAsia="Arial" w:hAnsi="Arial"/>
                <w:sz w:val="11"/>
                <w:szCs w:val="11"/>
                <w:color w:val="auto"/>
              </w:rPr>
              <w:t>141,100,00</w:t>
            </w:r>
          </w:p>
        </w:tc>
      </w:tr>
      <w:tr>
        <w:trPr>
          <w:trHeight w:val="135"/>
        </w:trPr>
        <w:tc>
          <w:tcPr>
            <w:tcW w:w="280" w:type="dxa"/>
            <w:vAlign w:val="bottom"/>
          </w:tcPr>
          <w:p>
            <w:pPr>
              <w:ind w:left="80"/>
              <w:spacing w:after="0"/>
              <w:rPr>
                <w:sz w:val="20"/>
                <w:szCs w:val="20"/>
                <w:color w:val="auto"/>
              </w:rPr>
            </w:pPr>
            <w:r>
              <w:rPr>
                <w:rFonts w:ascii="Arial" w:cs="Arial" w:eastAsia="Arial" w:hAnsi="Arial"/>
                <w:sz w:val="11"/>
                <w:szCs w:val="11"/>
                <w:color w:val="auto"/>
              </w:rPr>
              <w:t>5</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5,196,158</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9"/>
              <w:spacing w:after="0"/>
              <w:rPr>
                <w:sz w:val="20"/>
                <w:szCs w:val="20"/>
                <w:color w:val="auto"/>
              </w:rPr>
            </w:pPr>
            <w:r>
              <w:rPr>
                <w:rFonts w:ascii="Arial" w:cs="Arial" w:eastAsia="Arial" w:hAnsi="Arial"/>
                <w:sz w:val="11"/>
                <w:szCs w:val="11"/>
                <w:color w:val="auto"/>
              </w:rPr>
              <w:t>3,707,232</w:t>
            </w:r>
          </w:p>
        </w:tc>
        <w:tc>
          <w:tcPr>
            <w:tcW w:w="840" w:type="dxa"/>
            <w:vAlign w:val="bottom"/>
          </w:tcPr>
          <w:p>
            <w:pPr>
              <w:jc w:val="right"/>
              <w:ind w:right="29"/>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9"/>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1,644,851</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1,362,110</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81.21</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124.52</w:t>
            </w: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00</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0</w:t>
            </w:r>
          </w:p>
        </w:tc>
      </w:tr>
      <w:tr>
        <w:trPr>
          <w:trHeight w:val="108"/>
        </w:trPr>
        <w:tc>
          <w:tcPr>
            <w:tcW w:w="280" w:type="dxa"/>
            <w:vAlign w:val="bottom"/>
            <w:shd w:val="clear" w:color="auto" w:fill="EDEDED"/>
          </w:tcPr>
          <w:p>
            <w:pPr>
              <w:ind w:left="80"/>
              <w:spacing w:after="0" w:line="109" w:lineRule="exact"/>
              <w:rPr>
                <w:sz w:val="20"/>
                <w:szCs w:val="20"/>
                <w:color w:val="auto"/>
              </w:rPr>
            </w:pPr>
            <w:r>
              <w:rPr>
                <w:rFonts w:ascii="Arial" w:cs="Arial" w:eastAsia="Arial" w:hAnsi="Arial"/>
                <w:sz w:val="11"/>
                <w:szCs w:val="11"/>
                <w:color w:val="auto"/>
                <w:w w:val="97"/>
              </w:rPr>
              <w:t>202</w:t>
            </w:r>
          </w:p>
        </w:tc>
        <w:tc>
          <w:tcPr>
            <w:tcW w:w="40" w:type="dxa"/>
            <w:vAlign w:val="bottom"/>
            <w:shd w:val="clear" w:color="auto" w:fill="EDEDED"/>
          </w:tcPr>
          <w:p>
            <w:pPr>
              <w:spacing w:after="0"/>
              <w:rPr>
                <w:sz w:val="9"/>
                <w:szCs w:val="9"/>
                <w:color w:val="auto"/>
              </w:rPr>
            </w:pPr>
          </w:p>
        </w:tc>
        <w:tc>
          <w:tcPr>
            <w:tcW w:w="800" w:type="dxa"/>
            <w:vAlign w:val="bottom"/>
            <w:shd w:val="clear" w:color="auto" w:fill="EDEDED"/>
          </w:tcPr>
          <w:p>
            <w:pPr>
              <w:spacing w:after="0"/>
              <w:rPr>
                <w:sz w:val="9"/>
                <w:szCs w:val="9"/>
                <w:color w:val="auto"/>
              </w:rPr>
            </w:pPr>
          </w:p>
        </w:tc>
        <w:tc>
          <w:tcPr>
            <w:tcW w:w="660" w:type="dxa"/>
            <w:vAlign w:val="bottom"/>
            <w:shd w:val="clear" w:color="auto" w:fill="EDEDED"/>
          </w:tcPr>
          <w:p>
            <w:pPr>
              <w:spacing w:after="0"/>
              <w:rPr>
                <w:sz w:val="9"/>
                <w:szCs w:val="9"/>
                <w:color w:val="auto"/>
              </w:rPr>
            </w:pPr>
          </w:p>
        </w:tc>
        <w:tc>
          <w:tcPr>
            <w:tcW w:w="660" w:type="dxa"/>
            <w:vAlign w:val="bottom"/>
            <w:shd w:val="clear" w:color="auto" w:fill="EDEDED"/>
          </w:tcPr>
          <w:p>
            <w:pPr>
              <w:spacing w:after="0"/>
              <w:rPr>
                <w:sz w:val="9"/>
                <w:szCs w:val="9"/>
                <w:color w:val="auto"/>
              </w:rPr>
            </w:pPr>
          </w:p>
        </w:tc>
        <w:tc>
          <w:tcPr>
            <w:tcW w:w="820" w:type="dxa"/>
            <w:vAlign w:val="bottom"/>
            <w:shd w:val="clear" w:color="auto" w:fill="EDEDED"/>
          </w:tcPr>
          <w:p>
            <w:pPr>
              <w:spacing w:after="0"/>
              <w:rPr>
                <w:sz w:val="9"/>
                <w:szCs w:val="9"/>
                <w:color w:val="auto"/>
              </w:rPr>
            </w:pPr>
          </w:p>
        </w:tc>
        <w:tc>
          <w:tcPr>
            <w:tcW w:w="840" w:type="dxa"/>
            <w:vAlign w:val="bottom"/>
            <w:shd w:val="clear" w:color="auto" w:fill="EDEDED"/>
          </w:tcPr>
          <w:p>
            <w:pPr>
              <w:spacing w:after="0"/>
              <w:rPr>
                <w:sz w:val="9"/>
                <w:szCs w:val="9"/>
                <w:color w:val="auto"/>
              </w:rPr>
            </w:pPr>
          </w:p>
        </w:tc>
        <w:tc>
          <w:tcPr>
            <w:tcW w:w="820" w:type="dxa"/>
            <w:vAlign w:val="bottom"/>
            <w:shd w:val="clear" w:color="auto" w:fill="EDEDED"/>
          </w:tcPr>
          <w:p>
            <w:pPr>
              <w:spacing w:after="0"/>
              <w:rPr>
                <w:sz w:val="9"/>
                <w:szCs w:val="9"/>
                <w:color w:val="auto"/>
              </w:rPr>
            </w:pPr>
          </w:p>
        </w:tc>
        <w:tc>
          <w:tcPr>
            <w:tcW w:w="820" w:type="dxa"/>
            <w:vAlign w:val="bottom"/>
            <w:shd w:val="clear" w:color="auto" w:fill="EDEDED"/>
          </w:tcPr>
          <w:p>
            <w:pPr>
              <w:spacing w:after="0"/>
              <w:rPr>
                <w:sz w:val="9"/>
                <w:szCs w:val="9"/>
                <w:color w:val="auto"/>
              </w:rPr>
            </w:pPr>
          </w:p>
        </w:tc>
        <w:tc>
          <w:tcPr>
            <w:tcW w:w="820" w:type="dxa"/>
            <w:vAlign w:val="bottom"/>
            <w:shd w:val="clear" w:color="auto" w:fill="EDEDED"/>
          </w:tcPr>
          <w:p>
            <w:pPr>
              <w:spacing w:after="0"/>
              <w:rPr>
                <w:sz w:val="9"/>
                <w:szCs w:val="9"/>
                <w:color w:val="auto"/>
              </w:rPr>
            </w:pPr>
          </w:p>
        </w:tc>
        <w:tc>
          <w:tcPr>
            <w:tcW w:w="720" w:type="dxa"/>
            <w:vAlign w:val="bottom"/>
            <w:shd w:val="clear" w:color="auto" w:fill="EDEDED"/>
          </w:tcPr>
          <w:p>
            <w:pPr>
              <w:spacing w:after="0"/>
              <w:rPr>
                <w:sz w:val="9"/>
                <w:szCs w:val="9"/>
                <w:color w:val="auto"/>
              </w:rPr>
            </w:pPr>
          </w:p>
        </w:tc>
        <w:tc>
          <w:tcPr>
            <w:tcW w:w="720" w:type="dxa"/>
            <w:vAlign w:val="bottom"/>
            <w:shd w:val="clear" w:color="auto" w:fill="EDEDED"/>
          </w:tcPr>
          <w:p>
            <w:pPr>
              <w:spacing w:after="0"/>
              <w:rPr>
                <w:sz w:val="9"/>
                <w:szCs w:val="9"/>
                <w:color w:val="auto"/>
              </w:rPr>
            </w:pPr>
          </w:p>
        </w:tc>
        <w:tc>
          <w:tcPr>
            <w:tcW w:w="640" w:type="dxa"/>
            <w:vAlign w:val="bottom"/>
            <w:shd w:val="clear" w:color="auto" w:fill="EDEDED"/>
          </w:tcPr>
          <w:p>
            <w:pPr>
              <w:jc w:val="right"/>
              <w:ind w:right="26"/>
              <w:spacing w:after="0" w:line="109" w:lineRule="exact"/>
              <w:rPr>
                <w:sz w:val="20"/>
                <w:szCs w:val="20"/>
                <w:color w:val="auto"/>
              </w:rPr>
            </w:pPr>
            <w:r>
              <w:rPr>
                <w:rFonts w:ascii="Arial" w:cs="Arial" w:eastAsia="Arial" w:hAnsi="Arial"/>
                <w:sz w:val="11"/>
                <w:szCs w:val="11"/>
                <w:color w:val="auto"/>
              </w:rPr>
              <w:t>19,667,0</w:t>
            </w:r>
          </w:p>
        </w:tc>
        <w:tc>
          <w:tcPr>
            <w:tcW w:w="760" w:type="dxa"/>
            <w:vAlign w:val="bottom"/>
            <w:shd w:val="clear" w:color="auto" w:fill="EDEDED"/>
          </w:tcPr>
          <w:p>
            <w:pPr>
              <w:jc w:val="right"/>
              <w:ind w:right="46"/>
              <w:spacing w:after="0" w:line="109" w:lineRule="exact"/>
              <w:rPr>
                <w:sz w:val="20"/>
                <w:szCs w:val="20"/>
                <w:color w:val="auto"/>
              </w:rPr>
            </w:pPr>
            <w:r>
              <w:rPr>
                <w:rFonts w:ascii="Arial" w:cs="Arial" w:eastAsia="Arial" w:hAnsi="Arial"/>
                <w:sz w:val="11"/>
                <w:szCs w:val="11"/>
                <w:color w:val="auto"/>
              </w:rPr>
              <w:t>142,118,00</w:t>
            </w:r>
          </w:p>
        </w:tc>
      </w:tr>
      <w:tr>
        <w:trPr>
          <w:trHeight w:val="135"/>
        </w:trPr>
        <w:tc>
          <w:tcPr>
            <w:tcW w:w="280" w:type="dxa"/>
            <w:vAlign w:val="bottom"/>
            <w:shd w:val="clear" w:color="auto" w:fill="EDEDED"/>
          </w:tcPr>
          <w:p>
            <w:pPr>
              <w:ind w:left="80"/>
              <w:spacing w:after="0"/>
              <w:rPr>
                <w:sz w:val="20"/>
                <w:szCs w:val="20"/>
                <w:color w:val="auto"/>
              </w:rPr>
            </w:pPr>
            <w:r>
              <w:rPr>
                <w:rFonts w:ascii="Arial" w:cs="Arial" w:eastAsia="Arial" w:hAnsi="Arial"/>
                <w:sz w:val="11"/>
                <w:szCs w:val="11"/>
                <w:color w:val="auto"/>
              </w:rPr>
              <w:t>4</w:t>
            </w:r>
          </w:p>
        </w:tc>
        <w:tc>
          <w:tcPr>
            <w:tcW w:w="840" w:type="dxa"/>
            <w:vAlign w:val="bottom"/>
            <w:gridSpan w:val="2"/>
            <w:shd w:val="clear" w:color="auto" w:fill="EDEDED"/>
          </w:tcPr>
          <w:p>
            <w:pPr>
              <w:jc w:val="right"/>
              <w:spacing w:after="0"/>
              <w:rPr>
                <w:sz w:val="20"/>
                <w:szCs w:val="20"/>
                <w:color w:val="auto"/>
              </w:rPr>
            </w:pPr>
            <w:r>
              <w:rPr>
                <w:rFonts w:ascii="Arial" w:cs="Arial" w:eastAsia="Arial" w:hAnsi="Arial"/>
                <w:sz w:val="11"/>
                <w:szCs w:val="11"/>
                <w:color w:val="auto"/>
              </w:rPr>
              <w:t>3,147,907</w:t>
            </w:r>
          </w:p>
        </w:tc>
        <w:tc>
          <w:tcPr>
            <w:tcW w:w="660" w:type="dxa"/>
            <w:vAlign w:val="bottom"/>
            <w:shd w:val="clear" w:color="auto" w:fill="EDEDED"/>
          </w:tcPr>
          <w:p>
            <w:pPr>
              <w:jc w:val="right"/>
              <w:ind w:right="26"/>
              <w:spacing w:after="0"/>
              <w:rPr>
                <w:sz w:val="20"/>
                <w:szCs w:val="20"/>
                <w:color w:val="auto"/>
              </w:rPr>
            </w:pPr>
            <w:r>
              <w:rPr>
                <w:rFonts w:ascii="Arial" w:cs="Arial" w:eastAsia="Arial" w:hAnsi="Arial"/>
                <w:sz w:val="11"/>
                <w:szCs w:val="11"/>
                <w:color w:val="auto"/>
              </w:rPr>
              <w:t>—</w:t>
            </w:r>
          </w:p>
        </w:tc>
        <w:tc>
          <w:tcPr>
            <w:tcW w:w="66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w:t>
            </w:r>
          </w:p>
        </w:tc>
        <w:tc>
          <w:tcPr>
            <w:tcW w:w="820" w:type="dxa"/>
            <w:vAlign w:val="bottom"/>
            <w:shd w:val="clear" w:color="auto" w:fill="EDEDED"/>
          </w:tcPr>
          <w:p>
            <w:pPr>
              <w:jc w:val="right"/>
              <w:ind w:right="9"/>
              <w:spacing w:after="0"/>
              <w:rPr>
                <w:sz w:val="20"/>
                <w:szCs w:val="20"/>
                <w:color w:val="auto"/>
              </w:rPr>
            </w:pPr>
            <w:r>
              <w:rPr>
                <w:rFonts w:ascii="Arial" w:cs="Arial" w:eastAsia="Arial" w:hAnsi="Arial"/>
                <w:sz w:val="11"/>
                <w:szCs w:val="11"/>
                <w:color w:val="auto"/>
              </w:rPr>
              <w:t>4,752,436</w:t>
            </w:r>
          </w:p>
        </w:tc>
        <w:tc>
          <w:tcPr>
            <w:tcW w:w="840" w:type="dxa"/>
            <w:vAlign w:val="bottom"/>
            <w:shd w:val="clear" w:color="auto" w:fill="EDEDED"/>
          </w:tcPr>
          <w:p>
            <w:pPr>
              <w:jc w:val="right"/>
              <w:ind w:right="29"/>
              <w:spacing w:after="0"/>
              <w:rPr>
                <w:sz w:val="20"/>
                <w:szCs w:val="20"/>
                <w:color w:val="auto"/>
              </w:rPr>
            </w:pPr>
            <w:r>
              <w:rPr>
                <w:rFonts w:ascii="Arial" w:cs="Arial" w:eastAsia="Arial" w:hAnsi="Arial"/>
                <w:sz w:val="11"/>
                <w:szCs w:val="11"/>
                <w:color w:val="auto"/>
              </w:rPr>
              <w:t>—</w:t>
            </w:r>
          </w:p>
        </w:tc>
        <w:tc>
          <w:tcPr>
            <w:tcW w:w="820" w:type="dxa"/>
            <w:vAlign w:val="bottom"/>
            <w:shd w:val="clear" w:color="auto" w:fill="EDEDED"/>
          </w:tcPr>
          <w:p>
            <w:pPr>
              <w:jc w:val="right"/>
              <w:ind w:right="9"/>
              <w:spacing w:after="0"/>
              <w:rPr>
                <w:sz w:val="20"/>
                <w:szCs w:val="20"/>
                <w:color w:val="auto"/>
              </w:rPr>
            </w:pPr>
            <w:r>
              <w:rPr>
                <w:rFonts w:ascii="Arial" w:cs="Arial" w:eastAsia="Arial" w:hAnsi="Arial"/>
                <w:sz w:val="11"/>
                <w:szCs w:val="11"/>
                <w:color w:val="auto"/>
              </w:rPr>
              <w:t>—</w:t>
            </w:r>
          </w:p>
        </w:tc>
        <w:tc>
          <w:tcPr>
            <w:tcW w:w="82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1,516,654</w:t>
            </w:r>
          </w:p>
        </w:tc>
        <w:tc>
          <w:tcPr>
            <w:tcW w:w="82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2,018,871</w:t>
            </w:r>
          </w:p>
        </w:tc>
        <w:tc>
          <w:tcPr>
            <w:tcW w:w="72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104.39</w:t>
            </w:r>
          </w:p>
        </w:tc>
        <w:tc>
          <w:tcPr>
            <w:tcW w:w="720" w:type="dxa"/>
            <w:vAlign w:val="bottom"/>
            <w:shd w:val="clear" w:color="auto" w:fill="EDEDED"/>
          </w:tcPr>
          <w:p>
            <w:pPr>
              <w:jc w:val="right"/>
              <w:ind w:right="6"/>
              <w:spacing w:after="0"/>
              <w:rPr>
                <w:sz w:val="20"/>
                <w:szCs w:val="20"/>
                <w:color w:val="auto"/>
              </w:rPr>
            </w:pPr>
            <w:r>
              <w:rPr>
                <w:rFonts w:ascii="Arial" w:cs="Arial" w:eastAsia="Arial" w:hAnsi="Arial"/>
                <w:sz w:val="11"/>
                <w:szCs w:val="11"/>
                <w:color w:val="auto"/>
              </w:rPr>
              <w:t>121.38</w:t>
            </w:r>
          </w:p>
        </w:tc>
        <w:tc>
          <w:tcPr>
            <w:tcW w:w="640" w:type="dxa"/>
            <w:vAlign w:val="bottom"/>
            <w:shd w:val="clear" w:color="auto" w:fill="EDEDED"/>
          </w:tcPr>
          <w:p>
            <w:pPr>
              <w:jc w:val="right"/>
              <w:ind w:right="26"/>
              <w:spacing w:after="0"/>
              <w:rPr>
                <w:sz w:val="20"/>
                <w:szCs w:val="20"/>
                <w:color w:val="auto"/>
              </w:rPr>
            </w:pPr>
            <w:r>
              <w:rPr>
                <w:rFonts w:ascii="Arial" w:cs="Arial" w:eastAsia="Arial" w:hAnsi="Arial"/>
                <w:sz w:val="11"/>
                <w:szCs w:val="11"/>
                <w:color w:val="auto"/>
              </w:rPr>
              <w:t>00</w:t>
            </w:r>
          </w:p>
        </w:tc>
        <w:tc>
          <w:tcPr>
            <w:tcW w:w="760" w:type="dxa"/>
            <w:vAlign w:val="bottom"/>
            <w:shd w:val="clear" w:color="auto" w:fill="EDEDED"/>
          </w:tcPr>
          <w:p>
            <w:pPr>
              <w:jc w:val="right"/>
              <w:ind w:right="46"/>
              <w:spacing w:after="0"/>
              <w:rPr>
                <w:sz w:val="20"/>
                <w:szCs w:val="20"/>
                <w:color w:val="auto"/>
              </w:rPr>
            </w:pPr>
            <w:r>
              <w:rPr>
                <w:rFonts w:ascii="Arial" w:cs="Arial" w:eastAsia="Arial" w:hAnsi="Arial"/>
                <w:sz w:val="11"/>
                <w:szCs w:val="11"/>
                <w:color w:val="auto"/>
              </w:rPr>
              <w:t>0</w:t>
            </w:r>
          </w:p>
        </w:tc>
      </w:tr>
      <w:tr>
        <w:trPr>
          <w:trHeight w:val="108"/>
        </w:trPr>
        <w:tc>
          <w:tcPr>
            <w:tcW w:w="280" w:type="dxa"/>
            <w:vAlign w:val="bottom"/>
          </w:tcPr>
          <w:p>
            <w:pPr>
              <w:ind w:left="80"/>
              <w:spacing w:after="0" w:line="109" w:lineRule="exact"/>
              <w:rPr>
                <w:sz w:val="20"/>
                <w:szCs w:val="20"/>
                <w:color w:val="auto"/>
              </w:rPr>
            </w:pPr>
            <w:r>
              <w:rPr>
                <w:rFonts w:ascii="Arial" w:cs="Arial" w:eastAsia="Arial" w:hAnsi="Arial"/>
                <w:sz w:val="11"/>
                <w:szCs w:val="11"/>
                <w:color w:val="auto"/>
                <w:w w:val="97"/>
              </w:rPr>
              <w:t>202</w:t>
            </w: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jc w:val="right"/>
              <w:ind w:right="26"/>
              <w:spacing w:after="0" w:line="109" w:lineRule="exact"/>
              <w:rPr>
                <w:sz w:val="20"/>
                <w:szCs w:val="20"/>
                <w:color w:val="auto"/>
              </w:rPr>
            </w:pPr>
            <w:r>
              <w:rPr>
                <w:rFonts w:ascii="Arial" w:cs="Arial" w:eastAsia="Arial" w:hAnsi="Arial"/>
                <w:sz w:val="11"/>
                <w:szCs w:val="11"/>
                <w:color w:val="auto"/>
              </w:rPr>
              <w:t>9,966,99</w:t>
            </w:r>
          </w:p>
        </w:tc>
        <w:tc>
          <w:tcPr>
            <w:tcW w:w="660" w:type="dxa"/>
            <w:vAlign w:val="bottom"/>
          </w:tcPr>
          <w:p>
            <w:pPr>
              <w:jc w:val="right"/>
              <w:ind w:right="6"/>
              <w:spacing w:after="0" w:line="109" w:lineRule="exact"/>
              <w:rPr>
                <w:sz w:val="20"/>
                <w:szCs w:val="20"/>
                <w:color w:val="auto"/>
              </w:rPr>
            </w:pPr>
            <w:r>
              <w:rPr>
                <w:rFonts w:ascii="Arial" w:cs="Arial" w:eastAsia="Arial" w:hAnsi="Arial"/>
                <w:sz w:val="11"/>
                <w:szCs w:val="11"/>
                <w:color w:val="auto"/>
              </w:rPr>
              <w:t>10,868,3</w:t>
            </w: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jc w:val="right"/>
              <w:ind w:right="26"/>
              <w:spacing w:after="0" w:line="109" w:lineRule="exact"/>
              <w:rPr>
                <w:sz w:val="20"/>
                <w:szCs w:val="20"/>
                <w:color w:val="auto"/>
              </w:rPr>
            </w:pPr>
            <w:r>
              <w:rPr>
                <w:rFonts w:ascii="Arial" w:cs="Arial" w:eastAsia="Arial" w:hAnsi="Arial"/>
                <w:sz w:val="11"/>
                <w:szCs w:val="11"/>
                <w:color w:val="auto"/>
              </w:rPr>
              <w:t>(7,772,00</w:t>
            </w:r>
          </w:p>
        </w:tc>
        <w:tc>
          <w:tcPr>
            <w:tcW w:w="760" w:type="dxa"/>
            <w:vAlign w:val="bottom"/>
          </w:tcPr>
          <w:p>
            <w:pPr>
              <w:jc w:val="right"/>
              <w:ind w:right="46"/>
              <w:spacing w:after="0" w:line="109" w:lineRule="exact"/>
              <w:rPr>
                <w:sz w:val="20"/>
                <w:szCs w:val="20"/>
                <w:color w:val="auto"/>
              </w:rPr>
            </w:pPr>
            <w:r>
              <w:rPr>
                <w:rFonts w:ascii="Arial" w:cs="Arial" w:eastAsia="Arial" w:hAnsi="Arial"/>
                <w:sz w:val="11"/>
                <w:szCs w:val="11"/>
                <w:color w:val="auto"/>
              </w:rPr>
              <w:t>123,097,00</w:t>
            </w:r>
          </w:p>
        </w:tc>
      </w:tr>
      <w:tr>
        <w:trPr>
          <w:trHeight w:val="135"/>
        </w:trPr>
        <w:tc>
          <w:tcPr>
            <w:tcW w:w="280" w:type="dxa"/>
            <w:vAlign w:val="bottom"/>
            <w:tcBorders>
              <w:bottom w:val="single" w:sz="8" w:color="112B19"/>
            </w:tcBorders>
          </w:tcPr>
          <w:p>
            <w:pPr>
              <w:ind w:left="80"/>
              <w:spacing w:after="0"/>
              <w:rPr>
                <w:sz w:val="20"/>
                <w:szCs w:val="20"/>
                <w:color w:val="auto"/>
              </w:rPr>
            </w:pPr>
            <w:r>
              <w:rPr>
                <w:rFonts w:ascii="Arial" w:cs="Arial" w:eastAsia="Arial" w:hAnsi="Arial"/>
                <w:sz w:val="11"/>
                <w:szCs w:val="11"/>
                <w:color w:val="auto"/>
              </w:rPr>
              <w:t>3</w:t>
            </w:r>
          </w:p>
        </w:tc>
        <w:tc>
          <w:tcPr>
            <w:tcW w:w="840" w:type="dxa"/>
            <w:vAlign w:val="bottom"/>
            <w:tcBorders>
              <w:bottom w:val="single" w:sz="8" w:color="112B19"/>
            </w:tcBorders>
            <w:gridSpan w:val="2"/>
          </w:tcPr>
          <w:p>
            <w:pPr>
              <w:jc w:val="right"/>
              <w:spacing w:after="0"/>
              <w:rPr>
                <w:sz w:val="20"/>
                <w:szCs w:val="20"/>
                <w:color w:val="auto"/>
              </w:rPr>
            </w:pPr>
            <w:r>
              <w:rPr>
                <w:rFonts w:ascii="Arial" w:cs="Arial" w:eastAsia="Arial" w:hAnsi="Arial"/>
                <w:sz w:val="11"/>
                <w:szCs w:val="11"/>
                <w:color w:val="auto"/>
              </w:rPr>
              <w:t>7,285,651</w:t>
            </w:r>
          </w:p>
        </w:tc>
        <w:tc>
          <w:tcPr>
            <w:tcW w:w="660" w:type="dxa"/>
            <w:vAlign w:val="bottom"/>
            <w:tcBorders>
              <w:bottom w:val="single" w:sz="8" w:color="112B19"/>
            </w:tcBorders>
          </w:tcPr>
          <w:p>
            <w:pPr>
              <w:jc w:val="right"/>
              <w:ind w:right="26"/>
              <w:spacing w:after="0"/>
              <w:rPr>
                <w:sz w:val="20"/>
                <w:szCs w:val="20"/>
                <w:color w:val="auto"/>
              </w:rPr>
            </w:pPr>
            <w:r>
              <w:rPr>
                <w:rFonts w:ascii="Arial" w:cs="Arial" w:eastAsia="Arial" w:hAnsi="Arial"/>
                <w:sz w:val="11"/>
                <w:szCs w:val="11"/>
                <w:color w:val="auto"/>
              </w:rPr>
              <w:t>1</w:t>
            </w:r>
          </w:p>
        </w:tc>
        <w:tc>
          <w:tcPr>
            <w:tcW w:w="660" w:type="dxa"/>
            <w:vAlign w:val="bottom"/>
            <w:tcBorders>
              <w:bottom w:val="single" w:sz="8" w:color="112B19"/>
            </w:tcBorders>
          </w:tcPr>
          <w:p>
            <w:pPr>
              <w:jc w:val="right"/>
              <w:ind w:right="6"/>
              <w:spacing w:after="0"/>
              <w:rPr>
                <w:sz w:val="20"/>
                <w:szCs w:val="20"/>
                <w:color w:val="auto"/>
              </w:rPr>
            </w:pPr>
            <w:r>
              <w:rPr>
                <w:rFonts w:ascii="Arial" w:cs="Arial" w:eastAsia="Arial" w:hAnsi="Arial"/>
                <w:sz w:val="11"/>
                <w:szCs w:val="11"/>
                <w:color w:val="auto"/>
              </w:rPr>
              <w:t>92</w:t>
            </w:r>
          </w:p>
        </w:tc>
        <w:tc>
          <w:tcPr>
            <w:tcW w:w="820" w:type="dxa"/>
            <w:vAlign w:val="bottom"/>
            <w:tcBorders>
              <w:bottom w:val="single" w:sz="8" w:color="112B19"/>
            </w:tcBorders>
          </w:tcPr>
          <w:p>
            <w:pPr>
              <w:jc w:val="right"/>
              <w:ind w:right="9"/>
              <w:spacing w:after="0"/>
              <w:rPr>
                <w:sz w:val="20"/>
                <w:szCs w:val="20"/>
                <w:color w:val="auto"/>
              </w:rPr>
            </w:pPr>
            <w:r>
              <w:rPr>
                <w:rFonts w:ascii="Arial" w:cs="Arial" w:eastAsia="Arial" w:hAnsi="Arial"/>
                <w:sz w:val="11"/>
                <w:szCs w:val="11"/>
                <w:color w:val="auto"/>
              </w:rPr>
              <w:t>7,972,674</w:t>
            </w:r>
          </w:p>
        </w:tc>
        <w:tc>
          <w:tcPr>
            <w:tcW w:w="840" w:type="dxa"/>
            <w:vAlign w:val="bottom"/>
            <w:tcBorders>
              <w:bottom w:val="single" w:sz="8" w:color="112B19"/>
            </w:tcBorders>
          </w:tcPr>
          <w:p>
            <w:pPr>
              <w:jc w:val="right"/>
              <w:ind w:right="29"/>
              <w:spacing w:after="0"/>
              <w:rPr>
                <w:sz w:val="20"/>
                <w:szCs w:val="20"/>
                <w:color w:val="auto"/>
              </w:rPr>
            </w:pPr>
            <w:r>
              <w:rPr>
                <w:rFonts w:ascii="Arial" w:cs="Arial" w:eastAsia="Arial" w:hAnsi="Arial"/>
                <w:sz w:val="11"/>
                <w:szCs w:val="11"/>
                <w:color w:val="auto"/>
              </w:rPr>
              <w:t>11,740,626</w:t>
            </w:r>
          </w:p>
        </w:tc>
        <w:tc>
          <w:tcPr>
            <w:tcW w:w="820" w:type="dxa"/>
            <w:vAlign w:val="bottom"/>
            <w:tcBorders>
              <w:bottom w:val="single" w:sz="8" w:color="112B19"/>
            </w:tcBorders>
          </w:tcPr>
          <w:p>
            <w:pPr>
              <w:jc w:val="right"/>
              <w:ind w:right="9"/>
              <w:spacing w:after="0"/>
              <w:rPr>
                <w:sz w:val="20"/>
                <w:szCs w:val="20"/>
                <w:color w:val="auto"/>
              </w:rPr>
            </w:pPr>
            <w:r>
              <w:rPr>
                <w:rFonts w:ascii="Arial" w:cs="Arial" w:eastAsia="Arial" w:hAnsi="Arial"/>
                <w:sz w:val="11"/>
                <w:szCs w:val="11"/>
                <w:color w:val="auto"/>
              </w:rPr>
              <w:t>12,731,059</w:t>
            </w:r>
          </w:p>
        </w:tc>
        <w:tc>
          <w:tcPr>
            <w:tcW w:w="820" w:type="dxa"/>
            <w:vAlign w:val="bottom"/>
            <w:tcBorders>
              <w:bottom w:val="single" w:sz="8" w:color="112B19"/>
            </w:tcBorders>
          </w:tcPr>
          <w:p>
            <w:pPr>
              <w:jc w:val="right"/>
              <w:ind w:right="6"/>
              <w:spacing w:after="0"/>
              <w:rPr>
                <w:sz w:val="20"/>
                <w:szCs w:val="20"/>
                <w:color w:val="auto"/>
              </w:rPr>
            </w:pPr>
            <w:r>
              <w:rPr>
                <w:rFonts w:ascii="Arial" w:cs="Arial" w:eastAsia="Arial" w:hAnsi="Arial"/>
                <w:sz w:val="11"/>
                <w:szCs w:val="11"/>
                <w:color w:val="auto"/>
              </w:rPr>
              <w:t>971,210</w:t>
            </w:r>
          </w:p>
        </w:tc>
        <w:tc>
          <w:tcPr>
            <w:tcW w:w="820" w:type="dxa"/>
            <w:vAlign w:val="bottom"/>
            <w:tcBorders>
              <w:bottom w:val="single" w:sz="8" w:color="112B19"/>
            </w:tcBorders>
          </w:tcPr>
          <w:p>
            <w:pPr>
              <w:jc w:val="right"/>
              <w:ind w:right="6"/>
              <w:spacing w:after="0"/>
              <w:rPr>
                <w:sz w:val="20"/>
                <w:szCs w:val="20"/>
                <w:color w:val="auto"/>
              </w:rPr>
            </w:pPr>
            <w:r>
              <w:rPr>
                <w:rFonts w:ascii="Arial" w:cs="Arial" w:eastAsia="Arial" w:hAnsi="Arial"/>
                <w:sz w:val="11"/>
                <w:szCs w:val="11"/>
                <w:color w:val="auto"/>
              </w:rPr>
              <w:t>933,576</w:t>
            </w:r>
          </w:p>
        </w:tc>
        <w:tc>
          <w:tcPr>
            <w:tcW w:w="720" w:type="dxa"/>
            <w:vAlign w:val="bottom"/>
            <w:tcBorders>
              <w:bottom w:val="single" w:sz="8" w:color="112B19"/>
            </w:tcBorders>
          </w:tcPr>
          <w:p>
            <w:pPr>
              <w:jc w:val="right"/>
              <w:ind w:right="6"/>
              <w:spacing w:after="0"/>
              <w:rPr>
                <w:sz w:val="20"/>
                <w:szCs w:val="20"/>
                <w:color w:val="auto"/>
              </w:rPr>
            </w:pPr>
            <w:r>
              <w:rPr>
                <w:rFonts w:ascii="Arial" w:cs="Arial" w:eastAsia="Arial" w:hAnsi="Arial"/>
                <w:sz w:val="11"/>
                <w:szCs w:val="11"/>
                <w:color w:val="auto"/>
              </w:rPr>
              <w:t>84.60</w:t>
            </w:r>
          </w:p>
        </w:tc>
        <w:tc>
          <w:tcPr>
            <w:tcW w:w="720" w:type="dxa"/>
            <w:vAlign w:val="bottom"/>
            <w:tcBorders>
              <w:bottom w:val="single" w:sz="8" w:color="112B19"/>
            </w:tcBorders>
          </w:tcPr>
          <w:p>
            <w:pPr>
              <w:jc w:val="right"/>
              <w:ind w:right="6"/>
              <w:spacing w:after="0"/>
              <w:rPr>
                <w:sz w:val="20"/>
                <w:szCs w:val="20"/>
                <w:color w:val="auto"/>
              </w:rPr>
            </w:pPr>
            <w:r>
              <w:rPr>
                <w:rFonts w:ascii="Arial" w:cs="Arial" w:eastAsia="Arial" w:hAnsi="Arial"/>
                <w:sz w:val="11"/>
                <w:szCs w:val="11"/>
                <w:color w:val="auto"/>
              </w:rPr>
              <w:t>90.06</w:t>
            </w:r>
          </w:p>
        </w:tc>
        <w:tc>
          <w:tcPr>
            <w:tcW w:w="640" w:type="dxa"/>
            <w:vAlign w:val="bottom"/>
            <w:tcBorders>
              <w:bottom w:val="single" w:sz="8" w:color="112B19"/>
            </w:tcBorders>
          </w:tcPr>
          <w:p>
            <w:pPr>
              <w:jc w:val="right"/>
              <w:spacing w:after="0"/>
              <w:rPr>
                <w:sz w:val="20"/>
                <w:szCs w:val="20"/>
                <w:color w:val="auto"/>
              </w:rPr>
            </w:pPr>
            <w:r>
              <w:rPr>
                <w:rFonts w:ascii="Arial" w:cs="Arial" w:eastAsia="Arial" w:hAnsi="Arial"/>
                <w:sz w:val="11"/>
                <w:szCs w:val="11"/>
                <w:color w:val="auto"/>
              </w:rPr>
              <w:t>0)</w:t>
            </w:r>
          </w:p>
        </w:tc>
        <w:tc>
          <w:tcPr>
            <w:tcW w:w="760" w:type="dxa"/>
            <w:vAlign w:val="bottom"/>
            <w:tcBorders>
              <w:bottom w:val="single" w:sz="8" w:color="112B19"/>
            </w:tcBorders>
          </w:tcPr>
          <w:p>
            <w:pPr>
              <w:jc w:val="right"/>
              <w:ind w:right="46"/>
              <w:spacing w:after="0"/>
              <w:rPr>
                <w:sz w:val="20"/>
                <w:szCs w:val="20"/>
                <w:color w:val="auto"/>
              </w:rPr>
            </w:pPr>
            <w:r>
              <w:rPr>
                <w:rFonts w:ascii="Arial" w:cs="Arial" w:eastAsia="Arial" w:hAnsi="Arial"/>
                <w:sz w:val="11"/>
                <w:szCs w:val="11"/>
                <w:color w:val="auto"/>
              </w:rPr>
              <w:t>0</w:t>
            </w:r>
          </w:p>
        </w:tc>
      </w:tr>
    </w:tbl>
    <w:p>
      <w:pPr>
        <w:spacing w:after="0" w:line="112" w:lineRule="exact"/>
        <w:rPr>
          <w:sz w:val="20"/>
          <w:szCs w:val="20"/>
          <w:color w:val="auto"/>
        </w:rPr>
      </w:pPr>
    </w:p>
    <w:p>
      <w:pPr>
        <w:ind w:left="980" w:right="820" w:hanging="314"/>
        <w:spacing w:after="0" w:line="250" w:lineRule="auto"/>
        <w:tabs>
          <w:tab w:leader="none" w:pos="980" w:val="left"/>
        </w:tabs>
        <w:numPr>
          <w:ilvl w:val="0"/>
          <w:numId w:val="48"/>
        </w:numPr>
        <w:rPr>
          <w:rFonts w:ascii="Times New Roman" w:cs="Times New Roman" w:eastAsia="Times New Roman" w:hAnsi="Times New Roman"/>
          <w:sz w:val="14"/>
          <w:szCs w:val="14"/>
          <w:color w:val="050A35"/>
        </w:rPr>
      </w:pPr>
      <w:r>
        <w:rPr>
          <w:rFonts w:ascii="Arial" w:cs="Arial" w:eastAsia="Arial" w:hAnsi="Arial"/>
          <w:sz w:val="14"/>
          <w:szCs w:val="14"/>
          <w:color w:val="050A35"/>
        </w:rPr>
        <w:t>The dollar amounts reported in this column represent the “compensation actually paid” to Mr. Sarsfield (CEO 1), Mr. Alpert (CEO 2), and Mr. Webb (CEO 3) as computed in accordance with Item 402(v) of Regulation S-K and do not reflect the total compensation actually realized or received by Mr. Sarsfield, Mr. Alpert, and Mr. Webb. In accordance with these rules, these amounts reflect total compensation as reported in the Summary Compensation Table for each fiscal year, subject to certain adjustments. The following table shows the adjustments for fiscal years 2025, 2024, and 2023. Equity values are calculated in accordance with FASB ASC Topic 718, and the valuation assumptions used to calculate fair values did not materially differ from those disclosed at the time of grant.</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020" w:type="dxa"/>
            <w:vAlign w:val="bottom"/>
            <w:tcBorders>
              <w:bottom w:val="single" w:sz="8" w:color="112B19"/>
            </w:tcBorders>
          </w:tcPr>
          <w:p>
            <w:pPr>
              <w:spacing w:after="0"/>
              <w:rPr>
                <w:sz w:val="14"/>
                <w:szCs w:val="14"/>
                <w:color w:val="auto"/>
              </w:rPr>
            </w:pPr>
          </w:p>
        </w:tc>
        <w:tc>
          <w:tcPr>
            <w:tcW w:w="1280" w:type="dxa"/>
            <w:vAlign w:val="bottom"/>
            <w:tcBorders>
              <w:bottom w:val="single" w:sz="8" w:color="112B19"/>
            </w:tcBorders>
          </w:tcPr>
          <w:p>
            <w:pPr>
              <w:jc w:val="right"/>
              <w:ind w:right="468"/>
              <w:spacing w:after="0"/>
              <w:rPr>
                <w:sz w:val="20"/>
                <w:szCs w:val="20"/>
                <w:color w:val="auto"/>
              </w:rPr>
            </w:pPr>
            <w:r>
              <w:rPr>
                <w:rFonts w:ascii="Arial" w:cs="Arial" w:eastAsia="Arial" w:hAnsi="Arial"/>
                <w:sz w:val="14"/>
                <w:szCs w:val="14"/>
                <w:b w:val="1"/>
                <w:bCs w:val="1"/>
                <w:color w:val="112B19"/>
              </w:rPr>
              <w:t>2025</w:t>
            </w:r>
          </w:p>
        </w:tc>
        <w:tc>
          <w:tcPr>
            <w:tcW w:w="220" w:type="dxa"/>
            <w:vAlign w:val="bottom"/>
            <w:tcBorders>
              <w:bottom w:val="single" w:sz="8" w:color="112B19"/>
            </w:tcBorders>
          </w:tcPr>
          <w:p>
            <w:pPr>
              <w:spacing w:after="0"/>
              <w:rPr>
                <w:sz w:val="14"/>
                <w:szCs w:val="14"/>
                <w:color w:val="auto"/>
              </w:rPr>
            </w:pPr>
          </w:p>
        </w:tc>
        <w:tc>
          <w:tcPr>
            <w:tcW w:w="860" w:type="dxa"/>
            <w:vAlign w:val="bottom"/>
            <w:tcBorders>
              <w:bottom w:val="single" w:sz="8" w:color="112B19"/>
            </w:tcBorders>
          </w:tcPr>
          <w:p>
            <w:pPr>
              <w:jc w:val="right"/>
              <w:ind w:right="448"/>
              <w:spacing w:after="0"/>
              <w:rPr>
                <w:sz w:val="20"/>
                <w:szCs w:val="20"/>
                <w:color w:val="auto"/>
              </w:rPr>
            </w:pPr>
            <w:r>
              <w:rPr>
                <w:rFonts w:ascii="Arial" w:cs="Arial" w:eastAsia="Arial" w:hAnsi="Arial"/>
                <w:sz w:val="14"/>
                <w:szCs w:val="14"/>
                <w:b w:val="1"/>
                <w:bCs w:val="1"/>
                <w:color w:val="112B19"/>
              </w:rPr>
              <w:t>2024</w:t>
            </w:r>
          </w:p>
        </w:tc>
        <w:tc>
          <w:tcPr>
            <w:tcW w:w="220" w:type="dxa"/>
            <w:vAlign w:val="bottom"/>
            <w:tcBorders>
              <w:bottom w:val="single" w:sz="8" w:color="112B19"/>
            </w:tcBorders>
          </w:tcPr>
          <w:p>
            <w:pPr>
              <w:spacing w:after="0"/>
              <w:rPr>
                <w:sz w:val="14"/>
                <w:szCs w:val="14"/>
                <w:color w:val="auto"/>
              </w:rPr>
            </w:pPr>
          </w:p>
        </w:tc>
        <w:tc>
          <w:tcPr>
            <w:tcW w:w="800" w:type="dxa"/>
            <w:vAlign w:val="bottom"/>
            <w:tcBorders>
              <w:bottom w:val="single" w:sz="8" w:color="112B19"/>
            </w:tcBorders>
          </w:tcPr>
          <w:p>
            <w:pPr>
              <w:jc w:val="right"/>
              <w:ind w:right="388"/>
              <w:spacing w:after="0"/>
              <w:rPr>
                <w:sz w:val="20"/>
                <w:szCs w:val="20"/>
                <w:color w:val="auto"/>
              </w:rPr>
            </w:pPr>
            <w:r>
              <w:rPr>
                <w:rFonts w:ascii="Arial" w:cs="Arial" w:eastAsia="Arial" w:hAnsi="Arial"/>
                <w:sz w:val="14"/>
                <w:szCs w:val="14"/>
                <w:b w:val="1"/>
                <w:bCs w:val="1"/>
                <w:color w:val="112B19"/>
              </w:rPr>
              <w:t>2023</w:t>
            </w:r>
          </w:p>
        </w:tc>
        <w:tc>
          <w:tcPr>
            <w:tcW w:w="0" w:type="dxa"/>
            <w:vAlign w:val="bottom"/>
          </w:tcPr>
          <w:p>
            <w:pPr>
              <w:spacing w:after="0"/>
              <w:rPr>
                <w:sz w:val="1"/>
                <w:szCs w:val="1"/>
                <w:color w:val="auto"/>
              </w:rPr>
            </w:pPr>
          </w:p>
        </w:tc>
      </w:tr>
      <w:tr>
        <w:trPr>
          <w:trHeight w:val="237"/>
        </w:trPr>
        <w:tc>
          <w:tcPr>
            <w:tcW w:w="6020" w:type="dxa"/>
            <w:vAlign w:val="bottom"/>
          </w:tcPr>
          <w:p>
            <w:pPr>
              <w:spacing w:after="0"/>
              <w:rPr>
                <w:sz w:val="20"/>
                <w:szCs w:val="20"/>
                <w:color w:val="auto"/>
              </w:rPr>
            </w:pPr>
            <w:r>
              <w:rPr>
                <w:rFonts w:ascii="Arial" w:cs="Arial" w:eastAsia="Arial" w:hAnsi="Arial"/>
                <w:sz w:val="14"/>
                <w:szCs w:val="14"/>
                <w:b w:val="1"/>
                <w:bCs w:val="1"/>
                <w:color w:val="112B19"/>
              </w:rPr>
              <w:t>Summary Compensation Table Total</w:t>
            </w:r>
          </w:p>
        </w:tc>
        <w:tc>
          <w:tcPr>
            <w:tcW w:w="1280" w:type="dxa"/>
            <w:vAlign w:val="bottom"/>
          </w:tcPr>
          <w:p>
            <w:pPr>
              <w:ind w:left="300"/>
              <w:spacing w:after="0"/>
              <w:rPr>
                <w:sz w:val="20"/>
                <w:szCs w:val="20"/>
                <w:color w:val="auto"/>
              </w:rPr>
            </w:pPr>
            <w:r>
              <w:rPr>
                <w:rFonts w:ascii="Arial" w:cs="Arial" w:eastAsia="Arial" w:hAnsi="Arial"/>
                <w:sz w:val="14"/>
                <w:szCs w:val="14"/>
                <w:b w:val="1"/>
                <w:bCs w:val="1"/>
                <w:color w:val="auto"/>
              </w:rPr>
              <w:t>$ 5,196,158</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3,147,907</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7,285,651</w:t>
            </w:r>
          </w:p>
        </w:tc>
        <w:tc>
          <w:tcPr>
            <w:tcW w:w="0" w:type="dxa"/>
            <w:vAlign w:val="bottom"/>
          </w:tcPr>
          <w:p>
            <w:pPr>
              <w:spacing w:after="0"/>
              <w:rPr>
                <w:sz w:val="1"/>
                <w:szCs w:val="1"/>
                <w:color w:val="auto"/>
              </w:rPr>
            </w:pPr>
          </w:p>
        </w:tc>
      </w:tr>
      <w:tr>
        <w:trPr>
          <w:trHeight w:val="153"/>
        </w:trPr>
        <w:tc>
          <w:tcPr>
            <w:tcW w:w="6020" w:type="dxa"/>
            <w:vAlign w:val="bottom"/>
            <w:shd w:val="clear" w:color="auto" w:fill="EDEDED"/>
          </w:tcPr>
          <w:p>
            <w:pPr>
              <w:ind w:left="100"/>
              <w:spacing w:after="0" w:line="153" w:lineRule="exact"/>
              <w:rPr>
                <w:sz w:val="20"/>
                <w:szCs w:val="20"/>
                <w:color w:val="auto"/>
              </w:rPr>
            </w:pPr>
            <w:r>
              <w:rPr>
                <w:rFonts w:ascii="Arial" w:cs="Arial" w:eastAsia="Arial" w:hAnsi="Arial"/>
                <w:sz w:val="14"/>
                <w:szCs w:val="14"/>
                <w:color w:val="auto"/>
              </w:rPr>
              <w:t>Less, value of “Stock Awards” and "Option Awards" reported in Summary Compensation</w:t>
            </w:r>
          </w:p>
        </w:tc>
        <w:tc>
          <w:tcPr>
            <w:tcW w:w="1280" w:type="dxa"/>
            <w:vAlign w:val="bottom"/>
            <w:vMerge w:val="restart"/>
            <w:shd w:val="clear" w:color="auto" w:fill="EDEDED"/>
          </w:tcPr>
          <w:p>
            <w:pPr>
              <w:ind w:left="300"/>
              <w:spacing w:after="0"/>
              <w:rPr>
                <w:sz w:val="20"/>
                <w:szCs w:val="20"/>
                <w:color w:val="auto"/>
              </w:rPr>
            </w:pPr>
            <w:r>
              <w:rPr>
                <w:rFonts w:ascii="Arial" w:cs="Arial" w:eastAsia="Arial" w:hAnsi="Arial"/>
                <w:sz w:val="14"/>
                <w:szCs w:val="14"/>
                <w:color w:val="auto"/>
              </w:rPr>
              <w:t>$ (1,993,799)</w:t>
            </w:r>
          </w:p>
        </w:tc>
        <w:tc>
          <w:tcPr>
            <w:tcW w:w="2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EDEDED"/>
          </w:tcPr>
          <w:p>
            <w:pPr>
              <w:jc w:val="right"/>
              <w:ind w:right="68"/>
              <w:spacing w:after="0"/>
              <w:rPr>
                <w:sz w:val="20"/>
                <w:szCs w:val="20"/>
                <w:color w:val="auto"/>
              </w:rPr>
            </w:pPr>
            <w:r>
              <w:rPr>
                <w:rFonts w:ascii="Arial" w:cs="Arial" w:eastAsia="Arial" w:hAnsi="Arial"/>
                <w:sz w:val="14"/>
                <w:szCs w:val="14"/>
                <w:color w:val="auto"/>
              </w:rPr>
              <w:t>(30,000)</w:t>
            </w:r>
          </w:p>
        </w:tc>
        <w:tc>
          <w:tcPr>
            <w:tcW w:w="2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(7,000,005)</w:t>
            </w:r>
          </w:p>
        </w:tc>
        <w:tc>
          <w:tcPr>
            <w:tcW w:w="0" w:type="dxa"/>
            <w:vAlign w:val="bottom"/>
          </w:tcPr>
          <w:p>
            <w:pPr>
              <w:spacing w:after="0"/>
              <w:rPr>
                <w:sz w:val="1"/>
                <w:szCs w:val="1"/>
                <w:color w:val="auto"/>
              </w:rPr>
            </w:pPr>
          </w:p>
        </w:tc>
      </w:tr>
      <w:tr>
        <w:trPr>
          <w:trHeight w:val="109"/>
        </w:trPr>
        <w:tc>
          <w:tcPr>
            <w:tcW w:w="6020" w:type="dxa"/>
            <w:vAlign w:val="bottom"/>
            <w:vMerge w:val="restart"/>
            <w:shd w:val="clear" w:color="auto" w:fill="EDEDED"/>
          </w:tcPr>
          <w:p>
            <w:pPr>
              <w:ind w:left="100"/>
              <w:spacing w:after="0"/>
              <w:rPr>
                <w:sz w:val="20"/>
                <w:szCs w:val="20"/>
                <w:color w:val="auto"/>
              </w:rPr>
            </w:pPr>
            <w:r>
              <w:rPr>
                <w:rFonts w:ascii="Arial" w:cs="Arial" w:eastAsia="Arial" w:hAnsi="Arial"/>
                <w:sz w:val="14"/>
                <w:szCs w:val="14"/>
                <w:color w:val="auto"/>
              </w:rPr>
              <w:t>Table</w:t>
            </w:r>
          </w:p>
        </w:tc>
        <w:tc>
          <w:tcPr>
            <w:tcW w:w="1280" w:type="dxa"/>
            <w:vAlign w:val="bottom"/>
            <w:vMerge w:val="continue"/>
            <w:shd w:val="clear" w:color="auto" w:fill="EDEDED"/>
          </w:tcPr>
          <w:p>
            <w:pPr>
              <w:spacing w:after="0"/>
              <w:rPr>
                <w:sz w:val="9"/>
                <w:szCs w:val="9"/>
                <w:color w:val="auto"/>
              </w:rPr>
            </w:pPr>
          </w:p>
        </w:tc>
        <w:tc>
          <w:tcPr>
            <w:tcW w:w="220" w:type="dxa"/>
            <w:vAlign w:val="bottom"/>
            <w:vMerge w:val="continue"/>
            <w:shd w:val="clear" w:color="auto" w:fill="EDEDED"/>
          </w:tcPr>
          <w:p>
            <w:pPr>
              <w:spacing w:after="0"/>
              <w:rPr>
                <w:sz w:val="9"/>
                <w:szCs w:val="9"/>
                <w:color w:val="auto"/>
              </w:rPr>
            </w:pPr>
          </w:p>
        </w:tc>
        <w:tc>
          <w:tcPr>
            <w:tcW w:w="860" w:type="dxa"/>
            <w:vAlign w:val="bottom"/>
            <w:vMerge w:val="continue"/>
            <w:shd w:val="clear" w:color="auto" w:fill="EDEDED"/>
          </w:tcPr>
          <w:p>
            <w:pPr>
              <w:spacing w:after="0"/>
              <w:rPr>
                <w:sz w:val="9"/>
                <w:szCs w:val="9"/>
                <w:color w:val="auto"/>
              </w:rPr>
            </w:pPr>
          </w:p>
        </w:tc>
        <w:tc>
          <w:tcPr>
            <w:tcW w:w="220" w:type="dxa"/>
            <w:vAlign w:val="bottom"/>
            <w:vMerge w:val="continue"/>
            <w:shd w:val="clear" w:color="auto" w:fill="EDEDED"/>
          </w:tcPr>
          <w:p>
            <w:pPr>
              <w:spacing w:after="0"/>
              <w:rPr>
                <w:sz w:val="9"/>
                <w:szCs w:val="9"/>
                <w:color w:val="auto"/>
              </w:rPr>
            </w:pPr>
          </w:p>
        </w:tc>
        <w:tc>
          <w:tcPr>
            <w:tcW w:w="800" w:type="dxa"/>
            <w:vAlign w:val="bottom"/>
            <w:vMerge w:val="continue"/>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6020" w:type="dxa"/>
            <w:vAlign w:val="bottom"/>
            <w:vMerge w:val="continue"/>
            <w:shd w:val="clear" w:color="auto" w:fill="EDEDED"/>
          </w:tcPr>
          <w:p>
            <w:pPr>
              <w:spacing w:after="0"/>
              <w:rPr>
                <w:sz w:val="5"/>
                <w:szCs w:val="5"/>
                <w:color w:val="auto"/>
              </w:rPr>
            </w:pPr>
          </w:p>
        </w:tc>
        <w:tc>
          <w:tcPr>
            <w:tcW w:w="1280" w:type="dxa"/>
            <w:vAlign w:val="bottom"/>
            <w:shd w:val="clear" w:color="auto" w:fill="EDEDED"/>
          </w:tcPr>
          <w:p>
            <w:pPr>
              <w:spacing w:after="0"/>
              <w:rPr>
                <w:sz w:val="5"/>
                <w:szCs w:val="5"/>
                <w:color w:val="auto"/>
              </w:rPr>
            </w:pPr>
          </w:p>
        </w:tc>
        <w:tc>
          <w:tcPr>
            <w:tcW w:w="220" w:type="dxa"/>
            <w:vAlign w:val="bottom"/>
            <w:shd w:val="clear" w:color="auto" w:fill="EDEDED"/>
          </w:tcPr>
          <w:p>
            <w:pPr>
              <w:spacing w:after="0"/>
              <w:rPr>
                <w:sz w:val="5"/>
                <w:szCs w:val="5"/>
                <w:color w:val="auto"/>
              </w:rPr>
            </w:pPr>
          </w:p>
        </w:tc>
        <w:tc>
          <w:tcPr>
            <w:tcW w:w="860" w:type="dxa"/>
            <w:vAlign w:val="bottom"/>
            <w:shd w:val="clear" w:color="auto" w:fill="EDEDED"/>
          </w:tcPr>
          <w:p>
            <w:pPr>
              <w:spacing w:after="0"/>
              <w:rPr>
                <w:sz w:val="5"/>
                <w:szCs w:val="5"/>
                <w:color w:val="auto"/>
              </w:rPr>
            </w:pPr>
          </w:p>
        </w:tc>
        <w:tc>
          <w:tcPr>
            <w:tcW w:w="220" w:type="dxa"/>
            <w:vAlign w:val="bottom"/>
            <w:shd w:val="clear" w:color="auto" w:fill="EDEDED"/>
          </w:tcPr>
          <w:p>
            <w:pPr>
              <w:spacing w:after="0"/>
              <w:rPr>
                <w:sz w:val="5"/>
                <w:szCs w:val="5"/>
                <w:color w:val="auto"/>
              </w:rPr>
            </w:pPr>
          </w:p>
        </w:tc>
        <w:tc>
          <w:tcPr>
            <w:tcW w:w="800" w:type="dxa"/>
            <w:vAlign w:val="bottom"/>
            <w:shd w:val="clear" w:color="auto" w:fill="EDEDED"/>
          </w:tcPr>
          <w:p>
            <w:pPr>
              <w:spacing w:after="0"/>
              <w:rPr>
                <w:sz w:val="5"/>
                <w:szCs w:val="5"/>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1">
            <w:col w:w="10720"/>
          </w:cols>
          <w:pgMar w:left="580" w:top="775" w:right="599" w:bottom="1440" w:gutter="0" w:footer="0" w:header="0"/>
        </w:sectPr>
      </w:pPr>
    </w:p>
    <w:p>
      <w:pPr>
        <w:ind w:left="760" w:right="280"/>
        <w:spacing w:after="0" w:line="332" w:lineRule="auto"/>
        <w:rPr>
          <w:sz w:val="20"/>
          <w:szCs w:val="20"/>
          <w:color w:val="auto"/>
        </w:rPr>
      </w:pPr>
      <w:r>
        <w:rPr>
          <w:rFonts w:ascii="Arial" w:cs="Arial" w:eastAsia="Arial" w:hAnsi="Arial"/>
          <w:sz w:val="14"/>
          <w:szCs w:val="14"/>
          <w:color w:val="auto"/>
        </w:rPr>
        <w:t>Plus, year-end fair value of outstanding and unvested equity awards granted in the year Plus, fair value as of the vesting date for vested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-147955</wp:posOffset>
            </wp:positionV>
            <wp:extent cx="596646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6460" cy="154305"/>
                    </a:xfrm>
                    <a:prstGeom prst="rect">
                      <a:avLst/>
                    </a:prstGeom>
                    <a:noFill/>
                  </pic:spPr>
                </pic:pic>
              </a:graphicData>
            </a:graphic>
          </wp:anchor>
        </w:drawing>
      </w:r>
    </w:p>
    <w:p>
      <w:pPr>
        <w:ind w:left="760" w:right="120"/>
        <w:spacing w:after="0" w:line="251" w:lineRule="auto"/>
        <w:rPr>
          <w:sz w:val="20"/>
          <w:szCs w:val="20"/>
          <w:color w:val="auto"/>
        </w:rPr>
      </w:pPr>
      <w:r>
        <w:rPr>
          <w:rFonts w:ascii="Arial" w:cs="Arial" w:eastAsia="Arial" w:hAnsi="Arial"/>
          <w:sz w:val="14"/>
          <w:szCs w:val="14"/>
          <w:color w:val="auto"/>
        </w:rPr>
        <w:t>Plus (less), year over year change in fair value of outstanding and unvested equity awards granted in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-1905</wp:posOffset>
            </wp:positionV>
            <wp:extent cx="5966460" cy="2057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6460" cy="205740"/>
                    </a:xfrm>
                    <a:prstGeom prst="rect">
                      <a:avLst/>
                    </a:prstGeom>
                    <a:noFill/>
                  </pic:spPr>
                </pic:pic>
              </a:graphicData>
            </a:graphic>
          </wp:anchor>
        </w:drawing>
      </w:r>
    </w:p>
    <w:p>
      <w:pPr>
        <w:ind w:left="760"/>
        <w:spacing w:after="0" w:line="261" w:lineRule="auto"/>
        <w:rPr>
          <w:sz w:val="20"/>
          <w:szCs w:val="20"/>
          <w:color w:val="auto"/>
        </w:rPr>
      </w:pPr>
      <w:r>
        <w:rPr>
          <w:rFonts w:ascii="Arial" w:cs="Arial" w:eastAsia="Arial" w:hAnsi="Arial"/>
          <w:sz w:val="14"/>
          <w:szCs w:val="14"/>
          <w:color w:val="auto"/>
        </w:rPr>
        <w:t>Plus (less), change in fair value from prior year-end to vesting date of equity awards granted in prior years that vested in the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1,560,489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362,991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6,687,028</w:t>
            </w:r>
          </w:p>
        </w:tc>
      </w:tr>
      <w:tr>
        <w:trPr>
          <w:trHeight w:val="243"/>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1,000,001</w:t>
            </w:r>
          </w:p>
        </w:tc>
      </w:tr>
      <w:tr>
        <w:trPr>
          <w:trHeight w:val="283"/>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(610,686)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1,042,530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24"/>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(444,930)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229,008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93" w:lineRule="exact"/>
        <w:rPr>
          <w:sz w:val="20"/>
          <w:szCs w:val="20"/>
          <w:color w:val="auto"/>
        </w:rPr>
      </w:pPr>
    </w:p>
    <w:p>
      <w:pPr>
        <w:sectPr>
          <w:pgSz w:w="11900" w:h="16838" w:orient="portrait"/>
          <w:cols w:equalWidth="0" w:num="2">
            <w:col w:w="6600" w:space="380"/>
            <w:col w:w="3740"/>
          </w:cols>
          <w:pgMar w:left="580" w:top="775" w:right="599" w:bottom="1440" w:gutter="0" w:footer="0" w:header="0"/>
          <w:type w:val="continuous"/>
        </w:sectPr>
      </w:pPr>
    </w:p>
    <w:tbl>
      <w:tblPr>
        <w:tblLayout w:type="fixed"/>
        <w:tblInd w:w="660" w:type="dxa"/>
        <w:tblCellMar>
          <w:top w:w="0" w:type="dxa"/>
          <w:left w:w="0" w:type="dxa"/>
          <w:bottom w:w="0" w:type="dxa"/>
          <w:right w:w="0" w:type="dxa"/>
        </w:tblCellMar>
      </w:tblPr>
      <w:tr>
        <w:trPr>
          <w:trHeight w:val="205"/>
        </w:trPr>
        <w:tc>
          <w:tcPr>
            <w:tcW w:w="4960" w:type="dxa"/>
            <w:vAlign w:val="bottom"/>
            <w:tcBorders>
              <w:bottom w:val="single" w:sz="8" w:color="112B19"/>
            </w:tcBorders>
          </w:tcPr>
          <w:p>
            <w:pPr>
              <w:spacing w:after="0"/>
              <w:rPr>
                <w:sz w:val="20"/>
                <w:szCs w:val="20"/>
                <w:color w:val="auto"/>
              </w:rPr>
            </w:pPr>
            <w:r>
              <w:rPr>
                <w:rFonts w:ascii="Arial" w:cs="Arial" w:eastAsia="Arial" w:hAnsi="Arial"/>
                <w:sz w:val="14"/>
                <w:szCs w:val="14"/>
                <w:b w:val="1"/>
                <w:bCs w:val="1"/>
                <w:color w:val="112B19"/>
              </w:rPr>
              <w:t>Compensation Actually Paid to Mr. Sarsfield (CEO 1)</w:t>
            </w:r>
          </w:p>
        </w:tc>
        <w:tc>
          <w:tcPr>
            <w:tcW w:w="2300" w:type="dxa"/>
            <w:vAlign w:val="bottom"/>
            <w:tcBorders>
              <w:bottom w:val="single" w:sz="8" w:color="112B19"/>
            </w:tcBorders>
          </w:tcPr>
          <w:p>
            <w:pPr>
              <w:jc w:val="right"/>
              <w:ind w:right="88"/>
              <w:spacing w:after="0"/>
              <w:rPr>
                <w:sz w:val="20"/>
                <w:szCs w:val="20"/>
                <w:color w:val="auto"/>
              </w:rPr>
            </w:pPr>
            <w:r>
              <w:rPr>
                <w:rFonts w:ascii="Arial" w:cs="Arial" w:eastAsia="Arial" w:hAnsi="Arial"/>
                <w:sz w:val="14"/>
                <w:szCs w:val="14"/>
                <w:b w:val="1"/>
                <w:bCs w:val="1"/>
                <w:color w:val="auto"/>
              </w:rPr>
              <w:t>$ 3,707,232</w:t>
            </w:r>
          </w:p>
        </w:tc>
        <w:tc>
          <w:tcPr>
            <w:tcW w:w="1080" w:type="dxa"/>
            <w:vAlign w:val="bottom"/>
            <w:tcBorders>
              <w:bottom w:val="single" w:sz="8" w:color="112B19"/>
            </w:tcBorders>
          </w:tcPr>
          <w:p>
            <w:pPr>
              <w:jc w:val="right"/>
              <w:ind w:right="88"/>
              <w:spacing w:after="0"/>
              <w:rPr>
                <w:sz w:val="20"/>
                <w:szCs w:val="20"/>
                <w:color w:val="auto"/>
              </w:rPr>
            </w:pPr>
            <w:r>
              <w:rPr>
                <w:rFonts w:ascii="Arial" w:cs="Arial" w:eastAsia="Arial" w:hAnsi="Arial"/>
                <w:sz w:val="14"/>
                <w:szCs w:val="14"/>
                <w:b w:val="1"/>
                <w:bCs w:val="1"/>
                <w:color w:val="auto"/>
              </w:rPr>
              <w:t>$ 4,752,436</w:t>
            </w:r>
          </w:p>
        </w:tc>
        <w:tc>
          <w:tcPr>
            <w:tcW w:w="1060" w:type="dxa"/>
            <w:vAlign w:val="bottom"/>
            <w:tcBorders>
              <w:bottom w:val="single" w:sz="8" w:color="112B19"/>
            </w:tcBorders>
          </w:tcPr>
          <w:p>
            <w:pPr>
              <w:jc w:val="right"/>
              <w:ind w:right="28"/>
              <w:spacing w:after="0"/>
              <w:rPr>
                <w:sz w:val="20"/>
                <w:szCs w:val="20"/>
                <w:color w:val="auto"/>
              </w:rPr>
            </w:pPr>
            <w:r>
              <w:rPr>
                <w:rFonts w:ascii="Arial" w:cs="Arial" w:eastAsia="Arial" w:hAnsi="Arial"/>
                <w:sz w:val="14"/>
                <w:szCs w:val="14"/>
                <w:b w:val="1"/>
                <w:bCs w:val="1"/>
                <w:color w:val="auto"/>
              </w:rPr>
              <w:t>$ 7,972,674</w:t>
            </w:r>
          </w:p>
        </w:tc>
      </w:tr>
    </w:tbl>
    <w:p>
      <w:pPr>
        <w:spacing w:after="0" w:line="234"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112B19"/>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6350</wp:posOffset>
            </wp:positionV>
            <wp:extent cx="59664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type w:val="continuous"/>
        </w:sectPr>
      </w:pPr>
    </w:p>
    <w:p>
      <w:pPr>
        <w:spacing w:after="0" w:line="5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112B19"/>
        </w:rPr>
        <w:t>Summary Compensation Table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32385</wp:posOffset>
            </wp:positionV>
            <wp:extent cx="596646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6460" cy="154305"/>
                    </a:xfrm>
                    <a:prstGeom prst="rect">
                      <a:avLst/>
                    </a:prstGeom>
                    <a:noFill/>
                  </pic:spPr>
                </pic:pic>
              </a:graphicData>
            </a:graphic>
          </wp:anchor>
        </w:drawing>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4"/>
          <w:szCs w:val="14"/>
          <w:color w:val="auto"/>
        </w:rPr>
        <w:t>Less, value of “Stock Awards” and "Option Awards" reported in Summary Compensation Table</w:t>
      </w:r>
    </w:p>
    <w:p>
      <w:pPr>
        <w:spacing w:after="0" w:line="82" w:lineRule="exact"/>
        <w:rPr>
          <w:sz w:val="20"/>
          <w:szCs w:val="20"/>
          <w:color w:val="auto"/>
        </w:rPr>
      </w:pPr>
    </w:p>
    <w:p>
      <w:pPr>
        <w:ind w:left="760"/>
        <w:spacing w:after="0"/>
        <w:rPr>
          <w:sz w:val="20"/>
          <w:szCs w:val="20"/>
          <w:color w:val="auto"/>
        </w:rPr>
      </w:pPr>
      <w:r>
        <w:rPr>
          <w:rFonts w:ascii="Arial" w:cs="Arial" w:eastAsia="Arial" w:hAnsi="Arial"/>
          <w:sz w:val="14"/>
          <w:szCs w:val="14"/>
          <w:color w:val="auto"/>
        </w:rPr>
        <w:t>Plus, year-end fair value of outstanding and unvested equity awards granted in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32385</wp:posOffset>
            </wp:positionV>
            <wp:extent cx="596646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6460" cy="154305"/>
                    </a:xfrm>
                    <a:prstGeom prst="rect">
                      <a:avLst/>
                    </a:prstGeom>
                    <a:noFill/>
                  </pic:spPr>
                </pic:pic>
              </a:graphicData>
            </a:graphic>
          </wp:anchor>
        </w:drawing>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4"/>
          <w:szCs w:val="14"/>
          <w:color w:val="auto"/>
        </w:rPr>
        <w:t>Plus, fair value as of the vesting date for vested awards</w:t>
      </w:r>
    </w:p>
    <w:p>
      <w:pPr>
        <w:spacing w:after="0" w:line="82" w:lineRule="exact"/>
        <w:rPr>
          <w:sz w:val="20"/>
          <w:szCs w:val="20"/>
          <w:color w:val="auto"/>
        </w:rPr>
      </w:pPr>
    </w:p>
    <w:p>
      <w:pPr>
        <w:ind w:left="760"/>
        <w:spacing w:after="0"/>
        <w:rPr>
          <w:sz w:val="20"/>
          <w:szCs w:val="20"/>
          <w:color w:val="auto"/>
        </w:rPr>
      </w:pPr>
      <w:r>
        <w:rPr>
          <w:rFonts w:ascii="Arial" w:cs="Arial" w:eastAsia="Arial" w:hAnsi="Arial"/>
          <w:sz w:val="14"/>
          <w:szCs w:val="14"/>
          <w:color w:val="auto"/>
        </w:rPr>
        <w:t>Plus (less), year over year change in fair value of outstanding and unvested equity awards granted in prior years</w:t>
      </w:r>
    </w:p>
    <w:p>
      <w:pPr>
        <w:spacing w:after="0" w:line="42" w:lineRule="exact"/>
        <w:rPr>
          <w:sz w:val="20"/>
          <w:szCs w:val="20"/>
          <w:color w:val="auto"/>
        </w:rPr>
      </w:pPr>
    </w:p>
    <w:p>
      <w:pPr>
        <w:ind w:left="760"/>
        <w:spacing w:after="0" w:line="271" w:lineRule="auto"/>
        <w:rPr>
          <w:sz w:val="20"/>
          <w:szCs w:val="20"/>
          <w:color w:val="auto"/>
        </w:rPr>
      </w:pPr>
      <w:r>
        <w:rPr>
          <w:rFonts w:ascii="Arial" w:cs="Arial" w:eastAsia="Arial" w:hAnsi="Arial"/>
          <w:sz w:val="14"/>
          <w:szCs w:val="14"/>
          <w:color w:val="auto"/>
        </w:rPr>
        <w:t>Plus (less), change in fair value from prior year-end to vesting date of equity awards granted in prior years that vested in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-224155</wp:posOffset>
            </wp:positionV>
            <wp:extent cx="5966460"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646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419" w:hanging="419"/>
        <w:spacing w:after="0"/>
        <w:tabs>
          <w:tab w:leader="none" w:pos="419"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9,966,991</w:t>
      </w:r>
    </w:p>
    <w:p>
      <w:pPr>
        <w:spacing w:after="0" w:line="42" w:lineRule="exact"/>
        <w:rPr>
          <w:sz w:val="20"/>
          <w:szCs w:val="20"/>
          <w:color w:val="auto"/>
        </w:rPr>
      </w:pPr>
    </w:p>
    <w:p>
      <w:pPr>
        <w:ind w:left="379" w:hanging="379"/>
        <w:spacing w:after="0"/>
        <w:tabs>
          <w:tab w:leader="none" w:pos="379" w:val="left"/>
        </w:tabs>
        <w:numPr>
          <w:ilvl w:val="0"/>
          <w:numId w:val="50"/>
        </w:numPr>
        <w:rPr>
          <w:rFonts w:ascii="Arial" w:cs="Arial" w:eastAsia="Arial" w:hAnsi="Arial"/>
          <w:sz w:val="14"/>
          <w:szCs w:val="14"/>
          <w:color w:val="auto"/>
        </w:rPr>
      </w:pPr>
      <w:r>
        <w:rPr>
          <w:rFonts w:ascii="Arial" w:cs="Arial" w:eastAsia="Arial" w:hAnsi="Arial"/>
          <w:sz w:val="14"/>
          <w:szCs w:val="14"/>
          <w:color w:val="auto"/>
        </w:rPr>
        <w:t>(4,928,538)</w:t>
      </w:r>
    </w:p>
    <w:p>
      <w:pPr>
        <w:spacing w:after="0" w:line="82" w:lineRule="exact"/>
        <w:rPr>
          <w:sz w:val="20"/>
          <w:szCs w:val="20"/>
          <w:color w:val="auto"/>
        </w:rPr>
      </w:pPr>
    </w:p>
    <w:p>
      <w:pPr>
        <w:ind w:left="919" w:hanging="919"/>
        <w:spacing w:after="0"/>
        <w:tabs>
          <w:tab w:leader="none" w:pos="919" w:val="left"/>
        </w:tabs>
        <w:numPr>
          <w:ilvl w:val="0"/>
          <w:numId w:val="51"/>
        </w:numPr>
        <w:rPr>
          <w:rFonts w:ascii="Arial" w:cs="Arial" w:eastAsia="Arial" w:hAnsi="Arial"/>
          <w:sz w:val="14"/>
          <w:szCs w:val="14"/>
          <w:color w:val="auto"/>
        </w:rPr>
      </w:pPr>
      <w:r>
        <w:rPr>
          <w:rFonts w:ascii="Arial" w:cs="Arial" w:eastAsia="Arial" w:hAnsi="Arial"/>
          <w:sz w:val="14"/>
          <w:szCs w:val="14"/>
          <w:color w:val="auto"/>
        </w:rPr>
        <w:t>—</w:t>
      </w:r>
    </w:p>
    <w:p>
      <w:pPr>
        <w:spacing w:after="0" w:line="82" w:lineRule="exact"/>
        <w:rPr>
          <w:sz w:val="20"/>
          <w:szCs w:val="20"/>
          <w:color w:val="auto"/>
        </w:rPr>
      </w:pPr>
    </w:p>
    <w:p>
      <w:pPr>
        <w:ind w:left="419" w:hanging="419"/>
        <w:spacing w:after="0"/>
        <w:tabs>
          <w:tab w:leader="none" w:pos="419" w:val="left"/>
        </w:tabs>
        <w:numPr>
          <w:ilvl w:val="0"/>
          <w:numId w:val="52"/>
        </w:numPr>
        <w:rPr>
          <w:rFonts w:ascii="Arial" w:cs="Arial" w:eastAsia="Arial" w:hAnsi="Arial"/>
          <w:sz w:val="14"/>
          <w:szCs w:val="14"/>
          <w:color w:val="auto"/>
        </w:rPr>
      </w:pPr>
      <w:r>
        <w:rPr>
          <w:rFonts w:ascii="Arial" w:cs="Arial" w:eastAsia="Arial" w:hAnsi="Arial"/>
          <w:sz w:val="14"/>
          <w:szCs w:val="14"/>
          <w:color w:val="auto"/>
        </w:rPr>
        <w:t>6,697,142</w:t>
      </w:r>
    </w:p>
    <w:p>
      <w:pPr>
        <w:spacing w:after="0" w:line="82" w:lineRule="exact"/>
        <w:rPr>
          <w:rFonts w:ascii="Arial" w:cs="Arial" w:eastAsia="Arial" w:hAnsi="Arial"/>
          <w:sz w:val="14"/>
          <w:szCs w:val="14"/>
          <w:color w:val="auto"/>
        </w:rPr>
      </w:pPr>
    </w:p>
    <w:p>
      <w:pPr>
        <w:ind w:left="919" w:hanging="919"/>
        <w:spacing w:after="0"/>
        <w:tabs>
          <w:tab w:leader="none" w:pos="919" w:val="left"/>
        </w:tabs>
        <w:numPr>
          <w:ilvl w:val="0"/>
          <w:numId w:val="52"/>
        </w:numPr>
        <w:rPr>
          <w:rFonts w:ascii="Arial" w:cs="Arial" w:eastAsia="Arial" w:hAnsi="Arial"/>
          <w:sz w:val="14"/>
          <w:szCs w:val="14"/>
          <w:color w:val="auto"/>
        </w:rPr>
      </w:pPr>
      <w:r>
        <w:rPr>
          <w:rFonts w:ascii="Arial" w:cs="Arial" w:eastAsia="Arial" w:hAnsi="Arial"/>
          <w:sz w:val="14"/>
          <w:szCs w:val="14"/>
          <w:color w:val="auto"/>
        </w:rPr>
        <w:t>—</w:t>
      </w:r>
    </w:p>
    <w:p>
      <w:pPr>
        <w:spacing w:after="0" w:line="122" w:lineRule="exact"/>
        <w:rPr>
          <w:rFonts w:ascii="Arial" w:cs="Arial" w:eastAsia="Arial" w:hAnsi="Arial"/>
          <w:sz w:val="14"/>
          <w:szCs w:val="14"/>
          <w:color w:val="auto"/>
        </w:rPr>
      </w:pPr>
    </w:p>
    <w:p>
      <w:pPr>
        <w:ind w:left="699" w:hanging="699"/>
        <w:spacing w:after="0"/>
        <w:tabs>
          <w:tab w:leader="none" w:pos="699" w:val="left"/>
        </w:tabs>
        <w:numPr>
          <w:ilvl w:val="0"/>
          <w:numId w:val="52"/>
        </w:numPr>
        <w:rPr>
          <w:rFonts w:ascii="Arial" w:cs="Arial" w:eastAsia="Arial" w:hAnsi="Arial"/>
          <w:sz w:val="14"/>
          <w:szCs w:val="14"/>
          <w:color w:val="auto"/>
        </w:rPr>
      </w:pPr>
      <w:r>
        <w:rPr>
          <w:rFonts w:ascii="Arial" w:cs="Arial" w:eastAsia="Arial" w:hAnsi="Arial"/>
          <w:sz w:val="14"/>
          <w:szCs w:val="14"/>
          <w:color w:val="auto"/>
        </w:rPr>
        <w:t>5,031</w:t>
      </w:r>
    </w:p>
    <w:p>
      <w:pPr>
        <w:spacing w:after="0" w:line="122" w:lineRule="exact"/>
        <w:rPr>
          <w:sz w:val="20"/>
          <w:szCs w:val="20"/>
          <w:color w:val="auto"/>
        </w:rPr>
      </w:pPr>
    </w:p>
    <w:p>
      <w:pPr>
        <w:sectPr>
          <w:pgSz w:w="11900" w:h="16838" w:orient="portrait"/>
          <w:cols w:equalWidth="0" w:num="2">
            <w:col w:w="8380" w:space="521"/>
            <w:col w:w="1819"/>
          </w:cols>
          <w:pgMar w:left="580" w:top="775" w:right="599" w:bottom="1440" w:gutter="0" w:footer="0" w:header="0"/>
          <w:type w:val="continuous"/>
        </w:sectPr>
      </w:pPr>
    </w:p>
    <w:p>
      <w:pPr>
        <w:ind w:left="660"/>
        <w:spacing w:after="0"/>
        <w:tabs>
          <w:tab w:leader="none" w:pos="8880" w:val="left"/>
          <w:tab w:leader="none" w:pos="9220" w:val="left"/>
        </w:tabs>
        <w:rPr>
          <w:sz w:val="20"/>
          <w:szCs w:val="20"/>
          <w:color w:val="auto"/>
        </w:rPr>
      </w:pPr>
      <w:r>
        <w:rPr>
          <w:rFonts w:ascii="Arial" w:cs="Arial" w:eastAsia="Arial" w:hAnsi="Arial"/>
          <w:sz w:val="14"/>
          <w:szCs w:val="14"/>
          <w:b w:val="1"/>
          <w:bCs w:val="1"/>
          <w:color w:val="112B19"/>
        </w:rPr>
        <w:t>Compensation Actually Paid to Mr. Alpert (CEO 2)</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11,740,626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32385</wp:posOffset>
            </wp:positionV>
            <wp:extent cx="59664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40" w:type="dxa"/>
            <w:vAlign w:val="bottom"/>
          </w:tcPr>
          <w:p>
            <w:pPr>
              <w:ind w:left="6560"/>
              <w:spacing w:after="0"/>
              <w:rPr>
                <w:sz w:val="20"/>
                <w:szCs w:val="20"/>
                <w:color w:val="auto"/>
              </w:rPr>
            </w:pPr>
            <w:r>
              <w:rPr>
                <w:rFonts w:ascii="Arial" w:cs="Arial" w:eastAsia="Arial" w:hAnsi="Arial"/>
                <w:sz w:val="14"/>
                <w:szCs w:val="14"/>
                <w:color w:val="050A35"/>
              </w:rPr>
              <w:t>RIDGEPOST CAPITAL | 2026 Proxy Statement</w:t>
            </w:r>
          </w:p>
        </w:tc>
        <w:tc>
          <w:tcPr>
            <w:tcW w:w="980" w:type="dxa"/>
            <w:vAlign w:val="bottom"/>
          </w:tcPr>
          <w:p>
            <w:pPr>
              <w:jc w:val="right"/>
              <w:ind w:right="588"/>
              <w:spacing w:after="0"/>
              <w:rPr>
                <w:sz w:val="20"/>
                <w:szCs w:val="20"/>
                <w:color w:val="auto"/>
              </w:rPr>
            </w:pPr>
            <w:r>
              <w:rPr>
                <w:rFonts w:ascii="Arial" w:cs="Arial" w:eastAsia="Arial" w:hAnsi="Arial"/>
                <w:sz w:val="14"/>
                <w:szCs w:val="14"/>
                <w:b w:val="1"/>
                <w:bCs w:val="1"/>
                <w:color w:val="050A35"/>
              </w:rPr>
              <w:t>25</w:t>
            </w:r>
          </w:p>
        </w:tc>
      </w:tr>
      <w:tr>
        <w:trPr>
          <w:trHeight w:val="738"/>
        </w:trPr>
        <w:tc>
          <w:tcPr>
            <w:tcW w:w="97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3"/>
          <w:szCs w:val="13"/>
          <w:color w:val="050A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9664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Borders>
              <w:bottom w:val="single" w:sz="8" w:color="112B19"/>
            </w:tcBorders>
          </w:tcPr>
          <w:p>
            <w:pPr>
              <w:spacing w:after="0"/>
              <w:rPr>
                <w:sz w:val="14"/>
                <w:szCs w:val="14"/>
                <w:color w:val="auto"/>
              </w:rPr>
            </w:pPr>
          </w:p>
        </w:tc>
        <w:tc>
          <w:tcPr>
            <w:tcW w:w="420" w:type="dxa"/>
            <w:vAlign w:val="bottom"/>
            <w:tcBorders>
              <w:bottom w:val="single" w:sz="8" w:color="112B19"/>
            </w:tcBorders>
          </w:tcPr>
          <w:p>
            <w:pPr>
              <w:spacing w:after="0"/>
              <w:rPr>
                <w:sz w:val="14"/>
                <w:szCs w:val="14"/>
                <w:color w:val="auto"/>
              </w:rPr>
            </w:pPr>
          </w:p>
        </w:tc>
        <w:tc>
          <w:tcPr>
            <w:tcW w:w="1000" w:type="dxa"/>
            <w:vAlign w:val="bottom"/>
            <w:tcBorders>
              <w:bottom w:val="single" w:sz="8" w:color="112B19"/>
            </w:tcBorders>
          </w:tcPr>
          <w:p>
            <w:pPr>
              <w:jc w:val="right"/>
              <w:ind w:right="548"/>
              <w:spacing w:after="0"/>
              <w:rPr>
                <w:sz w:val="20"/>
                <w:szCs w:val="20"/>
                <w:color w:val="auto"/>
              </w:rPr>
            </w:pPr>
            <w:r>
              <w:rPr>
                <w:rFonts w:ascii="Arial" w:cs="Arial" w:eastAsia="Arial" w:hAnsi="Arial"/>
                <w:sz w:val="14"/>
                <w:szCs w:val="14"/>
                <w:b w:val="1"/>
                <w:bCs w:val="1"/>
                <w:color w:val="112B19"/>
              </w:rPr>
              <w:t>2023</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r>
              <w:rPr>
                <w:rFonts w:ascii="Arial" w:cs="Arial" w:eastAsia="Arial" w:hAnsi="Arial"/>
                <w:sz w:val="14"/>
                <w:szCs w:val="14"/>
                <w:b w:val="1"/>
                <w:bCs w:val="1"/>
                <w:color w:val="112B19"/>
              </w:rPr>
              <w:t>Summary Compensation Table Total</w:t>
            </w:r>
          </w:p>
        </w:tc>
        <w:tc>
          <w:tcPr>
            <w:tcW w:w="4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10,868,392</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4"/>
                <w:szCs w:val="14"/>
                <w:color w:val="auto"/>
              </w:rPr>
              <w:t>Less, value of “Stock Awards” and "Option Awards" reported in Summary Compensation Table</w:t>
            </w:r>
          </w:p>
        </w:tc>
        <w:tc>
          <w:tcPr>
            <w:tcW w:w="420" w:type="dxa"/>
            <w:vAlign w:val="bottom"/>
            <w:tcBorders>
              <w:bottom w:val="single" w:sz="8" w:color="EDEDED"/>
            </w:tcBorders>
            <w:shd w:val="clear" w:color="auto" w:fill="EDEDED"/>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(5,828,537)</w:t>
            </w:r>
          </w:p>
        </w:tc>
        <w:tc>
          <w:tcPr>
            <w:tcW w:w="0" w:type="dxa"/>
            <w:vAlign w:val="bottom"/>
          </w:tcPr>
          <w:p>
            <w:pPr>
              <w:spacing w:after="0"/>
              <w:rPr>
                <w:sz w:val="1"/>
                <w:szCs w:val="1"/>
                <w:color w:val="auto"/>
              </w:rPr>
            </w:pPr>
          </w:p>
        </w:tc>
      </w:tr>
      <w:tr>
        <w:trPr>
          <w:trHeight w:val="222"/>
        </w:trPr>
        <w:tc>
          <w:tcPr>
            <w:tcW w:w="7980" w:type="dxa"/>
            <w:vAlign w:val="bottom"/>
          </w:tcPr>
          <w:p>
            <w:pPr>
              <w:ind w:left="100"/>
              <w:spacing w:after="0"/>
              <w:rPr>
                <w:sz w:val="20"/>
                <w:szCs w:val="20"/>
                <w:color w:val="auto"/>
              </w:rPr>
            </w:pPr>
            <w:r>
              <w:rPr>
                <w:rFonts w:ascii="Arial" w:cs="Arial" w:eastAsia="Arial" w:hAnsi="Arial"/>
                <w:sz w:val="14"/>
                <w:szCs w:val="14"/>
                <w:color w:val="auto"/>
              </w:rPr>
              <w:t>Plus, year-end fair value of outstanding and unvested equity awards granted in the year</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7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4"/>
                <w:szCs w:val="14"/>
                <w:color w:val="auto"/>
              </w:rPr>
              <w:t>Plus, fair value as of the vesting date for vested awards</w:t>
            </w:r>
          </w:p>
        </w:tc>
        <w:tc>
          <w:tcPr>
            <w:tcW w:w="420" w:type="dxa"/>
            <w:vAlign w:val="bottom"/>
            <w:tcBorders>
              <w:bottom w:val="single" w:sz="8" w:color="EDEDED"/>
            </w:tcBorders>
            <w:shd w:val="clear" w:color="auto" w:fill="EDEDED"/>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7,686,173</w:t>
            </w:r>
          </w:p>
        </w:tc>
        <w:tc>
          <w:tcPr>
            <w:tcW w:w="0" w:type="dxa"/>
            <w:vAlign w:val="bottom"/>
          </w:tcPr>
          <w:p>
            <w:pPr>
              <w:spacing w:after="0"/>
              <w:rPr>
                <w:sz w:val="1"/>
                <w:szCs w:val="1"/>
                <w:color w:val="auto"/>
              </w:rPr>
            </w:pPr>
          </w:p>
        </w:tc>
      </w:tr>
      <w:tr>
        <w:trPr>
          <w:trHeight w:val="221"/>
        </w:trPr>
        <w:tc>
          <w:tcPr>
            <w:tcW w:w="7980" w:type="dxa"/>
            <w:vAlign w:val="bottom"/>
          </w:tcPr>
          <w:p>
            <w:pPr>
              <w:ind w:left="100"/>
              <w:spacing w:after="0"/>
              <w:rPr>
                <w:sz w:val="20"/>
                <w:szCs w:val="20"/>
                <w:color w:val="auto"/>
              </w:rPr>
            </w:pPr>
            <w:r>
              <w:rPr>
                <w:rFonts w:ascii="Arial" w:cs="Arial" w:eastAsia="Arial" w:hAnsi="Arial"/>
                <w:sz w:val="14"/>
                <w:szCs w:val="14"/>
                <w:color w:val="auto"/>
              </w:rPr>
              <w:t>Plus (less), year over year change in fair value of outstanding and unvested equity awards granted in prior years</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7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980" w:type="dxa"/>
            <w:vAlign w:val="bottom"/>
            <w:shd w:val="clear" w:color="auto" w:fill="EDEDED"/>
          </w:tcPr>
          <w:p>
            <w:pPr>
              <w:ind w:left="100"/>
              <w:spacing w:after="0" w:line="153" w:lineRule="exact"/>
              <w:rPr>
                <w:sz w:val="20"/>
                <w:szCs w:val="20"/>
                <w:color w:val="auto"/>
              </w:rPr>
            </w:pPr>
            <w:r>
              <w:rPr>
                <w:rFonts w:ascii="Arial" w:cs="Arial" w:eastAsia="Arial" w:hAnsi="Arial"/>
                <w:sz w:val="14"/>
                <w:szCs w:val="14"/>
                <w:color w:val="auto"/>
              </w:rPr>
              <w:t>Plus (less), change in fair value from prior year-end to vesting date of equity awards granted in prior years that vested in</w:t>
            </w:r>
          </w:p>
        </w:tc>
        <w:tc>
          <w:tcPr>
            <w:tcW w:w="420" w:type="dxa"/>
            <w:vAlign w:val="bottom"/>
            <w:vMerge w:val="restart"/>
            <w:shd w:val="clear" w:color="auto" w:fill="EDEDED"/>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5,031</w:t>
            </w:r>
          </w:p>
        </w:tc>
        <w:tc>
          <w:tcPr>
            <w:tcW w:w="0" w:type="dxa"/>
            <w:vAlign w:val="bottom"/>
          </w:tcPr>
          <w:p>
            <w:pPr>
              <w:spacing w:after="0"/>
              <w:rPr>
                <w:sz w:val="1"/>
                <w:szCs w:val="1"/>
                <w:color w:val="auto"/>
              </w:rPr>
            </w:pPr>
          </w:p>
        </w:tc>
      </w:tr>
      <w:tr>
        <w:trPr>
          <w:trHeight w:val="109"/>
        </w:trPr>
        <w:tc>
          <w:tcPr>
            <w:tcW w:w="7980" w:type="dxa"/>
            <w:vAlign w:val="bottom"/>
            <w:vMerge w:val="restart"/>
            <w:shd w:val="clear" w:color="auto" w:fill="EDEDED"/>
          </w:tcPr>
          <w:p>
            <w:pPr>
              <w:ind w:left="100"/>
              <w:spacing w:after="0"/>
              <w:rPr>
                <w:sz w:val="20"/>
                <w:szCs w:val="20"/>
                <w:color w:val="auto"/>
              </w:rPr>
            </w:pPr>
            <w:r>
              <w:rPr>
                <w:rFonts w:ascii="Arial" w:cs="Arial" w:eastAsia="Arial" w:hAnsi="Arial"/>
                <w:sz w:val="14"/>
                <w:szCs w:val="14"/>
                <w:color w:val="auto"/>
              </w:rPr>
              <w:t>the year</w:t>
            </w:r>
          </w:p>
        </w:tc>
        <w:tc>
          <w:tcPr>
            <w:tcW w:w="420" w:type="dxa"/>
            <w:vAlign w:val="bottom"/>
            <w:vMerge w:val="continue"/>
            <w:shd w:val="clear" w:color="auto" w:fill="EDEDED"/>
          </w:tcPr>
          <w:p>
            <w:pPr>
              <w:spacing w:after="0"/>
              <w:rPr>
                <w:sz w:val="9"/>
                <w:szCs w:val="9"/>
                <w:color w:val="auto"/>
              </w:rPr>
            </w:pPr>
          </w:p>
        </w:tc>
        <w:tc>
          <w:tcPr>
            <w:tcW w:w="1000" w:type="dxa"/>
            <w:vAlign w:val="bottom"/>
            <w:vMerge w:val="continue"/>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7980" w:type="dxa"/>
            <w:vAlign w:val="bottom"/>
            <w:vMerge w:val="continue"/>
            <w:shd w:val="clear" w:color="auto" w:fill="EDEDED"/>
          </w:tcPr>
          <w:p>
            <w:pPr>
              <w:spacing w:after="0"/>
              <w:rPr>
                <w:sz w:val="5"/>
                <w:szCs w:val="5"/>
                <w:color w:val="auto"/>
              </w:rPr>
            </w:pPr>
          </w:p>
        </w:tc>
        <w:tc>
          <w:tcPr>
            <w:tcW w:w="420" w:type="dxa"/>
            <w:vAlign w:val="bottom"/>
            <w:shd w:val="clear" w:color="auto" w:fill="EDEDED"/>
          </w:tcPr>
          <w:p>
            <w:pPr>
              <w:spacing w:after="0"/>
              <w:rPr>
                <w:sz w:val="5"/>
                <w:szCs w:val="5"/>
                <w:color w:val="auto"/>
              </w:rPr>
            </w:pPr>
          </w:p>
        </w:tc>
        <w:tc>
          <w:tcPr>
            <w:tcW w:w="1000" w:type="dxa"/>
            <w:vAlign w:val="bottom"/>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112B19"/>
            </w:tcBorders>
          </w:tcPr>
          <w:p>
            <w:pPr>
              <w:spacing w:after="0"/>
              <w:rPr>
                <w:sz w:val="20"/>
                <w:szCs w:val="20"/>
                <w:color w:val="auto"/>
              </w:rPr>
            </w:pPr>
            <w:r>
              <w:rPr>
                <w:rFonts w:ascii="Arial" w:cs="Arial" w:eastAsia="Arial" w:hAnsi="Arial"/>
                <w:sz w:val="14"/>
                <w:szCs w:val="14"/>
                <w:b w:val="1"/>
                <w:bCs w:val="1"/>
                <w:color w:val="112B19"/>
              </w:rPr>
              <w:t>Compensation Actually Paid to Mr. Webb (CEO 3)</w:t>
            </w:r>
          </w:p>
        </w:tc>
        <w:tc>
          <w:tcPr>
            <w:tcW w:w="420" w:type="dxa"/>
            <w:vAlign w:val="bottom"/>
            <w:tcBorders>
              <w:bottom w:val="single" w:sz="8" w:color="112B19"/>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112B19"/>
            </w:tcBorders>
          </w:tcPr>
          <w:p>
            <w:pPr>
              <w:jc w:val="right"/>
              <w:ind w:right="28"/>
              <w:spacing w:after="0"/>
              <w:rPr>
                <w:sz w:val="20"/>
                <w:szCs w:val="20"/>
                <w:color w:val="auto"/>
              </w:rPr>
            </w:pPr>
            <w:r>
              <w:rPr>
                <w:rFonts w:ascii="Arial" w:cs="Arial" w:eastAsia="Arial" w:hAnsi="Arial"/>
                <w:sz w:val="14"/>
                <w:szCs w:val="14"/>
                <w:b w:val="1"/>
                <w:bCs w:val="1"/>
                <w:color w:val="auto"/>
              </w:rPr>
              <w:t>12,731,059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20" w:right="60" w:hanging="314"/>
        <w:spacing w:after="0" w:line="246" w:lineRule="auto"/>
        <w:tabs>
          <w:tab w:leader="none" w:pos="320" w:val="left"/>
        </w:tabs>
        <w:numPr>
          <w:ilvl w:val="0"/>
          <w:numId w:val="53"/>
        </w:numPr>
        <w:rPr>
          <w:rFonts w:ascii="Times New Roman" w:cs="Times New Roman" w:eastAsia="Times New Roman" w:hAnsi="Times New Roman"/>
          <w:sz w:val="14"/>
          <w:szCs w:val="14"/>
          <w:color w:val="050A35"/>
        </w:rPr>
      </w:pPr>
      <w:r>
        <w:rPr>
          <w:rFonts w:ascii="Arial" w:cs="Arial" w:eastAsia="Arial" w:hAnsi="Arial"/>
          <w:sz w:val="14"/>
          <w:szCs w:val="14"/>
          <w:color w:val="050A35"/>
        </w:rPr>
        <w:t>The dollar amounts reported in this column represent the average of the amounts reported for the Company’s named executive officers (NEOs) as a group (excluding Mr. Sarsfield) as total compensation in our Summary Compensation Table for each of the corresponding fiscal years. The NEOs included for this purpose are as follows: (i) for fiscal 2025, Mses. Coussens and Jairath and Messrs. Hood and Jensen, and (ii) for fiscal 2023-2024, Ms. Coussens and Mr. Hood.</w:t>
      </w:r>
    </w:p>
    <w:p>
      <w:pPr>
        <w:spacing w:after="0" w:line="1" w:lineRule="exact"/>
        <w:rPr>
          <w:rFonts w:ascii="Times New Roman" w:cs="Times New Roman" w:eastAsia="Times New Roman" w:hAnsi="Times New Roman"/>
          <w:sz w:val="14"/>
          <w:szCs w:val="14"/>
          <w:color w:val="050A35"/>
        </w:rPr>
      </w:pPr>
    </w:p>
    <w:p>
      <w:pPr>
        <w:ind w:left="320" w:right="60" w:hanging="314"/>
        <w:spacing w:after="0" w:line="246" w:lineRule="auto"/>
        <w:tabs>
          <w:tab w:leader="none" w:pos="320" w:val="left"/>
        </w:tabs>
        <w:numPr>
          <w:ilvl w:val="0"/>
          <w:numId w:val="53"/>
        </w:numPr>
        <w:rPr>
          <w:rFonts w:ascii="Times New Roman" w:cs="Times New Roman" w:eastAsia="Times New Roman" w:hAnsi="Times New Roman"/>
          <w:sz w:val="14"/>
          <w:szCs w:val="14"/>
          <w:color w:val="050A35"/>
        </w:rPr>
      </w:pPr>
      <w:r>
        <w:rPr>
          <w:rFonts w:ascii="Arial" w:cs="Arial" w:eastAsia="Arial" w:hAnsi="Arial"/>
          <w:sz w:val="14"/>
          <w:szCs w:val="14"/>
          <w:color w:val="050A35"/>
        </w:rPr>
        <w:t>The dollar amounts reported in this column represent the “compensation actually paid” to the NEOs as a group (excluding Mr. Sarsfield), as computed in accordance with Item 402(v) of Regulation S-K. In accordance with these rules, these amounts reflect total compensation as reported in the Summary Compensation Table for each fiscal year, subject to certain adjustments. The following table shows the adjustments for fiscal 2025. Equity values are calculated in accordance with FASB ASC Topic 718, and the valuation assumptions used to calculate fair values did not materially differ from those disclosed at the time of grant.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Borders>
              <w:bottom w:val="single" w:sz="8" w:color="112B19"/>
            </w:tcBorders>
          </w:tcPr>
          <w:p>
            <w:pPr>
              <w:spacing w:after="0"/>
              <w:rPr>
                <w:sz w:val="14"/>
                <w:szCs w:val="14"/>
                <w:color w:val="auto"/>
              </w:rPr>
            </w:pPr>
          </w:p>
        </w:tc>
        <w:tc>
          <w:tcPr>
            <w:tcW w:w="320" w:type="dxa"/>
            <w:vAlign w:val="bottom"/>
            <w:tcBorders>
              <w:bottom w:val="single" w:sz="8" w:color="112B19"/>
            </w:tcBorders>
          </w:tcPr>
          <w:p>
            <w:pPr>
              <w:spacing w:after="0"/>
              <w:rPr>
                <w:sz w:val="14"/>
                <w:szCs w:val="14"/>
                <w:color w:val="auto"/>
              </w:rPr>
            </w:pPr>
          </w:p>
        </w:tc>
        <w:tc>
          <w:tcPr>
            <w:tcW w:w="820" w:type="dxa"/>
            <w:vAlign w:val="bottom"/>
            <w:tcBorders>
              <w:bottom w:val="single" w:sz="8" w:color="112B19"/>
            </w:tcBorders>
          </w:tcPr>
          <w:p>
            <w:pPr>
              <w:jc w:val="right"/>
              <w:ind w:right="429"/>
              <w:spacing w:after="0"/>
              <w:rPr>
                <w:sz w:val="20"/>
                <w:szCs w:val="20"/>
                <w:color w:val="auto"/>
              </w:rPr>
            </w:pPr>
            <w:r>
              <w:rPr>
                <w:rFonts w:ascii="Arial" w:cs="Arial" w:eastAsia="Arial" w:hAnsi="Arial"/>
                <w:sz w:val="14"/>
                <w:szCs w:val="14"/>
                <w:b w:val="1"/>
                <w:bCs w:val="1"/>
                <w:color w:val="112B19"/>
                <w:w w:val="96"/>
              </w:rPr>
              <w:t>2025</w:t>
            </w:r>
          </w:p>
        </w:tc>
        <w:tc>
          <w:tcPr>
            <w:tcW w:w="220" w:type="dxa"/>
            <w:vAlign w:val="bottom"/>
            <w:tcBorders>
              <w:bottom w:val="single" w:sz="8" w:color="112B19"/>
            </w:tcBorders>
          </w:tcPr>
          <w:p>
            <w:pPr>
              <w:spacing w:after="0"/>
              <w:rPr>
                <w:sz w:val="14"/>
                <w:szCs w:val="14"/>
                <w:color w:val="auto"/>
              </w:rPr>
            </w:pPr>
          </w:p>
        </w:tc>
        <w:tc>
          <w:tcPr>
            <w:tcW w:w="840" w:type="dxa"/>
            <w:vAlign w:val="bottom"/>
            <w:tcBorders>
              <w:bottom w:val="single" w:sz="8" w:color="112B19"/>
            </w:tcBorders>
          </w:tcPr>
          <w:p>
            <w:pPr>
              <w:jc w:val="right"/>
              <w:ind w:right="449"/>
              <w:spacing w:after="0"/>
              <w:rPr>
                <w:sz w:val="20"/>
                <w:szCs w:val="20"/>
                <w:color w:val="auto"/>
              </w:rPr>
            </w:pPr>
            <w:r>
              <w:rPr>
                <w:rFonts w:ascii="Arial" w:cs="Arial" w:eastAsia="Arial" w:hAnsi="Arial"/>
                <w:sz w:val="14"/>
                <w:szCs w:val="14"/>
                <w:b w:val="1"/>
                <w:bCs w:val="1"/>
                <w:color w:val="112B19"/>
                <w:w w:val="96"/>
              </w:rPr>
              <w:t>2024</w:t>
            </w:r>
          </w:p>
        </w:tc>
        <w:tc>
          <w:tcPr>
            <w:tcW w:w="220" w:type="dxa"/>
            <w:vAlign w:val="bottom"/>
            <w:tcBorders>
              <w:bottom w:val="single" w:sz="8" w:color="112B19"/>
            </w:tcBorders>
          </w:tcPr>
          <w:p>
            <w:pPr>
              <w:spacing w:after="0"/>
              <w:rPr>
                <w:sz w:val="14"/>
                <w:szCs w:val="14"/>
                <w:color w:val="auto"/>
              </w:rPr>
            </w:pPr>
          </w:p>
        </w:tc>
        <w:tc>
          <w:tcPr>
            <w:tcW w:w="760" w:type="dxa"/>
            <w:vAlign w:val="bottom"/>
            <w:tcBorders>
              <w:bottom w:val="single" w:sz="8" w:color="112B19"/>
            </w:tcBorders>
          </w:tcPr>
          <w:p>
            <w:pPr>
              <w:jc w:val="right"/>
              <w:ind w:right="368"/>
              <w:spacing w:after="0"/>
              <w:rPr>
                <w:sz w:val="20"/>
                <w:szCs w:val="20"/>
                <w:color w:val="auto"/>
              </w:rPr>
            </w:pPr>
            <w:r>
              <w:rPr>
                <w:rFonts w:ascii="Arial" w:cs="Arial" w:eastAsia="Arial" w:hAnsi="Arial"/>
                <w:sz w:val="14"/>
                <w:szCs w:val="14"/>
                <w:b w:val="1"/>
                <w:bCs w:val="1"/>
                <w:color w:val="112B19"/>
                <w:w w:val="96"/>
              </w:rPr>
              <w:t>2023</w:t>
            </w:r>
          </w:p>
        </w:tc>
        <w:tc>
          <w:tcPr>
            <w:tcW w:w="0" w:type="dxa"/>
            <w:vAlign w:val="bottom"/>
          </w:tcPr>
          <w:p>
            <w:pPr>
              <w:spacing w:after="0"/>
              <w:rPr>
                <w:sz w:val="1"/>
                <w:szCs w:val="1"/>
                <w:color w:val="auto"/>
              </w:rPr>
            </w:pPr>
          </w:p>
        </w:tc>
      </w:tr>
      <w:tr>
        <w:trPr>
          <w:trHeight w:val="146"/>
        </w:trPr>
        <w:tc>
          <w:tcPr>
            <w:tcW w:w="6220" w:type="dxa"/>
            <w:vAlign w:val="bottom"/>
            <w:vMerge w:val="restart"/>
          </w:tcPr>
          <w:p>
            <w:pPr>
              <w:spacing w:after="0"/>
              <w:rPr>
                <w:sz w:val="20"/>
                <w:szCs w:val="20"/>
                <w:color w:val="auto"/>
              </w:rPr>
            </w:pPr>
            <w:r>
              <w:rPr>
                <w:rFonts w:ascii="Arial" w:cs="Arial" w:eastAsia="Arial" w:hAnsi="Arial"/>
                <w:sz w:val="14"/>
                <w:szCs w:val="14"/>
                <w:b w:val="1"/>
                <w:bCs w:val="1"/>
                <w:color w:val="112B19"/>
              </w:rPr>
              <w:t>Average Summary Compensation Table Total</w:t>
            </w:r>
          </w:p>
        </w:tc>
        <w:tc>
          <w:tcPr>
            <w:tcW w:w="320" w:type="dxa"/>
            <w:vAlign w:val="bottom"/>
          </w:tcPr>
          <w:p>
            <w:pPr>
              <w:spacing w:after="0"/>
              <w:rPr>
                <w:sz w:val="12"/>
                <w:szCs w:val="12"/>
                <w:color w:val="auto"/>
              </w:rPr>
            </w:pPr>
          </w:p>
        </w:tc>
        <w:tc>
          <w:tcPr>
            <w:tcW w:w="820" w:type="dxa"/>
            <w:vAlign w:val="bottom"/>
          </w:tcPr>
          <w:p>
            <w:pPr>
              <w:jc w:val="right"/>
              <w:ind w:right="109"/>
              <w:spacing w:after="0" w:line="147" w:lineRule="exact"/>
              <w:rPr>
                <w:sz w:val="20"/>
                <w:szCs w:val="20"/>
                <w:color w:val="auto"/>
              </w:rPr>
            </w:pPr>
            <w:r>
              <w:rPr>
                <w:rFonts w:ascii="Arial" w:cs="Arial" w:eastAsia="Arial" w:hAnsi="Arial"/>
                <w:sz w:val="14"/>
                <w:szCs w:val="14"/>
                <w:b w:val="1"/>
                <w:bCs w:val="1"/>
                <w:color w:val="050A35"/>
              </w:rPr>
              <w:t>1,644,85</w:t>
            </w:r>
          </w:p>
        </w:tc>
        <w:tc>
          <w:tcPr>
            <w:tcW w:w="220" w:type="dxa"/>
            <w:vAlign w:val="bottom"/>
          </w:tcPr>
          <w:p>
            <w:pPr>
              <w:spacing w:after="0"/>
              <w:rPr>
                <w:sz w:val="12"/>
                <w:szCs w:val="12"/>
                <w:color w:val="auto"/>
              </w:rPr>
            </w:pPr>
          </w:p>
        </w:tc>
        <w:tc>
          <w:tcPr>
            <w:tcW w:w="840" w:type="dxa"/>
            <w:vAlign w:val="bottom"/>
          </w:tcPr>
          <w:p>
            <w:pPr>
              <w:jc w:val="right"/>
              <w:ind w:right="109"/>
              <w:spacing w:after="0" w:line="147" w:lineRule="exact"/>
              <w:rPr>
                <w:sz w:val="20"/>
                <w:szCs w:val="20"/>
                <w:color w:val="auto"/>
              </w:rPr>
            </w:pPr>
            <w:r>
              <w:rPr>
                <w:rFonts w:ascii="Arial" w:cs="Arial" w:eastAsia="Arial" w:hAnsi="Arial"/>
                <w:sz w:val="14"/>
                <w:szCs w:val="14"/>
                <w:b w:val="1"/>
                <w:bCs w:val="1"/>
                <w:color w:val="050A35"/>
              </w:rPr>
              <w:t>1,516,65</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220" w:type="dxa"/>
            <w:vAlign w:val="bottom"/>
            <w:vMerge w:val="continue"/>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050A35"/>
              </w:rPr>
              <w:t>$</w:t>
            </w:r>
          </w:p>
        </w:tc>
        <w:tc>
          <w:tcPr>
            <w:tcW w:w="82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050A35"/>
              </w:rPr>
              <w:t>1</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050A35"/>
              </w:rPr>
              <w:t>$</w:t>
            </w:r>
          </w:p>
        </w:tc>
        <w:tc>
          <w:tcPr>
            <w:tcW w:w="8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050A35"/>
              </w:rPr>
              <w:t>4</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050A35"/>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050A35"/>
              </w:rPr>
              <w:t>971,210</w:t>
            </w:r>
          </w:p>
        </w:tc>
        <w:tc>
          <w:tcPr>
            <w:tcW w:w="0" w:type="dxa"/>
            <w:vAlign w:val="bottom"/>
          </w:tcPr>
          <w:p>
            <w:pPr>
              <w:spacing w:after="0"/>
              <w:rPr>
                <w:sz w:val="1"/>
                <w:szCs w:val="1"/>
                <w:color w:val="auto"/>
              </w:rPr>
            </w:pPr>
          </w:p>
        </w:tc>
      </w:tr>
      <w:tr>
        <w:trPr>
          <w:trHeight w:val="56"/>
        </w:trPr>
        <w:tc>
          <w:tcPr>
            <w:tcW w:w="622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6220" w:type="dxa"/>
            <w:vAlign w:val="bottom"/>
            <w:shd w:val="clear" w:color="auto" w:fill="EDEDED"/>
          </w:tcPr>
          <w:p>
            <w:pPr>
              <w:ind w:left="100"/>
              <w:spacing w:after="0" w:line="153" w:lineRule="exact"/>
              <w:rPr>
                <w:sz w:val="20"/>
                <w:szCs w:val="20"/>
                <w:color w:val="auto"/>
              </w:rPr>
            </w:pPr>
            <w:r>
              <w:rPr>
                <w:rFonts w:ascii="Arial" w:cs="Arial" w:eastAsia="Arial" w:hAnsi="Arial"/>
                <w:sz w:val="14"/>
                <w:szCs w:val="14"/>
                <w:color w:val="auto"/>
              </w:rPr>
              <w:t>Less, value of “Stock Awards” and "Option Awards" reported in Summary Compensation</w:t>
            </w:r>
          </w:p>
        </w:tc>
        <w:tc>
          <w:tcPr>
            <w:tcW w:w="3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EDEDED"/>
          </w:tcPr>
          <w:p>
            <w:pPr>
              <w:jc w:val="right"/>
              <w:ind w:right="49"/>
              <w:spacing w:after="0"/>
              <w:rPr>
                <w:sz w:val="20"/>
                <w:szCs w:val="20"/>
                <w:color w:val="auto"/>
              </w:rPr>
            </w:pPr>
            <w:r>
              <w:rPr>
                <w:rFonts w:ascii="Arial" w:cs="Arial" w:eastAsia="Arial" w:hAnsi="Arial"/>
                <w:sz w:val="14"/>
                <w:szCs w:val="14"/>
                <w:color w:val="auto"/>
              </w:rPr>
              <w:t>(609,861)</w:t>
            </w:r>
          </w:p>
        </w:tc>
        <w:tc>
          <w:tcPr>
            <w:tcW w:w="2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EDEDED"/>
          </w:tcPr>
          <w:p>
            <w:pPr>
              <w:jc w:val="right"/>
              <w:ind w:right="69"/>
              <w:spacing w:after="0"/>
              <w:rPr>
                <w:sz w:val="20"/>
                <w:szCs w:val="20"/>
                <w:color w:val="auto"/>
              </w:rPr>
            </w:pPr>
            <w:r>
              <w:rPr>
                <w:rFonts w:ascii="Arial" w:cs="Arial" w:eastAsia="Arial" w:hAnsi="Arial"/>
                <w:sz w:val="14"/>
                <w:szCs w:val="14"/>
                <w:color w:val="auto"/>
              </w:rPr>
              <w:t>(365,100)</w:t>
            </w:r>
          </w:p>
        </w:tc>
        <w:tc>
          <w:tcPr>
            <w:tcW w:w="2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(418,419)</w:t>
            </w:r>
          </w:p>
        </w:tc>
        <w:tc>
          <w:tcPr>
            <w:tcW w:w="0" w:type="dxa"/>
            <w:vAlign w:val="bottom"/>
          </w:tcPr>
          <w:p>
            <w:pPr>
              <w:spacing w:after="0"/>
              <w:rPr>
                <w:sz w:val="1"/>
                <w:szCs w:val="1"/>
                <w:color w:val="auto"/>
              </w:rPr>
            </w:pPr>
          </w:p>
        </w:tc>
      </w:tr>
      <w:tr>
        <w:trPr>
          <w:trHeight w:val="109"/>
        </w:trPr>
        <w:tc>
          <w:tcPr>
            <w:tcW w:w="6220" w:type="dxa"/>
            <w:vAlign w:val="bottom"/>
            <w:vMerge w:val="restart"/>
            <w:shd w:val="clear" w:color="auto" w:fill="EDEDED"/>
          </w:tcPr>
          <w:p>
            <w:pPr>
              <w:ind w:left="100"/>
              <w:spacing w:after="0"/>
              <w:rPr>
                <w:sz w:val="20"/>
                <w:szCs w:val="20"/>
                <w:color w:val="auto"/>
              </w:rPr>
            </w:pPr>
            <w:r>
              <w:rPr>
                <w:rFonts w:ascii="Arial" w:cs="Arial" w:eastAsia="Arial" w:hAnsi="Arial"/>
                <w:sz w:val="14"/>
                <w:szCs w:val="14"/>
                <w:color w:val="auto"/>
              </w:rPr>
              <w:t>Table</w:t>
            </w:r>
          </w:p>
        </w:tc>
        <w:tc>
          <w:tcPr>
            <w:tcW w:w="320" w:type="dxa"/>
            <w:vAlign w:val="bottom"/>
            <w:vMerge w:val="continue"/>
            <w:shd w:val="clear" w:color="auto" w:fill="EDEDED"/>
          </w:tcPr>
          <w:p>
            <w:pPr>
              <w:spacing w:after="0"/>
              <w:rPr>
                <w:sz w:val="9"/>
                <w:szCs w:val="9"/>
                <w:color w:val="auto"/>
              </w:rPr>
            </w:pPr>
          </w:p>
        </w:tc>
        <w:tc>
          <w:tcPr>
            <w:tcW w:w="820" w:type="dxa"/>
            <w:vAlign w:val="bottom"/>
            <w:vMerge w:val="continue"/>
            <w:shd w:val="clear" w:color="auto" w:fill="EDEDED"/>
          </w:tcPr>
          <w:p>
            <w:pPr>
              <w:spacing w:after="0"/>
              <w:rPr>
                <w:sz w:val="9"/>
                <w:szCs w:val="9"/>
                <w:color w:val="auto"/>
              </w:rPr>
            </w:pPr>
          </w:p>
        </w:tc>
        <w:tc>
          <w:tcPr>
            <w:tcW w:w="220" w:type="dxa"/>
            <w:vAlign w:val="bottom"/>
            <w:vMerge w:val="continue"/>
            <w:shd w:val="clear" w:color="auto" w:fill="EDEDED"/>
          </w:tcPr>
          <w:p>
            <w:pPr>
              <w:spacing w:after="0"/>
              <w:rPr>
                <w:sz w:val="9"/>
                <w:szCs w:val="9"/>
                <w:color w:val="auto"/>
              </w:rPr>
            </w:pPr>
          </w:p>
        </w:tc>
        <w:tc>
          <w:tcPr>
            <w:tcW w:w="840" w:type="dxa"/>
            <w:vAlign w:val="bottom"/>
            <w:vMerge w:val="continue"/>
            <w:shd w:val="clear" w:color="auto" w:fill="EDEDED"/>
          </w:tcPr>
          <w:p>
            <w:pPr>
              <w:spacing w:after="0"/>
              <w:rPr>
                <w:sz w:val="9"/>
                <w:szCs w:val="9"/>
                <w:color w:val="auto"/>
              </w:rPr>
            </w:pPr>
          </w:p>
        </w:tc>
        <w:tc>
          <w:tcPr>
            <w:tcW w:w="220" w:type="dxa"/>
            <w:vAlign w:val="bottom"/>
            <w:vMerge w:val="continue"/>
            <w:shd w:val="clear" w:color="auto" w:fill="EDEDED"/>
          </w:tcPr>
          <w:p>
            <w:pPr>
              <w:spacing w:after="0"/>
              <w:rPr>
                <w:sz w:val="9"/>
                <w:szCs w:val="9"/>
                <w:color w:val="auto"/>
              </w:rPr>
            </w:pPr>
          </w:p>
        </w:tc>
        <w:tc>
          <w:tcPr>
            <w:tcW w:w="760" w:type="dxa"/>
            <w:vAlign w:val="bottom"/>
            <w:vMerge w:val="continue"/>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6220" w:type="dxa"/>
            <w:vAlign w:val="bottom"/>
            <w:vMerge w:val="continue"/>
            <w:shd w:val="clear" w:color="auto" w:fill="EDEDED"/>
          </w:tcPr>
          <w:p>
            <w:pPr>
              <w:spacing w:after="0"/>
              <w:rPr>
                <w:sz w:val="5"/>
                <w:szCs w:val="5"/>
                <w:color w:val="auto"/>
              </w:rPr>
            </w:pPr>
          </w:p>
        </w:tc>
        <w:tc>
          <w:tcPr>
            <w:tcW w:w="320" w:type="dxa"/>
            <w:vAlign w:val="bottom"/>
            <w:shd w:val="clear" w:color="auto" w:fill="EDEDED"/>
          </w:tcPr>
          <w:p>
            <w:pPr>
              <w:spacing w:after="0"/>
              <w:rPr>
                <w:sz w:val="5"/>
                <w:szCs w:val="5"/>
                <w:color w:val="auto"/>
              </w:rPr>
            </w:pPr>
          </w:p>
        </w:tc>
        <w:tc>
          <w:tcPr>
            <w:tcW w:w="820" w:type="dxa"/>
            <w:vAlign w:val="bottom"/>
            <w:shd w:val="clear" w:color="auto" w:fill="EDEDED"/>
          </w:tcPr>
          <w:p>
            <w:pPr>
              <w:spacing w:after="0"/>
              <w:rPr>
                <w:sz w:val="5"/>
                <w:szCs w:val="5"/>
                <w:color w:val="auto"/>
              </w:rPr>
            </w:pPr>
          </w:p>
        </w:tc>
        <w:tc>
          <w:tcPr>
            <w:tcW w:w="220" w:type="dxa"/>
            <w:vAlign w:val="bottom"/>
            <w:shd w:val="clear" w:color="auto" w:fill="EDEDED"/>
          </w:tcPr>
          <w:p>
            <w:pPr>
              <w:spacing w:after="0"/>
              <w:rPr>
                <w:sz w:val="5"/>
                <w:szCs w:val="5"/>
                <w:color w:val="auto"/>
              </w:rPr>
            </w:pPr>
          </w:p>
        </w:tc>
        <w:tc>
          <w:tcPr>
            <w:tcW w:w="840" w:type="dxa"/>
            <w:vAlign w:val="bottom"/>
            <w:shd w:val="clear" w:color="auto" w:fill="EDEDED"/>
          </w:tcPr>
          <w:p>
            <w:pPr>
              <w:spacing w:after="0"/>
              <w:rPr>
                <w:sz w:val="5"/>
                <w:szCs w:val="5"/>
                <w:color w:val="auto"/>
              </w:rPr>
            </w:pPr>
          </w:p>
        </w:tc>
        <w:tc>
          <w:tcPr>
            <w:tcW w:w="220" w:type="dxa"/>
            <w:vAlign w:val="bottom"/>
            <w:shd w:val="clear" w:color="auto" w:fill="EDEDED"/>
          </w:tcPr>
          <w:p>
            <w:pPr>
              <w:spacing w:after="0"/>
              <w:rPr>
                <w:sz w:val="5"/>
                <w:szCs w:val="5"/>
                <w:color w:val="auto"/>
              </w:rPr>
            </w:pPr>
          </w:p>
        </w:tc>
        <w:tc>
          <w:tcPr>
            <w:tcW w:w="760" w:type="dxa"/>
            <w:vAlign w:val="bottom"/>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220" w:type="dxa"/>
            <w:vAlign w:val="bottom"/>
          </w:tcPr>
          <w:p>
            <w:pPr>
              <w:ind w:left="100"/>
              <w:spacing w:after="0" w:line="153" w:lineRule="exact"/>
              <w:rPr>
                <w:sz w:val="20"/>
                <w:szCs w:val="20"/>
                <w:color w:val="auto"/>
              </w:rPr>
            </w:pPr>
            <w:r>
              <w:rPr>
                <w:rFonts w:ascii="Arial" w:cs="Arial" w:eastAsia="Arial" w:hAnsi="Arial"/>
                <w:sz w:val="14"/>
                <w:szCs w:val="14"/>
                <w:color w:val="auto"/>
              </w:rPr>
              <w:t>Plus, average year-end fair value of outstanding and unvested equity awards granted in the</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9"/>
              <w:spacing w:after="0"/>
              <w:rPr>
                <w:sz w:val="20"/>
                <w:szCs w:val="20"/>
                <w:color w:val="auto"/>
              </w:rPr>
            </w:pPr>
            <w:r>
              <w:rPr>
                <w:rFonts w:ascii="Arial" w:cs="Arial" w:eastAsia="Arial" w:hAnsi="Arial"/>
                <w:sz w:val="14"/>
                <w:szCs w:val="14"/>
                <w:color w:val="auto"/>
              </w:rPr>
              <w:t>540,995</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29"/>
              <w:spacing w:after="0"/>
              <w:rPr>
                <w:sz w:val="20"/>
                <w:szCs w:val="20"/>
                <w:color w:val="auto"/>
              </w:rPr>
            </w:pPr>
            <w:r>
              <w:rPr>
                <w:rFonts w:ascii="Arial" w:cs="Arial" w:eastAsia="Arial" w:hAnsi="Arial"/>
                <w:sz w:val="14"/>
                <w:szCs w:val="14"/>
                <w:color w:val="auto"/>
              </w:rPr>
              <w:t>718,671</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426,210</w:t>
            </w:r>
          </w:p>
        </w:tc>
        <w:tc>
          <w:tcPr>
            <w:tcW w:w="0" w:type="dxa"/>
            <w:vAlign w:val="bottom"/>
          </w:tcPr>
          <w:p>
            <w:pPr>
              <w:spacing w:after="0"/>
              <w:rPr>
                <w:sz w:val="1"/>
                <w:szCs w:val="1"/>
                <w:color w:val="auto"/>
              </w:rPr>
            </w:pPr>
          </w:p>
        </w:tc>
      </w:tr>
      <w:tr>
        <w:trPr>
          <w:trHeight w:val="109"/>
        </w:trPr>
        <w:tc>
          <w:tcPr>
            <w:tcW w:w="6220" w:type="dxa"/>
            <w:vAlign w:val="bottom"/>
            <w:vMerge w:val="restart"/>
          </w:tcPr>
          <w:p>
            <w:pPr>
              <w:ind w:left="100"/>
              <w:spacing w:after="0"/>
              <w:rPr>
                <w:sz w:val="20"/>
                <w:szCs w:val="20"/>
                <w:color w:val="auto"/>
              </w:rPr>
            </w:pPr>
            <w:r>
              <w:rPr>
                <w:rFonts w:ascii="Arial" w:cs="Arial" w:eastAsia="Arial" w:hAnsi="Arial"/>
                <w:sz w:val="14"/>
                <w:szCs w:val="14"/>
                <w:color w:val="auto"/>
              </w:rPr>
              <w:t>year</w:t>
            </w:r>
          </w:p>
        </w:tc>
        <w:tc>
          <w:tcPr>
            <w:tcW w:w="3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62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220" w:type="dxa"/>
            <w:vAlign w:val="bottom"/>
            <w:shd w:val="clear" w:color="auto" w:fill="EDEDED"/>
          </w:tcPr>
          <w:p>
            <w:pPr>
              <w:ind w:left="100"/>
              <w:spacing w:after="0" w:line="153" w:lineRule="exact"/>
              <w:rPr>
                <w:sz w:val="20"/>
                <w:szCs w:val="20"/>
                <w:color w:val="auto"/>
              </w:rPr>
            </w:pPr>
            <w:r>
              <w:rPr>
                <w:rFonts w:ascii="Arial" w:cs="Arial" w:eastAsia="Arial" w:hAnsi="Arial"/>
                <w:sz w:val="14"/>
                <w:szCs w:val="14"/>
                <w:color w:val="auto"/>
              </w:rPr>
              <w:t>Plus (less), average year over year change in fair value of outstanding and unvested equity</w:t>
            </w:r>
          </w:p>
        </w:tc>
        <w:tc>
          <w:tcPr>
            <w:tcW w:w="3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EDEDED"/>
          </w:tcPr>
          <w:p>
            <w:pPr>
              <w:jc w:val="right"/>
              <w:ind w:right="49"/>
              <w:spacing w:after="0"/>
              <w:rPr>
                <w:sz w:val="20"/>
                <w:szCs w:val="20"/>
                <w:color w:val="auto"/>
              </w:rPr>
            </w:pPr>
            <w:r>
              <w:rPr>
                <w:rFonts w:ascii="Arial" w:cs="Arial" w:eastAsia="Arial" w:hAnsi="Arial"/>
                <w:sz w:val="14"/>
                <w:szCs w:val="14"/>
                <w:color w:val="auto"/>
              </w:rPr>
              <w:t>(210,549)</w:t>
            </w:r>
          </w:p>
        </w:tc>
        <w:tc>
          <w:tcPr>
            <w:tcW w:w="2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EDEDED"/>
          </w:tcPr>
          <w:p>
            <w:pPr>
              <w:jc w:val="right"/>
              <w:ind w:right="129"/>
              <w:spacing w:after="0"/>
              <w:rPr>
                <w:sz w:val="20"/>
                <w:szCs w:val="20"/>
                <w:color w:val="auto"/>
              </w:rPr>
            </w:pPr>
            <w:r>
              <w:rPr>
                <w:rFonts w:ascii="Arial" w:cs="Arial" w:eastAsia="Arial" w:hAnsi="Arial"/>
                <w:sz w:val="14"/>
                <w:szCs w:val="14"/>
                <w:color w:val="auto"/>
              </w:rPr>
              <w:t>157,512</w:t>
            </w:r>
          </w:p>
        </w:tc>
        <w:tc>
          <w:tcPr>
            <w:tcW w:w="2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(46,682)</w:t>
            </w:r>
          </w:p>
        </w:tc>
        <w:tc>
          <w:tcPr>
            <w:tcW w:w="0" w:type="dxa"/>
            <w:vAlign w:val="bottom"/>
          </w:tcPr>
          <w:p>
            <w:pPr>
              <w:spacing w:after="0"/>
              <w:rPr>
                <w:sz w:val="1"/>
                <w:szCs w:val="1"/>
                <w:color w:val="auto"/>
              </w:rPr>
            </w:pPr>
          </w:p>
        </w:tc>
      </w:tr>
      <w:tr>
        <w:trPr>
          <w:trHeight w:val="109"/>
        </w:trPr>
        <w:tc>
          <w:tcPr>
            <w:tcW w:w="6220" w:type="dxa"/>
            <w:vAlign w:val="bottom"/>
            <w:vMerge w:val="restart"/>
            <w:shd w:val="clear" w:color="auto" w:fill="EDEDED"/>
          </w:tcPr>
          <w:p>
            <w:pPr>
              <w:ind w:left="100"/>
              <w:spacing w:after="0"/>
              <w:rPr>
                <w:sz w:val="20"/>
                <w:szCs w:val="20"/>
                <w:color w:val="auto"/>
              </w:rPr>
            </w:pPr>
            <w:r>
              <w:rPr>
                <w:rFonts w:ascii="Arial" w:cs="Arial" w:eastAsia="Arial" w:hAnsi="Arial"/>
                <w:sz w:val="14"/>
                <w:szCs w:val="14"/>
                <w:color w:val="auto"/>
              </w:rPr>
              <w:t>awards granted in prior years</w:t>
            </w:r>
          </w:p>
        </w:tc>
        <w:tc>
          <w:tcPr>
            <w:tcW w:w="320" w:type="dxa"/>
            <w:vAlign w:val="bottom"/>
            <w:vMerge w:val="continue"/>
            <w:shd w:val="clear" w:color="auto" w:fill="EDEDED"/>
          </w:tcPr>
          <w:p>
            <w:pPr>
              <w:spacing w:after="0"/>
              <w:rPr>
                <w:sz w:val="9"/>
                <w:szCs w:val="9"/>
                <w:color w:val="auto"/>
              </w:rPr>
            </w:pPr>
          </w:p>
        </w:tc>
        <w:tc>
          <w:tcPr>
            <w:tcW w:w="820" w:type="dxa"/>
            <w:vAlign w:val="bottom"/>
            <w:vMerge w:val="continue"/>
            <w:shd w:val="clear" w:color="auto" w:fill="EDEDED"/>
          </w:tcPr>
          <w:p>
            <w:pPr>
              <w:spacing w:after="0"/>
              <w:rPr>
                <w:sz w:val="9"/>
                <w:szCs w:val="9"/>
                <w:color w:val="auto"/>
              </w:rPr>
            </w:pPr>
          </w:p>
        </w:tc>
        <w:tc>
          <w:tcPr>
            <w:tcW w:w="220" w:type="dxa"/>
            <w:vAlign w:val="bottom"/>
            <w:vMerge w:val="continue"/>
            <w:shd w:val="clear" w:color="auto" w:fill="EDEDED"/>
          </w:tcPr>
          <w:p>
            <w:pPr>
              <w:spacing w:after="0"/>
              <w:rPr>
                <w:sz w:val="9"/>
                <w:szCs w:val="9"/>
                <w:color w:val="auto"/>
              </w:rPr>
            </w:pPr>
          </w:p>
        </w:tc>
        <w:tc>
          <w:tcPr>
            <w:tcW w:w="840" w:type="dxa"/>
            <w:vAlign w:val="bottom"/>
            <w:vMerge w:val="continue"/>
            <w:shd w:val="clear" w:color="auto" w:fill="EDEDED"/>
          </w:tcPr>
          <w:p>
            <w:pPr>
              <w:spacing w:after="0"/>
              <w:rPr>
                <w:sz w:val="9"/>
                <w:szCs w:val="9"/>
                <w:color w:val="auto"/>
              </w:rPr>
            </w:pPr>
          </w:p>
        </w:tc>
        <w:tc>
          <w:tcPr>
            <w:tcW w:w="220" w:type="dxa"/>
            <w:vAlign w:val="bottom"/>
            <w:vMerge w:val="continue"/>
            <w:shd w:val="clear" w:color="auto" w:fill="EDEDED"/>
          </w:tcPr>
          <w:p>
            <w:pPr>
              <w:spacing w:after="0"/>
              <w:rPr>
                <w:sz w:val="9"/>
                <w:szCs w:val="9"/>
                <w:color w:val="auto"/>
              </w:rPr>
            </w:pPr>
          </w:p>
        </w:tc>
        <w:tc>
          <w:tcPr>
            <w:tcW w:w="760" w:type="dxa"/>
            <w:vAlign w:val="bottom"/>
            <w:vMerge w:val="continue"/>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6220" w:type="dxa"/>
            <w:vAlign w:val="bottom"/>
            <w:vMerge w:val="continue"/>
            <w:shd w:val="clear" w:color="auto" w:fill="EDEDED"/>
          </w:tcPr>
          <w:p>
            <w:pPr>
              <w:spacing w:after="0"/>
              <w:rPr>
                <w:sz w:val="5"/>
                <w:szCs w:val="5"/>
                <w:color w:val="auto"/>
              </w:rPr>
            </w:pPr>
          </w:p>
        </w:tc>
        <w:tc>
          <w:tcPr>
            <w:tcW w:w="320" w:type="dxa"/>
            <w:vAlign w:val="bottom"/>
            <w:shd w:val="clear" w:color="auto" w:fill="EDEDED"/>
          </w:tcPr>
          <w:p>
            <w:pPr>
              <w:spacing w:after="0"/>
              <w:rPr>
                <w:sz w:val="5"/>
                <w:szCs w:val="5"/>
                <w:color w:val="auto"/>
              </w:rPr>
            </w:pPr>
          </w:p>
        </w:tc>
        <w:tc>
          <w:tcPr>
            <w:tcW w:w="820" w:type="dxa"/>
            <w:vAlign w:val="bottom"/>
            <w:shd w:val="clear" w:color="auto" w:fill="EDEDED"/>
          </w:tcPr>
          <w:p>
            <w:pPr>
              <w:spacing w:after="0"/>
              <w:rPr>
                <w:sz w:val="5"/>
                <w:szCs w:val="5"/>
                <w:color w:val="auto"/>
              </w:rPr>
            </w:pPr>
          </w:p>
        </w:tc>
        <w:tc>
          <w:tcPr>
            <w:tcW w:w="220" w:type="dxa"/>
            <w:vAlign w:val="bottom"/>
            <w:shd w:val="clear" w:color="auto" w:fill="EDEDED"/>
          </w:tcPr>
          <w:p>
            <w:pPr>
              <w:spacing w:after="0"/>
              <w:rPr>
                <w:sz w:val="5"/>
                <w:szCs w:val="5"/>
                <w:color w:val="auto"/>
              </w:rPr>
            </w:pPr>
          </w:p>
        </w:tc>
        <w:tc>
          <w:tcPr>
            <w:tcW w:w="840" w:type="dxa"/>
            <w:vAlign w:val="bottom"/>
            <w:shd w:val="clear" w:color="auto" w:fill="EDEDED"/>
          </w:tcPr>
          <w:p>
            <w:pPr>
              <w:spacing w:after="0"/>
              <w:rPr>
                <w:sz w:val="5"/>
                <w:szCs w:val="5"/>
                <w:color w:val="auto"/>
              </w:rPr>
            </w:pPr>
          </w:p>
        </w:tc>
        <w:tc>
          <w:tcPr>
            <w:tcW w:w="220" w:type="dxa"/>
            <w:vAlign w:val="bottom"/>
            <w:shd w:val="clear" w:color="auto" w:fill="EDEDED"/>
          </w:tcPr>
          <w:p>
            <w:pPr>
              <w:spacing w:after="0"/>
              <w:rPr>
                <w:sz w:val="5"/>
                <w:szCs w:val="5"/>
                <w:color w:val="auto"/>
              </w:rPr>
            </w:pPr>
          </w:p>
        </w:tc>
        <w:tc>
          <w:tcPr>
            <w:tcW w:w="760" w:type="dxa"/>
            <w:vAlign w:val="bottom"/>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220" w:type="dxa"/>
            <w:vAlign w:val="bottom"/>
          </w:tcPr>
          <w:p>
            <w:pPr>
              <w:ind w:left="100"/>
              <w:spacing w:after="0" w:line="153" w:lineRule="exact"/>
              <w:rPr>
                <w:sz w:val="20"/>
                <w:szCs w:val="20"/>
                <w:color w:val="auto"/>
              </w:rPr>
            </w:pPr>
            <w:r>
              <w:rPr>
                <w:rFonts w:ascii="Arial" w:cs="Arial" w:eastAsia="Arial" w:hAnsi="Arial"/>
                <w:sz w:val="14"/>
                <w:szCs w:val="14"/>
                <w:color w:val="auto"/>
              </w:rPr>
              <w:t>Plus (less), average change in fair value from prior year-end to vesting date of equity awards</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49"/>
              <w:spacing w:after="0"/>
              <w:rPr>
                <w:sz w:val="20"/>
                <w:szCs w:val="20"/>
                <w:color w:val="auto"/>
              </w:rPr>
            </w:pPr>
            <w:r>
              <w:rPr>
                <w:rFonts w:ascii="Arial" w:cs="Arial" w:eastAsia="Arial" w:hAnsi="Arial"/>
                <w:sz w:val="14"/>
                <w:szCs w:val="14"/>
                <w:color w:val="auto"/>
              </w:rPr>
              <w:t>(3,327)</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69"/>
              <w:spacing w:after="0"/>
              <w:rPr>
                <w:sz w:val="20"/>
                <w:szCs w:val="20"/>
                <w:color w:val="auto"/>
              </w:rPr>
            </w:pPr>
            <w:r>
              <w:rPr>
                <w:rFonts w:ascii="Arial" w:cs="Arial" w:eastAsia="Arial" w:hAnsi="Arial"/>
                <w:sz w:val="14"/>
                <w:szCs w:val="14"/>
                <w:color w:val="auto"/>
              </w:rPr>
              <w:t>(8,866)</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109"/>
        </w:trPr>
        <w:tc>
          <w:tcPr>
            <w:tcW w:w="6220" w:type="dxa"/>
            <w:vAlign w:val="bottom"/>
            <w:vMerge w:val="restart"/>
          </w:tcPr>
          <w:p>
            <w:pPr>
              <w:ind w:left="100"/>
              <w:spacing w:after="0"/>
              <w:rPr>
                <w:sz w:val="20"/>
                <w:szCs w:val="20"/>
                <w:color w:val="auto"/>
              </w:rPr>
            </w:pPr>
            <w:r>
              <w:rPr>
                <w:rFonts w:ascii="Arial" w:cs="Arial" w:eastAsia="Arial" w:hAnsi="Arial"/>
                <w:sz w:val="14"/>
                <w:szCs w:val="14"/>
                <w:color w:val="auto"/>
              </w:rPr>
              <w:t>granted in prior years that vested in the year</w:t>
            </w:r>
          </w:p>
        </w:tc>
        <w:tc>
          <w:tcPr>
            <w:tcW w:w="3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62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EDEDED"/>
          </w:tcPr>
          <w:p>
            <w:pPr>
              <w:spacing w:after="0"/>
              <w:rPr>
                <w:sz w:val="20"/>
                <w:szCs w:val="20"/>
                <w:color w:val="auto"/>
              </w:rPr>
            </w:pPr>
            <w:r>
              <w:rPr>
                <w:rFonts w:ascii="Arial" w:cs="Arial" w:eastAsia="Arial" w:hAnsi="Arial"/>
                <w:sz w:val="14"/>
                <w:szCs w:val="14"/>
                <w:b w:val="1"/>
                <w:bCs w:val="1"/>
                <w:color w:val="112B19"/>
              </w:rPr>
              <w:t>Average Compensation Actually Paid to Non-CEO NEOs</w:t>
            </w:r>
          </w:p>
        </w:tc>
        <w:tc>
          <w:tcPr>
            <w:tcW w:w="320" w:type="dxa"/>
            <w:vAlign w:val="bottom"/>
            <w:shd w:val="clear" w:color="auto" w:fill="EDEDED"/>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EDEDED"/>
          </w:tcPr>
          <w:p>
            <w:pPr>
              <w:jc w:val="right"/>
              <w:ind w:right="109"/>
              <w:spacing w:after="0"/>
              <w:rPr>
                <w:sz w:val="20"/>
                <w:szCs w:val="20"/>
                <w:color w:val="auto"/>
              </w:rPr>
            </w:pPr>
            <w:r>
              <w:rPr>
                <w:rFonts w:ascii="Arial" w:cs="Arial" w:eastAsia="Arial" w:hAnsi="Arial"/>
                <w:sz w:val="14"/>
                <w:szCs w:val="14"/>
                <w:b w:val="1"/>
                <w:bCs w:val="1"/>
                <w:color w:val="auto"/>
              </w:rPr>
              <w:t>1,362,11</w:t>
            </w:r>
          </w:p>
        </w:tc>
        <w:tc>
          <w:tcPr>
            <w:tcW w:w="220" w:type="dxa"/>
            <w:vAlign w:val="bottom"/>
            <w:shd w:val="clear" w:color="auto" w:fill="EDEDED"/>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DEDED"/>
          </w:tcPr>
          <w:p>
            <w:pPr>
              <w:jc w:val="right"/>
              <w:ind w:right="109"/>
              <w:spacing w:after="0"/>
              <w:rPr>
                <w:sz w:val="20"/>
                <w:szCs w:val="20"/>
                <w:color w:val="auto"/>
              </w:rPr>
            </w:pPr>
            <w:r>
              <w:rPr>
                <w:rFonts w:ascii="Arial" w:cs="Arial" w:eastAsia="Arial" w:hAnsi="Arial"/>
                <w:sz w:val="14"/>
                <w:szCs w:val="14"/>
                <w:b w:val="1"/>
                <w:bCs w:val="1"/>
                <w:color w:val="auto"/>
              </w:rPr>
              <w:t>2,018,87</w:t>
            </w:r>
          </w:p>
        </w:tc>
        <w:tc>
          <w:tcPr>
            <w:tcW w:w="220" w:type="dxa"/>
            <w:vAlign w:val="bottom"/>
            <w:shd w:val="clear" w:color="auto" w:fill="EDEDED"/>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EDEDED"/>
          </w:tcPr>
          <w:p>
            <w:pPr>
              <w:jc w:val="right"/>
              <w:ind w:right="28"/>
              <w:spacing w:after="0"/>
              <w:rPr>
                <w:sz w:val="20"/>
                <w:szCs w:val="20"/>
                <w:color w:val="auto"/>
              </w:rPr>
            </w:pPr>
            <w:r>
              <w:rPr>
                <w:rFonts w:ascii="Arial" w:cs="Arial" w:eastAsia="Arial" w:hAnsi="Arial"/>
                <w:sz w:val="14"/>
                <w:szCs w:val="14"/>
                <w:b w:val="1"/>
                <w:bCs w:val="1"/>
                <w:color w:val="auto"/>
              </w:rPr>
              <w:t>933,576</w:t>
            </w:r>
          </w:p>
        </w:tc>
        <w:tc>
          <w:tcPr>
            <w:tcW w:w="0" w:type="dxa"/>
            <w:vAlign w:val="bottom"/>
          </w:tcPr>
          <w:p>
            <w:pPr>
              <w:spacing w:after="0"/>
              <w:rPr>
                <w:sz w:val="1"/>
                <w:szCs w:val="1"/>
                <w:color w:val="auto"/>
              </w:rPr>
            </w:pPr>
          </w:p>
        </w:tc>
      </w:tr>
      <w:tr>
        <w:trPr>
          <w:trHeight w:val="108"/>
        </w:trPr>
        <w:tc>
          <w:tcPr>
            <w:tcW w:w="6220" w:type="dxa"/>
            <w:vAlign w:val="bottom"/>
            <w:tcBorders>
              <w:bottom w:val="single" w:sz="8" w:color="112B19"/>
            </w:tcBorders>
            <w:shd w:val="clear" w:color="auto" w:fill="EDEDED"/>
          </w:tcPr>
          <w:p>
            <w:pPr>
              <w:spacing w:after="0"/>
              <w:rPr>
                <w:sz w:val="9"/>
                <w:szCs w:val="9"/>
                <w:color w:val="auto"/>
              </w:rPr>
            </w:pPr>
          </w:p>
        </w:tc>
        <w:tc>
          <w:tcPr>
            <w:tcW w:w="320" w:type="dxa"/>
            <w:vAlign w:val="bottom"/>
            <w:tcBorders>
              <w:bottom w:val="single" w:sz="8" w:color="112B19"/>
            </w:tcBorders>
            <w:shd w:val="clear" w:color="auto" w:fill="EDEDED"/>
          </w:tcPr>
          <w:p>
            <w:pPr>
              <w:spacing w:after="0"/>
              <w:rPr>
                <w:sz w:val="9"/>
                <w:szCs w:val="9"/>
                <w:color w:val="auto"/>
              </w:rPr>
            </w:pPr>
          </w:p>
        </w:tc>
        <w:tc>
          <w:tcPr>
            <w:tcW w:w="820" w:type="dxa"/>
            <w:vAlign w:val="bottom"/>
            <w:tcBorders>
              <w:bottom w:val="single" w:sz="8" w:color="112B19"/>
            </w:tcBorders>
            <w:shd w:val="clear" w:color="auto" w:fill="EDEDED"/>
          </w:tcPr>
          <w:p>
            <w:pPr>
              <w:jc w:val="right"/>
              <w:ind w:right="109"/>
              <w:spacing w:after="0" w:line="108" w:lineRule="exact"/>
              <w:rPr>
                <w:sz w:val="20"/>
                <w:szCs w:val="20"/>
                <w:color w:val="auto"/>
              </w:rPr>
            </w:pPr>
            <w:r>
              <w:rPr>
                <w:rFonts w:ascii="Arial" w:cs="Arial" w:eastAsia="Arial" w:hAnsi="Arial"/>
                <w:sz w:val="12"/>
                <w:szCs w:val="12"/>
                <w:b w:val="1"/>
                <w:bCs w:val="1"/>
                <w:color w:val="auto"/>
              </w:rPr>
              <w:t>0</w:t>
            </w:r>
          </w:p>
        </w:tc>
        <w:tc>
          <w:tcPr>
            <w:tcW w:w="220" w:type="dxa"/>
            <w:vAlign w:val="bottom"/>
            <w:tcBorders>
              <w:bottom w:val="single" w:sz="8" w:color="112B19"/>
            </w:tcBorders>
            <w:shd w:val="clear" w:color="auto" w:fill="EDEDED"/>
          </w:tcPr>
          <w:p>
            <w:pPr>
              <w:spacing w:after="0"/>
              <w:rPr>
                <w:sz w:val="9"/>
                <w:szCs w:val="9"/>
                <w:color w:val="auto"/>
              </w:rPr>
            </w:pPr>
          </w:p>
        </w:tc>
        <w:tc>
          <w:tcPr>
            <w:tcW w:w="840" w:type="dxa"/>
            <w:vAlign w:val="bottom"/>
            <w:tcBorders>
              <w:bottom w:val="single" w:sz="8" w:color="112B19"/>
            </w:tcBorders>
            <w:shd w:val="clear" w:color="auto" w:fill="EDEDED"/>
          </w:tcPr>
          <w:p>
            <w:pPr>
              <w:jc w:val="right"/>
              <w:ind w:right="129"/>
              <w:spacing w:after="0" w:line="108" w:lineRule="exact"/>
              <w:rPr>
                <w:sz w:val="20"/>
                <w:szCs w:val="20"/>
                <w:color w:val="auto"/>
              </w:rPr>
            </w:pPr>
            <w:r>
              <w:rPr>
                <w:rFonts w:ascii="Arial" w:cs="Arial" w:eastAsia="Arial" w:hAnsi="Arial"/>
                <w:sz w:val="12"/>
                <w:szCs w:val="12"/>
                <w:b w:val="1"/>
                <w:bCs w:val="1"/>
                <w:color w:val="auto"/>
              </w:rPr>
              <w:t>1</w:t>
            </w:r>
          </w:p>
        </w:tc>
        <w:tc>
          <w:tcPr>
            <w:tcW w:w="220" w:type="dxa"/>
            <w:vAlign w:val="bottom"/>
            <w:tcBorders>
              <w:bottom w:val="single" w:sz="8" w:color="112B19"/>
            </w:tcBorders>
            <w:shd w:val="clear" w:color="auto" w:fill="EDEDED"/>
          </w:tcPr>
          <w:p>
            <w:pPr>
              <w:spacing w:after="0"/>
              <w:rPr>
                <w:sz w:val="9"/>
                <w:szCs w:val="9"/>
                <w:color w:val="auto"/>
              </w:rPr>
            </w:pPr>
          </w:p>
        </w:tc>
        <w:tc>
          <w:tcPr>
            <w:tcW w:w="760" w:type="dxa"/>
            <w:vAlign w:val="bottom"/>
            <w:tcBorders>
              <w:bottom w:val="single" w:sz="8" w:color="112B19"/>
            </w:tcBorders>
            <w:shd w:val="clear" w:color="auto" w:fill="EDEDED"/>
          </w:tcPr>
          <w:p>
            <w:pPr>
              <w:spacing w:after="0"/>
              <w:rPr>
                <w:sz w:val="9"/>
                <w:szCs w:val="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right="140" w:hanging="314"/>
        <w:spacing w:after="0" w:line="248" w:lineRule="auto"/>
        <w:tabs>
          <w:tab w:leader="none" w:pos="320" w:val="left"/>
        </w:tabs>
        <w:numPr>
          <w:ilvl w:val="0"/>
          <w:numId w:val="54"/>
        </w:numPr>
        <w:rPr>
          <w:rFonts w:ascii="Times New Roman" w:cs="Times New Roman" w:eastAsia="Times New Roman" w:hAnsi="Times New Roman"/>
          <w:sz w:val="14"/>
          <w:szCs w:val="14"/>
          <w:color w:val="050A35"/>
        </w:rPr>
      </w:pPr>
      <w:r>
        <w:rPr>
          <w:rFonts w:ascii="Arial" w:cs="Arial" w:eastAsia="Arial" w:hAnsi="Arial"/>
          <w:sz w:val="14"/>
          <w:szCs w:val="14"/>
          <w:color w:val="050A35"/>
        </w:rPr>
        <w:t>Reflects the cumulative total stockholder return of the Company for the year ended December 31, 2023, the two years ended December 31, 2024, and the three years ended December 31, 2025, assuming a $100 investment at the closing stock price on December 31, 2022 and the reinvestment of all dividends.</w:t>
      </w:r>
    </w:p>
    <w:p>
      <w:pPr>
        <w:ind w:left="320" w:hanging="314"/>
        <w:spacing w:after="0"/>
        <w:tabs>
          <w:tab w:leader="none" w:pos="320" w:val="left"/>
        </w:tabs>
        <w:numPr>
          <w:ilvl w:val="0"/>
          <w:numId w:val="54"/>
        </w:numPr>
        <w:rPr>
          <w:rFonts w:ascii="Times New Roman" w:cs="Times New Roman" w:eastAsia="Times New Roman" w:hAnsi="Times New Roman"/>
          <w:sz w:val="14"/>
          <w:szCs w:val="14"/>
          <w:color w:val="050A35"/>
        </w:rPr>
      </w:pPr>
      <w:r>
        <w:rPr>
          <w:rFonts w:ascii="Arial" w:cs="Arial" w:eastAsia="Arial" w:hAnsi="Arial"/>
          <w:sz w:val="14"/>
          <w:szCs w:val="14"/>
          <w:color w:val="050A35"/>
        </w:rPr>
        <w:t>The peer group used for this purpose is the: Dow Jones US Asset Managers Index.</w:t>
      </w:r>
    </w:p>
    <w:p>
      <w:pPr>
        <w:ind w:left="320" w:right="240" w:hanging="314"/>
        <w:spacing w:after="0" w:line="241" w:lineRule="auto"/>
        <w:tabs>
          <w:tab w:leader="none" w:pos="320" w:val="left"/>
        </w:tabs>
        <w:numPr>
          <w:ilvl w:val="0"/>
          <w:numId w:val="54"/>
        </w:numPr>
        <w:rPr>
          <w:rFonts w:ascii="Times New Roman" w:cs="Times New Roman" w:eastAsia="Times New Roman" w:hAnsi="Times New Roman"/>
          <w:sz w:val="14"/>
          <w:szCs w:val="14"/>
          <w:color w:val="050A35"/>
        </w:rPr>
      </w:pPr>
      <w:r>
        <w:rPr>
          <w:rFonts w:ascii="Arial" w:cs="Arial" w:eastAsia="Arial" w:hAnsi="Arial"/>
          <w:sz w:val="14"/>
          <w:szCs w:val="14"/>
          <w:color w:val="050A35"/>
        </w:rPr>
        <w:t>The dollar amounts reported represent the amount of net income reflected in the Company’s audited financial statements for the applicable year.</w:t>
      </w:r>
    </w:p>
    <w:p>
      <w:pPr>
        <w:ind w:left="320" w:right="60" w:hanging="314"/>
        <w:spacing w:after="0" w:line="248" w:lineRule="auto"/>
        <w:tabs>
          <w:tab w:leader="none" w:pos="320" w:val="left"/>
        </w:tabs>
        <w:numPr>
          <w:ilvl w:val="0"/>
          <w:numId w:val="54"/>
        </w:numPr>
        <w:rPr>
          <w:rFonts w:ascii="Times New Roman" w:cs="Times New Roman" w:eastAsia="Times New Roman" w:hAnsi="Times New Roman"/>
          <w:sz w:val="14"/>
          <w:szCs w:val="14"/>
          <w:color w:val="050A35"/>
        </w:rPr>
      </w:pPr>
      <w:r>
        <w:rPr>
          <w:rFonts w:ascii="Arial" w:cs="Arial" w:eastAsia="Arial" w:hAnsi="Arial"/>
          <w:sz w:val="14"/>
          <w:szCs w:val="14"/>
          <w:color w:val="050A35"/>
        </w:rPr>
        <w:t>For purposes of Item 402(v)(2)(iii) of Regulation S-K and as further described below in “Tabular List of Most Important Performance Measures”, we have identified Fee Related Earnings (“FRE”) as our Company-Selected Measure. FRE is described in “Item 7. Management’s Discussion and Analysis of Financial Condition and Results of Operations”—“Non-GAAP Financial Measures” of our Annual Report on Form 10-K for the year ended December 31, 2025. For an explanation of how we calculate FRE, please see Appendix A.</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Financial Performance Measures</w:t>
      </w:r>
    </w:p>
    <w:p>
      <w:pPr>
        <w:spacing w:after="0" w:line="106" w:lineRule="exact"/>
        <w:rPr>
          <w:sz w:val="20"/>
          <w:szCs w:val="20"/>
          <w:color w:val="auto"/>
        </w:rPr>
      </w:pPr>
    </w:p>
    <w:p>
      <w:pPr>
        <w:ind w:right="340"/>
        <w:spacing w:after="0" w:line="244" w:lineRule="auto"/>
        <w:rPr>
          <w:sz w:val="20"/>
          <w:szCs w:val="20"/>
          <w:color w:val="auto"/>
        </w:rPr>
      </w:pPr>
      <w:r>
        <w:rPr>
          <w:rFonts w:ascii="Arial" w:cs="Arial" w:eastAsia="Arial" w:hAnsi="Arial"/>
          <w:sz w:val="15"/>
          <w:szCs w:val="15"/>
          <w:color w:val="050A35"/>
        </w:rPr>
        <w:t>As described further under “Compensation Discussion and Analysis,” the Company’s executive compensation program reflects our performance-based compensation culture. The financial performance measures used by the Company to link executive compensation actually paid for fiscal 2025 to the Company’s performance are as follows:</w:t>
      </w:r>
    </w:p>
    <w:p>
      <w:pPr>
        <w:spacing w:after="0" w:line="68" w:lineRule="exact"/>
        <w:rPr>
          <w:sz w:val="20"/>
          <w:szCs w:val="20"/>
          <w:color w:val="auto"/>
        </w:rPr>
      </w:pPr>
    </w:p>
    <w:p>
      <w:pPr>
        <w:ind w:left="260" w:hanging="254"/>
        <w:spacing w:after="0"/>
        <w:tabs>
          <w:tab w:leader="none" w:pos="260" w:val="left"/>
        </w:tabs>
        <w:numPr>
          <w:ilvl w:val="0"/>
          <w:numId w:val="55"/>
        </w:numPr>
        <w:rPr>
          <w:rFonts w:ascii="Times New Roman" w:cs="Times New Roman" w:eastAsia="Times New Roman" w:hAnsi="Times New Roman"/>
          <w:sz w:val="15"/>
          <w:szCs w:val="15"/>
          <w:color w:val="112B19"/>
        </w:rPr>
      </w:pPr>
      <w:r>
        <w:rPr>
          <w:rFonts w:ascii="Arial" w:cs="Arial" w:eastAsia="Arial" w:hAnsi="Arial"/>
          <w:sz w:val="15"/>
          <w:szCs w:val="15"/>
          <w:color w:val="050A35"/>
        </w:rPr>
        <w:t>Fee-Related Earnings</w:t>
      </w:r>
    </w:p>
    <w:p>
      <w:pPr>
        <w:spacing w:after="0" w:line="96" w:lineRule="exact"/>
        <w:rPr>
          <w:rFonts w:ascii="Times New Roman" w:cs="Times New Roman" w:eastAsia="Times New Roman" w:hAnsi="Times New Roman"/>
          <w:sz w:val="15"/>
          <w:szCs w:val="15"/>
          <w:color w:val="112B19"/>
        </w:rPr>
      </w:pPr>
    </w:p>
    <w:p>
      <w:pPr>
        <w:ind w:left="260" w:hanging="254"/>
        <w:spacing w:after="0"/>
        <w:tabs>
          <w:tab w:leader="none" w:pos="260" w:val="left"/>
        </w:tabs>
        <w:numPr>
          <w:ilvl w:val="0"/>
          <w:numId w:val="55"/>
        </w:numPr>
        <w:rPr>
          <w:rFonts w:ascii="Times New Roman" w:cs="Times New Roman" w:eastAsia="Times New Roman" w:hAnsi="Times New Roman"/>
          <w:sz w:val="15"/>
          <w:szCs w:val="15"/>
          <w:color w:val="112B19"/>
        </w:rPr>
      </w:pPr>
      <w:r>
        <w:rPr>
          <w:rFonts w:ascii="Arial" w:cs="Arial" w:eastAsia="Arial" w:hAnsi="Arial"/>
          <w:sz w:val="15"/>
          <w:szCs w:val="15"/>
          <w:color w:val="050A35"/>
        </w:rPr>
        <w:t>Fee-Related Revenue</w:t>
      </w:r>
    </w:p>
    <w:p>
      <w:pPr>
        <w:spacing w:after="0" w:line="96" w:lineRule="exact"/>
        <w:rPr>
          <w:rFonts w:ascii="Times New Roman" w:cs="Times New Roman" w:eastAsia="Times New Roman" w:hAnsi="Times New Roman"/>
          <w:sz w:val="15"/>
          <w:szCs w:val="15"/>
          <w:color w:val="112B19"/>
        </w:rPr>
      </w:pPr>
    </w:p>
    <w:p>
      <w:pPr>
        <w:ind w:left="260" w:hanging="254"/>
        <w:spacing w:after="0"/>
        <w:tabs>
          <w:tab w:leader="none" w:pos="260" w:val="left"/>
        </w:tabs>
        <w:numPr>
          <w:ilvl w:val="0"/>
          <w:numId w:val="55"/>
        </w:numPr>
        <w:rPr>
          <w:rFonts w:ascii="Times New Roman" w:cs="Times New Roman" w:eastAsia="Times New Roman" w:hAnsi="Times New Roman"/>
          <w:sz w:val="15"/>
          <w:szCs w:val="15"/>
          <w:color w:val="112B19"/>
        </w:rPr>
      </w:pPr>
      <w:r>
        <w:rPr>
          <w:rFonts w:ascii="Arial" w:cs="Arial" w:eastAsia="Arial" w:hAnsi="Arial"/>
          <w:sz w:val="15"/>
          <w:szCs w:val="15"/>
          <w:color w:val="050A35"/>
        </w:rPr>
        <w:t>Fee-Paying Assets Under Management</w:t>
      </w:r>
    </w:p>
    <w:p>
      <w:pPr>
        <w:spacing w:after="0" w:line="96" w:lineRule="exact"/>
        <w:rPr>
          <w:rFonts w:ascii="Times New Roman" w:cs="Times New Roman" w:eastAsia="Times New Roman" w:hAnsi="Times New Roman"/>
          <w:sz w:val="15"/>
          <w:szCs w:val="15"/>
          <w:color w:val="112B19"/>
        </w:rPr>
      </w:pPr>
    </w:p>
    <w:p>
      <w:pPr>
        <w:ind w:left="260" w:hanging="254"/>
        <w:spacing w:after="0"/>
        <w:tabs>
          <w:tab w:leader="none" w:pos="260" w:val="left"/>
        </w:tabs>
        <w:numPr>
          <w:ilvl w:val="0"/>
          <w:numId w:val="55"/>
        </w:numPr>
        <w:rPr>
          <w:rFonts w:ascii="Times New Roman" w:cs="Times New Roman" w:eastAsia="Times New Roman" w:hAnsi="Times New Roman"/>
          <w:sz w:val="15"/>
          <w:szCs w:val="15"/>
          <w:color w:val="050A35"/>
        </w:rPr>
      </w:pPr>
      <w:r>
        <w:rPr>
          <w:rFonts w:ascii="Arial" w:cs="Arial" w:eastAsia="Arial" w:hAnsi="Arial"/>
          <w:sz w:val="15"/>
          <w:szCs w:val="15"/>
          <w:color w:val="050A35"/>
        </w:rPr>
        <w:t>Adjusted Net Income per Share</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Description of Relationship Between Financial Metrics and Compensation Actually Paid</w:t>
      </w:r>
    </w:p>
    <w:p>
      <w:pPr>
        <w:spacing w:after="0" w:line="106" w:lineRule="exact"/>
        <w:rPr>
          <w:sz w:val="20"/>
          <w:szCs w:val="20"/>
          <w:color w:val="auto"/>
        </w:rPr>
      </w:pPr>
    </w:p>
    <w:p>
      <w:pPr>
        <w:ind w:right="140"/>
        <w:spacing w:after="0" w:line="264" w:lineRule="auto"/>
        <w:rPr>
          <w:sz w:val="20"/>
          <w:szCs w:val="20"/>
          <w:color w:val="auto"/>
        </w:rPr>
      </w:pPr>
      <w:r>
        <w:rPr>
          <w:rFonts w:ascii="Arial" w:cs="Arial" w:eastAsia="Arial" w:hAnsi="Arial"/>
          <w:sz w:val="15"/>
          <w:szCs w:val="15"/>
          <w:color w:val="050A35"/>
        </w:rPr>
        <w:t>In accordance with SEC rules, the graphs below depict the relationships between PEO and non-PEO compensation actually paid and the financial metrics included in the table above. For purposes of the charts below, we have combined the CAP of the CEO serving as of the</w:t>
      </w:r>
    </w:p>
    <w:p>
      <w:pPr>
        <w:spacing w:after="0" w:line="155" w:lineRule="exact"/>
        <w:rPr>
          <w:sz w:val="20"/>
          <w:szCs w:val="20"/>
          <w:color w:val="auto"/>
        </w:rPr>
      </w:pPr>
    </w:p>
    <w:p>
      <w:pPr>
        <w:ind w:left="480" w:hanging="474"/>
        <w:spacing w:after="0"/>
        <w:tabs>
          <w:tab w:leader="none" w:pos="480" w:val="left"/>
        </w:tabs>
        <w:numPr>
          <w:ilvl w:val="0"/>
          <w:numId w:val="56"/>
        </w:numPr>
        <w:rPr>
          <w:rFonts w:ascii="Arial" w:cs="Arial" w:eastAsia="Arial" w:hAnsi="Arial"/>
          <w:sz w:val="14"/>
          <w:szCs w:val="14"/>
          <w:b w:val="1"/>
          <w:bCs w:val="1"/>
          <w:color w:val="050A35"/>
        </w:rPr>
      </w:pPr>
      <w:r>
        <w:rPr>
          <w:rFonts w:ascii="Arial" w:cs="Arial" w:eastAsia="Arial" w:hAnsi="Arial"/>
          <w:sz w:val="14"/>
          <w:szCs w:val="14"/>
          <w:color w:val="050A35"/>
        </w:rPr>
        <w:t>RIDGEPOST CAPITAL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473710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775" w:right="1259" w:bottom="1440" w:gutter="0" w:footer="0" w:header="0"/>
        </w:sectPr>
      </w:pPr>
    </w:p>
    <w:bookmarkStart w:id="30" w:name="page31"/>
    <w:bookmarkEnd w:id="30"/>
    <w:p>
      <w:pPr>
        <w:jc w:val="right"/>
        <w:ind w:right="660"/>
        <w:spacing w:after="0"/>
        <w:rPr>
          <w:sz w:val="20"/>
          <w:szCs w:val="20"/>
          <w:color w:val="auto"/>
        </w:rPr>
      </w:pPr>
      <w:r>
        <w:rPr>
          <w:rFonts w:ascii="Arial" w:cs="Arial" w:eastAsia="Arial" w:hAnsi="Arial"/>
          <w:sz w:val="13"/>
          <w:szCs w:val="13"/>
          <w:color w:val="050A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9" w:lineRule="exact"/>
        <w:rPr>
          <w:sz w:val="20"/>
          <w:szCs w:val="20"/>
          <w:color w:val="auto"/>
        </w:rPr>
      </w:pPr>
    </w:p>
    <w:p>
      <w:pPr>
        <w:ind w:left="660"/>
        <w:spacing w:after="0"/>
        <w:rPr>
          <w:sz w:val="20"/>
          <w:szCs w:val="20"/>
          <w:color w:val="auto"/>
        </w:rPr>
      </w:pPr>
      <w:r>
        <w:rPr>
          <w:rFonts w:ascii="Arial" w:cs="Arial" w:eastAsia="Arial" w:hAnsi="Arial"/>
          <w:sz w:val="15"/>
          <w:szCs w:val="15"/>
          <w:color w:val="050A35"/>
        </w:rPr>
        <w:t>end of each year (Mr. Sarsfield in 2023) with the CAP of any other CEO that served in that role during each such year (Mr. Alpert and Mr.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5"/>
          <w:szCs w:val="15"/>
          <w:color w:val="050A35"/>
        </w:rPr>
        <w:t>Webb in 2023).</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112B19"/>
        </w:rPr>
        <w:t>Compensation Actually Paid, Ridgepost TSR &amp;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1854200</wp:posOffset>
            </wp:positionH>
            <wp:positionV relativeFrom="paragraph">
              <wp:posOffset>73025</wp:posOffset>
            </wp:positionV>
            <wp:extent cx="3103245" cy="1440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0324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112B19"/>
        </w:rPr>
        <w:t>Compensation Actually Paid &amp;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1854200</wp:posOffset>
            </wp:positionH>
            <wp:positionV relativeFrom="paragraph">
              <wp:posOffset>73025</wp:posOffset>
            </wp:positionV>
            <wp:extent cx="3103245" cy="20231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0324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112B19"/>
        </w:rPr>
        <w:t>Compensation Actually Paid &amp; Fee Related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1863090</wp:posOffset>
            </wp:positionH>
            <wp:positionV relativeFrom="paragraph">
              <wp:posOffset>73025</wp:posOffset>
            </wp:positionV>
            <wp:extent cx="3086100" cy="1817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08610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40" w:type="dxa"/>
            <w:vAlign w:val="bottom"/>
          </w:tcPr>
          <w:p>
            <w:pPr>
              <w:ind w:left="6560"/>
              <w:spacing w:after="0"/>
              <w:rPr>
                <w:sz w:val="20"/>
                <w:szCs w:val="20"/>
                <w:color w:val="auto"/>
              </w:rPr>
            </w:pPr>
            <w:r>
              <w:rPr>
                <w:rFonts w:ascii="Arial" w:cs="Arial" w:eastAsia="Arial" w:hAnsi="Arial"/>
                <w:sz w:val="14"/>
                <w:szCs w:val="14"/>
                <w:color w:val="050A35"/>
              </w:rPr>
              <w:t>RIDGEPOST CAPITAL | 2026 Proxy Statement</w:t>
            </w:r>
          </w:p>
        </w:tc>
        <w:tc>
          <w:tcPr>
            <w:tcW w:w="980" w:type="dxa"/>
            <w:vAlign w:val="bottom"/>
          </w:tcPr>
          <w:p>
            <w:pPr>
              <w:jc w:val="right"/>
              <w:ind w:right="588"/>
              <w:spacing w:after="0"/>
              <w:rPr>
                <w:sz w:val="20"/>
                <w:szCs w:val="20"/>
                <w:color w:val="auto"/>
              </w:rPr>
            </w:pPr>
            <w:r>
              <w:rPr>
                <w:rFonts w:ascii="Arial" w:cs="Arial" w:eastAsia="Arial" w:hAnsi="Arial"/>
                <w:sz w:val="14"/>
                <w:szCs w:val="14"/>
                <w:b w:val="1"/>
                <w:bCs w:val="1"/>
                <w:color w:val="050A35"/>
              </w:rPr>
              <w:t>27</w:t>
            </w:r>
          </w:p>
        </w:tc>
      </w:tr>
      <w:tr>
        <w:trPr>
          <w:trHeight w:val="738"/>
        </w:trPr>
        <w:tc>
          <w:tcPr>
            <w:tcW w:w="97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sectPr>
      </w:pPr>
    </w:p>
    <w:bookmarkStart w:id="31" w:name="page32"/>
    <w:bookmarkEnd w:id="31"/>
    <w:p>
      <w:pPr>
        <w:ind w:left="660"/>
        <w:spacing w:after="0"/>
        <w:rPr>
          <w:sz w:val="20"/>
          <w:szCs w:val="20"/>
          <w:color w:val="auto"/>
        </w:rPr>
      </w:pPr>
      <w:r>
        <w:rPr>
          <w:rFonts w:ascii="Arial" w:cs="Arial" w:eastAsia="Arial" w:hAnsi="Arial"/>
          <w:sz w:val="13"/>
          <w:szCs w:val="13"/>
          <w:color w:val="050A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050A35"/>
        </w:rPr>
        <w:t>Equity Compensation Plan Information</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5"/>
          <w:szCs w:val="15"/>
          <w:color w:val="050A35"/>
        </w:rPr>
        <w:t>The following table presents information on the Company’s equity compensation plans as of December 31,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20" w:type="dxa"/>
            <w:vAlign w:val="bottom"/>
            <w:gridSpan w:val="2"/>
          </w:tcPr>
          <w:p>
            <w:pPr>
              <w:jc w:val="center"/>
              <w:ind w:right="8"/>
              <w:spacing w:after="0"/>
              <w:rPr>
                <w:sz w:val="20"/>
                <w:szCs w:val="20"/>
                <w:color w:val="auto"/>
              </w:rPr>
            </w:pPr>
            <w:r>
              <w:rPr>
                <w:rFonts w:ascii="Arial" w:cs="Arial" w:eastAsia="Arial" w:hAnsi="Arial"/>
                <w:sz w:val="14"/>
                <w:szCs w:val="14"/>
                <w:b w:val="1"/>
                <w:bCs w:val="1"/>
                <w:color w:val="112B19"/>
              </w:rPr>
              <w:t>Weighted Average</w:t>
            </w:r>
          </w:p>
        </w:tc>
        <w:tc>
          <w:tcPr>
            <w:tcW w:w="2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112B19"/>
              </w:rPr>
              <w:t>Number of Securities</w:t>
            </w:r>
          </w:p>
        </w:tc>
      </w:tr>
      <w:tr>
        <w:trPr>
          <w:trHeight w:val="162"/>
        </w:trPr>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112B19"/>
              </w:rPr>
              <w:t>Number of Securities to</w:t>
            </w:r>
          </w:p>
        </w:tc>
        <w:tc>
          <w:tcPr>
            <w:tcW w:w="400" w:type="dxa"/>
            <w:vAlign w:val="bottom"/>
          </w:tcPr>
          <w:p>
            <w:pPr>
              <w:spacing w:after="0"/>
              <w:rPr>
                <w:sz w:val="14"/>
                <w:szCs w:val="14"/>
                <w:color w:val="auto"/>
              </w:rPr>
            </w:pPr>
          </w:p>
        </w:tc>
        <w:tc>
          <w:tcPr>
            <w:tcW w:w="1220" w:type="dxa"/>
            <w:vAlign w:val="bottom"/>
          </w:tcPr>
          <w:p>
            <w:pPr>
              <w:jc w:val="center"/>
              <w:ind w:right="368"/>
              <w:spacing w:after="0"/>
              <w:rPr>
                <w:sz w:val="20"/>
                <w:szCs w:val="20"/>
                <w:color w:val="auto"/>
              </w:rPr>
            </w:pPr>
            <w:r>
              <w:rPr>
                <w:rFonts w:ascii="Arial" w:cs="Arial" w:eastAsia="Arial" w:hAnsi="Arial"/>
                <w:sz w:val="14"/>
                <w:szCs w:val="14"/>
                <w:b w:val="1"/>
                <w:bCs w:val="1"/>
                <w:color w:val="112B19"/>
              </w:rPr>
              <w:t>Exercise</w:t>
            </w:r>
          </w:p>
        </w:tc>
        <w:tc>
          <w:tcPr>
            <w:tcW w:w="2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112B19"/>
              </w:rPr>
              <w:t>Remaining Available for</w:t>
            </w:r>
          </w:p>
        </w:tc>
      </w:tr>
      <w:tr>
        <w:trPr>
          <w:trHeight w:val="162"/>
        </w:trPr>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112B19"/>
              </w:rPr>
              <w:t>be Issued Upon Exercise</w:t>
            </w:r>
          </w:p>
        </w:tc>
        <w:tc>
          <w:tcPr>
            <w:tcW w:w="1620" w:type="dxa"/>
            <w:vAlign w:val="bottom"/>
            <w:gridSpan w:val="2"/>
          </w:tcPr>
          <w:p>
            <w:pPr>
              <w:jc w:val="center"/>
              <w:ind w:right="8"/>
              <w:spacing w:after="0"/>
              <w:rPr>
                <w:sz w:val="20"/>
                <w:szCs w:val="20"/>
                <w:color w:val="auto"/>
              </w:rPr>
            </w:pPr>
            <w:r>
              <w:rPr>
                <w:rFonts w:ascii="Arial" w:cs="Arial" w:eastAsia="Arial" w:hAnsi="Arial"/>
                <w:sz w:val="14"/>
                <w:szCs w:val="14"/>
                <w:b w:val="1"/>
                <w:bCs w:val="1"/>
                <w:color w:val="112B19"/>
              </w:rPr>
              <w:t>Price of Outstanding</w:t>
            </w:r>
          </w:p>
        </w:tc>
        <w:tc>
          <w:tcPr>
            <w:tcW w:w="2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112B19"/>
              </w:rPr>
              <w:t>Future Issuance Under</w:t>
            </w:r>
          </w:p>
        </w:tc>
      </w:tr>
      <w:tr>
        <w:trPr>
          <w:trHeight w:val="162"/>
        </w:trPr>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112B19"/>
              </w:rPr>
              <w:t>of Outstanding Options,</w:t>
            </w:r>
          </w:p>
        </w:tc>
        <w:tc>
          <w:tcPr>
            <w:tcW w:w="400" w:type="dxa"/>
            <w:vAlign w:val="bottom"/>
          </w:tcPr>
          <w:p>
            <w:pPr>
              <w:spacing w:after="0"/>
              <w:rPr>
                <w:sz w:val="14"/>
                <w:szCs w:val="14"/>
                <w:color w:val="auto"/>
              </w:rPr>
            </w:pPr>
          </w:p>
        </w:tc>
        <w:tc>
          <w:tcPr>
            <w:tcW w:w="1220" w:type="dxa"/>
            <w:vAlign w:val="bottom"/>
          </w:tcPr>
          <w:p>
            <w:pPr>
              <w:jc w:val="center"/>
              <w:ind w:right="368"/>
              <w:spacing w:after="0"/>
              <w:rPr>
                <w:sz w:val="20"/>
                <w:szCs w:val="20"/>
                <w:color w:val="auto"/>
              </w:rPr>
            </w:pPr>
            <w:r>
              <w:rPr>
                <w:rFonts w:ascii="Arial" w:cs="Arial" w:eastAsia="Arial" w:hAnsi="Arial"/>
                <w:sz w:val="14"/>
                <w:szCs w:val="14"/>
                <w:b w:val="1"/>
                <w:bCs w:val="1"/>
                <w:color w:val="112B19"/>
              </w:rPr>
              <w:t>Options,</w:t>
            </w:r>
          </w:p>
        </w:tc>
        <w:tc>
          <w:tcPr>
            <w:tcW w:w="2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112B19"/>
              </w:rPr>
              <w:t>Equity</w:t>
            </w:r>
          </w:p>
        </w:tc>
      </w:tr>
      <w:tr>
        <w:trPr>
          <w:trHeight w:val="185"/>
        </w:trPr>
        <w:tc>
          <w:tcPr>
            <w:tcW w:w="660" w:type="dxa"/>
            <w:vAlign w:val="bottom"/>
          </w:tcPr>
          <w:p>
            <w:pPr>
              <w:spacing w:after="0"/>
              <w:rPr>
                <w:sz w:val="16"/>
                <w:szCs w:val="16"/>
                <w:color w:val="auto"/>
              </w:rPr>
            </w:pPr>
          </w:p>
        </w:tc>
        <w:tc>
          <w:tcPr>
            <w:tcW w:w="4060" w:type="dxa"/>
            <w:vAlign w:val="bottom"/>
            <w:gridSpan w:val="2"/>
          </w:tcPr>
          <w:p>
            <w:pPr>
              <w:spacing w:after="0"/>
              <w:rPr>
                <w:sz w:val="20"/>
                <w:szCs w:val="20"/>
                <w:color w:val="auto"/>
              </w:rPr>
            </w:pPr>
            <w:r>
              <w:rPr>
                <w:rFonts w:ascii="Arial" w:cs="Arial" w:eastAsia="Arial" w:hAnsi="Arial"/>
                <w:sz w:val="14"/>
                <w:szCs w:val="14"/>
                <w:b w:val="1"/>
                <w:bCs w:val="1"/>
                <w:color w:val="112B19"/>
              </w:rPr>
              <w:t>Plan Category</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112B19"/>
              </w:rPr>
              <w:t>Warrants and Rights</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112B19"/>
              </w:rPr>
              <w:t>Warrants, and Rights</w:t>
            </w:r>
          </w:p>
        </w:tc>
        <w:tc>
          <w:tcPr>
            <w:tcW w:w="2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112B19"/>
              </w:rPr>
              <w:t>Compensation Plans</w:t>
            </w:r>
          </w:p>
        </w:tc>
      </w:tr>
      <w:tr>
        <w:trPr>
          <w:trHeight w:val="228"/>
        </w:trPr>
        <w:tc>
          <w:tcPr>
            <w:tcW w:w="660" w:type="dxa"/>
            <w:vAlign w:val="bottom"/>
          </w:tcPr>
          <w:p>
            <w:pPr>
              <w:spacing w:after="0"/>
              <w:rPr>
                <w:sz w:val="19"/>
                <w:szCs w:val="19"/>
                <w:color w:val="auto"/>
              </w:rPr>
            </w:pPr>
          </w:p>
        </w:tc>
        <w:tc>
          <w:tcPr>
            <w:tcW w:w="4060" w:type="dxa"/>
            <w:vAlign w:val="bottom"/>
            <w:tcBorders>
              <w:top w:val="single" w:sz="8" w:color="112B19"/>
            </w:tcBorders>
            <w:gridSpan w:val="2"/>
          </w:tcPr>
          <w:p>
            <w:pPr>
              <w:ind w:left="100"/>
              <w:spacing w:after="0"/>
              <w:rPr>
                <w:sz w:val="20"/>
                <w:szCs w:val="20"/>
                <w:color w:val="auto"/>
              </w:rPr>
            </w:pPr>
            <w:r>
              <w:rPr>
                <w:rFonts w:ascii="Arial" w:cs="Arial" w:eastAsia="Arial" w:hAnsi="Arial"/>
                <w:sz w:val="14"/>
                <w:szCs w:val="14"/>
                <w:color w:val="auto"/>
              </w:rPr>
              <w:t>Equity compensation plans approved by security holders</w:t>
            </w:r>
          </w:p>
        </w:tc>
        <w:tc>
          <w:tcPr>
            <w:tcW w:w="1900" w:type="dxa"/>
            <w:vAlign w:val="bottom"/>
            <w:tcBorders>
              <w:top w:val="single" w:sz="8" w:color="112B19"/>
            </w:tcBorders>
          </w:tcPr>
          <w:p>
            <w:pPr>
              <w:jc w:val="right"/>
              <w:ind w:right="508"/>
              <w:spacing w:after="0"/>
              <w:rPr>
                <w:sz w:val="20"/>
                <w:szCs w:val="20"/>
                <w:color w:val="auto"/>
              </w:rPr>
            </w:pPr>
            <w:r>
              <w:rPr>
                <w:rFonts w:ascii="Arial" w:cs="Arial" w:eastAsia="Arial" w:hAnsi="Arial"/>
                <w:sz w:val="14"/>
                <w:szCs w:val="14"/>
                <w:color w:val="auto"/>
              </w:rPr>
              <w:t>13,592,636</w:t>
            </w:r>
          </w:p>
        </w:tc>
        <w:tc>
          <w:tcPr>
            <w:tcW w:w="400" w:type="dxa"/>
            <w:vAlign w:val="bottom"/>
            <w:tcBorders>
              <w:top w:val="single" w:sz="8" w:color="112B19"/>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112B19"/>
            </w:tcBorders>
          </w:tcPr>
          <w:p>
            <w:pPr>
              <w:jc w:val="right"/>
              <w:ind w:right="368"/>
              <w:spacing w:after="0"/>
              <w:rPr>
                <w:sz w:val="20"/>
                <w:szCs w:val="20"/>
                <w:color w:val="auto"/>
              </w:rPr>
            </w:pPr>
            <w:r>
              <w:rPr>
                <w:rFonts w:ascii="Arial" w:cs="Arial" w:eastAsia="Arial" w:hAnsi="Arial"/>
                <w:sz w:val="14"/>
                <w:szCs w:val="14"/>
                <w:color w:val="auto"/>
              </w:rPr>
              <w:t>9.47</w:t>
            </w:r>
          </w:p>
        </w:tc>
        <w:tc>
          <w:tcPr>
            <w:tcW w:w="1820" w:type="dxa"/>
            <w:vAlign w:val="bottom"/>
            <w:tcBorders>
              <w:top w:val="single" w:sz="8" w:color="112B19"/>
            </w:tcBorders>
          </w:tcPr>
          <w:p>
            <w:pPr>
              <w:jc w:val="right"/>
              <w:ind w:right="488"/>
              <w:spacing w:after="0"/>
              <w:rPr>
                <w:sz w:val="20"/>
                <w:szCs w:val="20"/>
                <w:color w:val="auto"/>
              </w:rPr>
            </w:pPr>
            <w:r>
              <w:rPr>
                <w:rFonts w:ascii="Arial" w:cs="Arial" w:eastAsia="Arial" w:hAnsi="Arial"/>
                <w:sz w:val="14"/>
                <w:szCs w:val="14"/>
                <w:color w:val="auto"/>
              </w:rPr>
              <w:t>7,854,678</w:t>
            </w:r>
          </w:p>
        </w:tc>
        <w:tc>
          <w:tcPr>
            <w:tcW w:w="660" w:type="dxa"/>
            <w:vAlign w:val="bottom"/>
          </w:tcPr>
          <w:p>
            <w:pPr>
              <w:spacing w:after="0"/>
              <w:rPr>
                <w:sz w:val="19"/>
                <w:szCs w:val="19"/>
                <w:color w:val="auto"/>
              </w:rPr>
            </w:pPr>
          </w:p>
        </w:tc>
      </w:tr>
      <w:tr>
        <w:trPr>
          <w:trHeight w:val="35"/>
        </w:trPr>
        <w:tc>
          <w:tcPr>
            <w:tcW w:w="660" w:type="dxa"/>
            <w:vAlign w:val="bottom"/>
          </w:tcPr>
          <w:p>
            <w:pPr>
              <w:spacing w:after="0"/>
              <w:rPr>
                <w:sz w:val="3"/>
                <w:szCs w:val="3"/>
                <w:color w:val="auto"/>
              </w:rPr>
            </w:pPr>
          </w:p>
        </w:tc>
        <w:tc>
          <w:tcPr>
            <w:tcW w:w="4060" w:type="dxa"/>
            <w:vAlign w:val="bottom"/>
            <w:gridSpan w:val="2"/>
          </w:tcPr>
          <w:p>
            <w:pPr>
              <w:spacing w:after="0"/>
              <w:rPr>
                <w:sz w:val="3"/>
                <w:szCs w:val="3"/>
                <w:color w:val="auto"/>
              </w:rPr>
            </w:pPr>
          </w:p>
        </w:tc>
        <w:tc>
          <w:tcPr>
            <w:tcW w:w="1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80" w:type="dxa"/>
            <w:vAlign w:val="bottom"/>
            <w:gridSpan w:val="2"/>
          </w:tcPr>
          <w:p>
            <w:pPr>
              <w:spacing w:after="0"/>
              <w:rPr>
                <w:sz w:val="3"/>
                <w:szCs w:val="3"/>
                <w:color w:val="auto"/>
              </w:rPr>
            </w:pPr>
          </w:p>
        </w:tc>
      </w:tr>
      <w:tr>
        <w:trPr>
          <w:trHeight w:val="250"/>
        </w:trPr>
        <w:tc>
          <w:tcPr>
            <w:tcW w:w="660" w:type="dxa"/>
            <w:vAlign w:val="bottom"/>
          </w:tcPr>
          <w:p>
            <w:pPr>
              <w:spacing w:after="0"/>
              <w:rPr>
                <w:sz w:val="21"/>
                <w:szCs w:val="21"/>
                <w:color w:val="auto"/>
              </w:rPr>
            </w:pPr>
          </w:p>
        </w:tc>
        <w:tc>
          <w:tcPr>
            <w:tcW w:w="4060" w:type="dxa"/>
            <w:vAlign w:val="bottom"/>
            <w:tcBorders>
              <w:bottom w:val="single" w:sz="8" w:color="EDEDED"/>
            </w:tcBorders>
            <w:gridSpan w:val="2"/>
            <w:shd w:val="clear" w:color="auto" w:fill="EDEDED"/>
          </w:tcPr>
          <w:p>
            <w:pPr>
              <w:ind w:left="100"/>
              <w:spacing w:after="0"/>
              <w:rPr>
                <w:sz w:val="20"/>
                <w:szCs w:val="20"/>
                <w:color w:val="auto"/>
              </w:rPr>
            </w:pPr>
            <w:r>
              <w:rPr>
                <w:rFonts w:ascii="Arial" w:cs="Arial" w:eastAsia="Arial" w:hAnsi="Arial"/>
                <w:sz w:val="14"/>
                <w:szCs w:val="14"/>
                <w:color w:val="auto"/>
              </w:rPr>
              <w:t>Equity compensation plans not approved by security holders</w:t>
            </w:r>
          </w:p>
        </w:tc>
        <w:tc>
          <w:tcPr>
            <w:tcW w:w="1900" w:type="dxa"/>
            <w:vAlign w:val="bottom"/>
            <w:tcBorders>
              <w:bottom w:val="single" w:sz="8" w:color="EDEDED"/>
            </w:tcBorders>
            <w:shd w:val="clear" w:color="auto" w:fill="EDEDED"/>
          </w:tcPr>
          <w:p>
            <w:pPr>
              <w:jc w:val="right"/>
              <w:ind w:right="5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EDEDED"/>
            </w:tcBorders>
            <w:shd w:val="clear" w:color="auto" w:fill="EDEDED"/>
          </w:tcPr>
          <w:p>
            <w:pPr>
              <w:spacing w:after="0"/>
              <w:rPr>
                <w:sz w:val="21"/>
                <w:szCs w:val="21"/>
                <w:color w:val="auto"/>
              </w:rPr>
            </w:pPr>
          </w:p>
        </w:tc>
        <w:tc>
          <w:tcPr>
            <w:tcW w:w="1220" w:type="dxa"/>
            <w:vAlign w:val="bottom"/>
            <w:tcBorders>
              <w:bottom w:val="single" w:sz="8" w:color="EDEDED"/>
            </w:tcBorders>
            <w:shd w:val="clear" w:color="auto" w:fill="EDEDED"/>
          </w:tcPr>
          <w:p>
            <w:pPr>
              <w:jc w:val="right"/>
              <w:ind w:right="368"/>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EDEDED"/>
            </w:tcBorders>
            <w:shd w:val="clear" w:color="auto" w:fill="EDEDED"/>
          </w:tcPr>
          <w:p>
            <w:pPr>
              <w:jc w:val="right"/>
              <w:ind w:right="48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r>
      <w:tr>
        <w:trPr>
          <w:trHeight w:val="235"/>
        </w:trPr>
        <w:tc>
          <w:tcPr>
            <w:tcW w:w="660" w:type="dxa"/>
            <w:vAlign w:val="bottom"/>
          </w:tcPr>
          <w:p>
            <w:pPr>
              <w:spacing w:after="0"/>
              <w:rPr>
                <w:sz w:val="20"/>
                <w:szCs w:val="20"/>
                <w:color w:val="auto"/>
              </w:rPr>
            </w:pPr>
          </w:p>
        </w:tc>
        <w:tc>
          <w:tcPr>
            <w:tcW w:w="460" w:type="dxa"/>
            <w:vAlign w:val="bottom"/>
          </w:tcPr>
          <w:p>
            <w:pPr>
              <w:ind w:left="100"/>
              <w:spacing w:after="0"/>
              <w:rPr>
                <w:sz w:val="20"/>
                <w:szCs w:val="20"/>
                <w:color w:val="auto"/>
              </w:rPr>
            </w:pPr>
            <w:r>
              <w:rPr>
                <w:rFonts w:ascii="Arial" w:cs="Arial" w:eastAsia="Arial" w:hAnsi="Arial"/>
                <w:sz w:val="14"/>
                <w:szCs w:val="14"/>
                <w:color w:val="auto"/>
              </w:rPr>
              <w:t>Total</w:t>
            </w:r>
          </w:p>
        </w:tc>
        <w:tc>
          <w:tcPr>
            <w:tcW w:w="3600" w:type="dxa"/>
            <w:vAlign w:val="bottom"/>
          </w:tcPr>
          <w:p>
            <w:pPr>
              <w:spacing w:after="0"/>
              <w:rPr>
                <w:sz w:val="20"/>
                <w:szCs w:val="20"/>
                <w:color w:val="auto"/>
              </w:rPr>
            </w:pPr>
          </w:p>
        </w:tc>
        <w:tc>
          <w:tcPr>
            <w:tcW w:w="1900" w:type="dxa"/>
            <w:vAlign w:val="bottom"/>
          </w:tcPr>
          <w:p>
            <w:pPr>
              <w:jc w:val="right"/>
              <w:ind w:right="508"/>
              <w:spacing w:after="0"/>
              <w:rPr>
                <w:sz w:val="20"/>
                <w:szCs w:val="20"/>
                <w:color w:val="auto"/>
              </w:rPr>
            </w:pPr>
            <w:r>
              <w:rPr>
                <w:rFonts w:ascii="Arial" w:cs="Arial" w:eastAsia="Arial" w:hAnsi="Arial"/>
                <w:sz w:val="14"/>
                <w:szCs w:val="14"/>
                <w:color w:val="auto"/>
              </w:rPr>
              <w:t>13,592,636</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9.47</w:t>
            </w:r>
          </w:p>
        </w:tc>
        <w:tc>
          <w:tcPr>
            <w:tcW w:w="1820" w:type="dxa"/>
            <w:vAlign w:val="bottom"/>
          </w:tcPr>
          <w:p>
            <w:pPr>
              <w:jc w:val="right"/>
              <w:ind w:right="488"/>
              <w:spacing w:after="0"/>
              <w:rPr>
                <w:sz w:val="20"/>
                <w:szCs w:val="20"/>
                <w:color w:val="auto"/>
              </w:rPr>
            </w:pPr>
            <w:r>
              <w:rPr>
                <w:rFonts w:ascii="Arial" w:cs="Arial" w:eastAsia="Arial" w:hAnsi="Arial"/>
                <w:sz w:val="14"/>
                <w:szCs w:val="14"/>
                <w:color w:val="auto"/>
              </w:rPr>
              <w:t>7,854,678</w:t>
            </w:r>
          </w:p>
        </w:tc>
        <w:tc>
          <w:tcPr>
            <w:tcW w:w="660" w:type="dxa"/>
            <w:vAlign w:val="bottom"/>
          </w:tcPr>
          <w:p>
            <w:pPr>
              <w:spacing w:after="0"/>
              <w:rPr>
                <w:sz w:val="20"/>
                <w:szCs w:val="20"/>
                <w:color w:val="auto"/>
              </w:rPr>
            </w:pPr>
          </w:p>
        </w:tc>
      </w:tr>
      <w:tr>
        <w:trPr>
          <w:trHeight w:val="35"/>
        </w:trPr>
        <w:tc>
          <w:tcPr>
            <w:tcW w:w="660" w:type="dxa"/>
            <w:vAlign w:val="bottom"/>
          </w:tcPr>
          <w:p>
            <w:pPr>
              <w:spacing w:after="0"/>
              <w:rPr>
                <w:sz w:val="3"/>
                <w:szCs w:val="3"/>
                <w:color w:val="auto"/>
              </w:rPr>
            </w:pPr>
          </w:p>
        </w:tc>
        <w:tc>
          <w:tcPr>
            <w:tcW w:w="460" w:type="dxa"/>
            <w:vAlign w:val="bottom"/>
            <w:tcBorders>
              <w:bottom w:val="single" w:sz="8" w:color="112B19"/>
            </w:tcBorders>
          </w:tcPr>
          <w:p>
            <w:pPr>
              <w:spacing w:after="0"/>
              <w:rPr>
                <w:sz w:val="3"/>
                <w:szCs w:val="3"/>
                <w:color w:val="auto"/>
              </w:rPr>
            </w:pPr>
          </w:p>
        </w:tc>
        <w:tc>
          <w:tcPr>
            <w:tcW w:w="3600" w:type="dxa"/>
            <w:vAlign w:val="bottom"/>
            <w:tcBorders>
              <w:bottom w:val="single" w:sz="8" w:color="112B19"/>
            </w:tcBorders>
          </w:tcPr>
          <w:p>
            <w:pPr>
              <w:spacing w:after="0"/>
              <w:rPr>
                <w:sz w:val="3"/>
                <w:szCs w:val="3"/>
                <w:color w:val="auto"/>
              </w:rPr>
            </w:pPr>
          </w:p>
        </w:tc>
        <w:tc>
          <w:tcPr>
            <w:tcW w:w="1900" w:type="dxa"/>
            <w:vAlign w:val="bottom"/>
            <w:tcBorders>
              <w:bottom w:val="single" w:sz="8" w:color="112B19"/>
            </w:tcBorders>
          </w:tcPr>
          <w:p>
            <w:pPr>
              <w:spacing w:after="0"/>
              <w:rPr>
                <w:sz w:val="3"/>
                <w:szCs w:val="3"/>
                <w:color w:val="auto"/>
              </w:rPr>
            </w:pPr>
          </w:p>
        </w:tc>
        <w:tc>
          <w:tcPr>
            <w:tcW w:w="400" w:type="dxa"/>
            <w:vAlign w:val="bottom"/>
            <w:tcBorders>
              <w:bottom w:val="single" w:sz="8" w:color="112B19"/>
            </w:tcBorders>
          </w:tcPr>
          <w:p>
            <w:pPr>
              <w:spacing w:after="0"/>
              <w:rPr>
                <w:sz w:val="3"/>
                <w:szCs w:val="3"/>
                <w:color w:val="auto"/>
              </w:rPr>
            </w:pPr>
          </w:p>
        </w:tc>
        <w:tc>
          <w:tcPr>
            <w:tcW w:w="1220" w:type="dxa"/>
            <w:vAlign w:val="bottom"/>
            <w:tcBorders>
              <w:bottom w:val="single" w:sz="8" w:color="112B19"/>
            </w:tcBorders>
          </w:tcPr>
          <w:p>
            <w:pPr>
              <w:spacing w:after="0"/>
              <w:rPr>
                <w:sz w:val="3"/>
                <w:szCs w:val="3"/>
                <w:color w:val="auto"/>
              </w:rPr>
            </w:pPr>
          </w:p>
        </w:tc>
        <w:tc>
          <w:tcPr>
            <w:tcW w:w="1820" w:type="dxa"/>
            <w:vAlign w:val="bottom"/>
            <w:tcBorders>
              <w:bottom w:val="single" w:sz="8" w:color="112B19"/>
            </w:tcBorders>
          </w:tcPr>
          <w:p>
            <w:pPr>
              <w:spacing w:after="0"/>
              <w:rPr>
                <w:sz w:val="3"/>
                <w:szCs w:val="3"/>
                <w:color w:val="auto"/>
              </w:rPr>
            </w:pPr>
          </w:p>
        </w:tc>
        <w:tc>
          <w:tcPr>
            <w:tcW w:w="660" w:type="dxa"/>
            <w:vAlign w:val="bottom"/>
          </w:tcPr>
          <w:p>
            <w:pPr>
              <w:spacing w:after="0"/>
              <w:rPr>
                <w:sz w:val="3"/>
                <w:szCs w:val="3"/>
                <w:color w:val="auto"/>
              </w:rPr>
            </w:pPr>
          </w:p>
        </w:tc>
      </w:tr>
      <w:tr>
        <w:trPr>
          <w:trHeight w:val="599"/>
        </w:trPr>
        <w:tc>
          <w:tcPr>
            <w:tcW w:w="1120" w:type="dxa"/>
            <w:vAlign w:val="bottom"/>
            <w:gridSpan w:val="2"/>
          </w:tcPr>
          <w:p>
            <w:pPr>
              <w:ind w:left="660"/>
              <w:spacing w:after="0"/>
              <w:rPr>
                <w:sz w:val="20"/>
                <w:szCs w:val="20"/>
                <w:color w:val="auto"/>
              </w:rPr>
            </w:pPr>
            <w:r>
              <w:rPr>
                <w:rFonts w:ascii="Arial" w:cs="Arial" w:eastAsia="Arial" w:hAnsi="Arial"/>
                <w:sz w:val="14"/>
                <w:szCs w:val="14"/>
                <w:b w:val="1"/>
                <w:bCs w:val="1"/>
                <w:color w:val="050A35"/>
              </w:rPr>
              <w:t>28</w:t>
            </w:r>
          </w:p>
        </w:tc>
        <w:tc>
          <w:tcPr>
            <w:tcW w:w="3600" w:type="dxa"/>
            <w:vAlign w:val="bottom"/>
          </w:tcPr>
          <w:p>
            <w:pPr>
              <w:ind w:left="20"/>
              <w:spacing w:after="0"/>
              <w:rPr>
                <w:sz w:val="20"/>
                <w:szCs w:val="20"/>
                <w:color w:val="auto"/>
              </w:rPr>
            </w:pPr>
            <w:r>
              <w:rPr>
                <w:rFonts w:ascii="Arial" w:cs="Arial" w:eastAsia="Arial" w:hAnsi="Arial"/>
                <w:sz w:val="14"/>
                <w:szCs w:val="14"/>
                <w:color w:val="050A35"/>
              </w:rPr>
              <w:t>RIDGEPOST CAPITAL | 2026 Proxy Statement</w:t>
            </w:r>
          </w:p>
        </w:tc>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38"/>
        </w:trPr>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sectPr>
      </w:pPr>
    </w:p>
    <w:bookmarkStart w:id="32" w:name="page33"/>
    <w:bookmarkEnd w:id="32"/>
    <w:p>
      <w:pPr>
        <w:jc w:val="right"/>
        <w:ind w:right="660"/>
        <w:spacing w:after="0"/>
        <w:rPr>
          <w:sz w:val="20"/>
          <w:szCs w:val="20"/>
          <w:color w:val="auto"/>
        </w:rPr>
      </w:pPr>
      <w:r>
        <w:rPr>
          <w:rFonts w:ascii="Arial" w:cs="Arial" w:eastAsia="Arial" w:hAnsi="Arial"/>
          <w:sz w:val="13"/>
          <w:szCs w:val="13"/>
          <w:color w:val="050A35"/>
        </w:rPr>
        <w:t>Proposal 2: Advisory Vote to Approve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7"/>
          <w:szCs w:val="17"/>
          <w:color w:val="112B19"/>
        </w:rPr>
        <w:t>PROPOSAL 2:</w:t>
      </w:r>
    </w:p>
    <w:p>
      <w:pPr>
        <w:spacing w:after="0" w:line="17" w:lineRule="exact"/>
        <w:rPr>
          <w:sz w:val="20"/>
          <w:szCs w:val="20"/>
          <w:color w:val="auto"/>
        </w:rPr>
      </w:pPr>
    </w:p>
    <w:p>
      <w:pPr>
        <w:ind w:left="660" w:right="1020"/>
        <w:spacing w:after="0" w:line="265" w:lineRule="auto"/>
        <w:rPr>
          <w:sz w:val="20"/>
          <w:szCs w:val="20"/>
          <w:color w:val="auto"/>
        </w:rPr>
      </w:pPr>
      <w:r>
        <w:rPr>
          <w:rFonts w:ascii="Arial" w:cs="Arial" w:eastAsia="Arial" w:hAnsi="Arial"/>
          <w:sz w:val="25"/>
          <w:szCs w:val="25"/>
          <w:color w:val="050A35"/>
        </w:rPr>
        <w:t>Advisory Vote to Approve the Compensation of the Company’s Named Executive Officers</w:t>
      </w:r>
    </w:p>
    <w:p>
      <w:pPr>
        <w:spacing w:after="0" w:line="48" w:lineRule="exact"/>
        <w:rPr>
          <w:sz w:val="20"/>
          <w:szCs w:val="20"/>
          <w:color w:val="auto"/>
        </w:rPr>
      </w:pPr>
    </w:p>
    <w:p>
      <w:pPr>
        <w:ind w:left="660" w:right="800"/>
        <w:spacing w:after="0"/>
        <w:rPr>
          <w:sz w:val="20"/>
          <w:szCs w:val="20"/>
          <w:color w:val="auto"/>
        </w:rPr>
      </w:pPr>
      <w:r>
        <w:rPr>
          <w:rFonts w:ascii="Arial" w:cs="Arial" w:eastAsia="Arial" w:hAnsi="Arial"/>
          <w:sz w:val="15"/>
          <w:szCs w:val="15"/>
          <w:color w:val="050A35"/>
        </w:rPr>
        <w:t>Pursuant to Section 14A of the Exchange Act, we are providing our stockholders with the opportunity to cast an advisory vote on the compensation of our named executive officers as disclosed in this proxy statement. Prior to submitting your vote, we encourage you to read our Compensation Discussion and Analysis and the accompanying executive compensation tables and narrative disclosures for details about our executive compensation program, including the information about the fiscal 2025 compensation of our named executive officers.</w:t>
      </w:r>
    </w:p>
    <w:p>
      <w:pPr>
        <w:spacing w:after="0" w:line="228" w:lineRule="exact"/>
        <w:rPr>
          <w:sz w:val="20"/>
          <w:szCs w:val="20"/>
          <w:color w:val="auto"/>
        </w:rPr>
      </w:pPr>
    </w:p>
    <w:p>
      <w:pPr>
        <w:ind w:left="660" w:right="720"/>
        <w:spacing w:after="0" w:line="234" w:lineRule="auto"/>
        <w:rPr>
          <w:sz w:val="20"/>
          <w:szCs w:val="20"/>
          <w:color w:val="auto"/>
        </w:rPr>
      </w:pPr>
      <w:r>
        <w:rPr>
          <w:rFonts w:ascii="Arial" w:cs="Arial" w:eastAsia="Arial" w:hAnsi="Arial"/>
          <w:sz w:val="15"/>
          <w:szCs w:val="15"/>
          <w:color w:val="050A35"/>
        </w:rPr>
        <w:t>As discussed in more detail in the Compensation Discussion and Analysis section of this proxy statement, our executive compensation program is designed to attract, motivate, reward, and retain skilled executive officers. The elements of this program are designed to recognize and reward individual performance and recognize contributions that align with and drive positive business results. Our Board of Directors and Compensation Committee believe that the policies and procedures articulated in the Compensation Discussion and Analysis are effective in achieving our goals and that the compensation of our named executive officers has supported and contributed to our success.</w:t>
      </w:r>
    </w:p>
    <w:p>
      <w:pPr>
        <w:spacing w:after="0" w:line="71" w:lineRule="exact"/>
        <w:rPr>
          <w:sz w:val="20"/>
          <w:szCs w:val="20"/>
          <w:color w:val="auto"/>
        </w:rPr>
      </w:pPr>
    </w:p>
    <w:p>
      <w:pPr>
        <w:ind w:left="660" w:right="680"/>
        <w:spacing w:after="0" w:line="264" w:lineRule="auto"/>
        <w:rPr>
          <w:sz w:val="20"/>
          <w:szCs w:val="20"/>
          <w:color w:val="auto"/>
        </w:rPr>
      </w:pPr>
      <w:r>
        <w:rPr>
          <w:rFonts w:ascii="Arial" w:cs="Arial" w:eastAsia="Arial" w:hAnsi="Arial"/>
          <w:sz w:val="15"/>
          <w:szCs w:val="15"/>
          <w:color w:val="050A35"/>
        </w:rPr>
        <w:t>Accordingly, we are asking our stockholders to indicate their support for the compensation of our named executive officers by voting “FOR” this proposal and the following resolution:</w:t>
      </w:r>
    </w:p>
    <w:p>
      <w:pPr>
        <w:spacing w:after="0" w:line="53" w:lineRule="exact"/>
        <w:rPr>
          <w:sz w:val="20"/>
          <w:szCs w:val="20"/>
          <w:color w:val="auto"/>
        </w:rPr>
      </w:pPr>
    </w:p>
    <w:p>
      <w:pPr>
        <w:ind w:left="1320" w:right="980"/>
        <w:spacing w:after="0" w:line="238" w:lineRule="auto"/>
        <w:rPr>
          <w:sz w:val="20"/>
          <w:szCs w:val="20"/>
          <w:color w:val="auto"/>
        </w:rPr>
      </w:pPr>
      <w:r>
        <w:rPr>
          <w:rFonts w:ascii="Arial" w:cs="Arial" w:eastAsia="Arial" w:hAnsi="Arial"/>
          <w:sz w:val="15"/>
          <w:szCs w:val="15"/>
          <w:color w:val="050A35"/>
        </w:rPr>
        <w:t>“RESOLVED, that the stockholders of Ridgepost Capital, Inc. approve, on an advisory basis, the compensation of the named executive officers for 2025, as disclosed in the Company’s proxy statement for the 2026 Annual Meeting of Stockholders pursuant to the U.S. Securities and Exchange Commission's compensation disclosure rules, including the Compensation Discussion and Analysis and the accompanying executive compensation tables and narrative disclosures.”</w:t>
      </w:r>
    </w:p>
    <w:p>
      <w:pPr>
        <w:spacing w:after="0" w:line="72" w:lineRule="exact"/>
        <w:rPr>
          <w:sz w:val="20"/>
          <w:szCs w:val="20"/>
          <w:color w:val="auto"/>
        </w:rPr>
      </w:pPr>
    </w:p>
    <w:p>
      <w:pPr>
        <w:ind w:left="660" w:right="720"/>
        <w:spacing w:after="0" w:line="244" w:lineRule="auto"/>
        <w:rPr>
          <w:sz w:val="20"/>
          <w:szCs w:val="20"/>
          <w:color w:val="auto"/>
        </w:rPr>
      </w:pPr>
      <w:r>
        <w:rPr>
          <w:rFonts w:ascii="Arial" w:cs="Arial" w:eastAsia="Arial" w:hAnsi="Arial"/>
          <w:sz w:val="15"/>
          <w:szCs w:val="15"/>
          <w:color w:val="050A35"/>
        </w:rPr>
        <w:t>Because your vote is advisory, it will not be binding upon the Board of Directors. However, the Compensation Committee and the Board of Directors value the opinions of all of our stockholders and will consider the outcome of this vote when making future compensation decisions four our named executive officers.</w:t>
      </w:r>
    </w:p>
    <w:p>
      <w:pPr>
        <w:spacing w:after="0" w:line="68" w:lineRule="exact"/>
        <w:rPr>
          <w:sz w:val="20"/>
          <w:szCs w:val="20"/>
          <w:color w:val="auto"/>
        </w:rPr>
      </w:pPr>
    </w:p>
    <w:p>
      <w:pPr>
        <w:jc w:val="both"/>
        <w:ind w:left="660" w:right="740"/>
        <w:spacing w:after="0" w:line="244" w:lineRule="auto"/>
        <w:rPr>
          <w:sz w:val="20"/>
          <w:szCs w:val="20"/>
          <w:color w:val="auto"/>
        </w:rPr>
      </w:pPr>
      <w:r>
        <w:rPr>
          <w:rFonts w:ascii="Arial" w:cs="Arial" w:eastAsia="Arial" w:hAnsi="Arial"/>
          <w:sz w:val="15"/>
          <w:szCs w:val="15"/>
          <w:color w:val="050A35"/>
        </w:rPr>
        <w:t>It is our current policy to conduct an advisory vote on the compensation of our named executive officers on an annual basis. Stockholders have an opportunity to cast an advisory vote on the frequency of advisory votes to approve named executive officer compensation at least every six years, with such an advisory vote occurring this year.</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Vote Required</w:t>
      </w:r>
    </w:p>
    <w:p>
      <w:pPr>
        <w:spacing w:after="0" w:line="106" w:lineRule="exact"/>
        <w:rPr>
          <w:sz w:val="20"/>
          <w:szCs w:val="20"/>
          <w:color w:val="auto"/>
        </w:rPr>
      </w:pPr>
    </w:p>
    <w:p>
      <w:pPr>
        <w:ind w:left="660" w:right="880"/>
        <w:spacing w:after="0" w:line="244" w:lineRule="auto"/>
        <w:rPr>
          <w:sz w:val="20"/>
          <w:szCs w:val="20"/>
          <w:color w:val="auto"/>
        </w:rPr>
      </w:pPr>
      <w:r>
        <w:rPr>
          <w:rFonts w:ascii="Arial" w:cs="Arial" w:eastAsia="Arial" w:hAnsi="Arial"/>
          <w:sz w:val="15"/>
          <w:szCs w:val="15"/>
          <w:color w:val="050A35"/>
        </w:rPr>
        <w:t>The affirmative vote of a majority of the combined voting power of common stock present at the meeting or represented by proxy and entitled to vote on the matter is required for the approval, on an advisory basis, of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62865</wp:posOffset>
            </wp:positionV>
            <wp:extent cx="4749165" cy="411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49165" cy="411480"/>
                    </a:xfrm>
                    <a:prstGeom prst="rect">
                      <a:avLst/>
                    </a:prstGeom>
                    <a:noFill/>
                  </pic:spPr>
                </pic:pic>
              </a:graphicData>
            </a:graphic>
          </wp:anchor>
        </w:drawing>
      </w:r>
    </w:p>
    <w:p>
      <w:pPr>
        <w:spacing w:after="0" w:line="100" w:lineRule="exact"/>
        <w:rPr>
          <w:sz w:val="20"/>
          <w:szCs w:val="20"/>
          <w:color w:val="auto"/>
        </w:rPr>
      </w:pPr>
    </w:p>
    <w:p>
      <w:pPr>
        <w:ind w:left="2440"/>
        <w:spacing w:after="0"/>
        <w:rPr>
          <w:sz w:val="20"/>
          <w:szCs w:val="20"/>
          <w:color w:val="auto"/>
        </w:rPr>
      </w:pPr>
      <w:r>
        <w:rPr>
          <w:rFonts w:ascii="Arial" w:cs="Arial" w:eastAsia="Arial" w:hAnsi="Arial"/>
          <w:sz w:val="15"/>
          <w:szCs w:val="15"/>
          <w:b w:val="1"/>
          <w:bCs w:val="1"/>
          <w:color w:val="050A35"/>
        </w:rPr>
        <w:t>Recommendation of the Board of Directors</w:t>
      </w:r>
    </w:p>
    <w:p>
      <w:pPr>
        <w:spacing w:after="0" w:line="8" w:lineRule="exact"/>
        <w:rPr>
          <w:sz w:val="20"/>
          <w:szCs w:val="20"/>
          <w:color w:val="auto"/>
        </w:rPr>
      </w:pPr>
    </w:p>
    <w:p>
      <w:pPr>
        <w:ind w:left="2440" w:right="1920"/>
        <w:spacing w:after="0" w:line="265" w:lineRule="auto"/>
        <w:rPr>
          <w:sz w:val="20"/>
          <w:szCs w:val="20"/>
          <w:color w:val="auto"/>
        </w:rPr>
      </w:pPr>
      <w:r>
        <w:rPr>
          <w:rFonts w:ascii="Arial" w:cs="Arial" w:eastAsia="Arial" w:hAnsi="Arial"/>
          <w:sz w:val="15"/>
          <w:szCs w:val="15"/>
          <w:color w:val="050A35"/>
        </w:rPr>
        <w:t xml:space="preserve">The Board of Directors recommends a vote </w:t>
      </w:r>
      <w:r>
        <w:rPr>
          <w:rFonts w:ascii="Arial" w:cs="Arial" w:eastAsia="Arial" w:hAnsi="Arial"/>
          <w:sz w:val="17"/>
          <w:szCs w:val="17"/>
          <w:b w:val="1"/>
          <w:bCs w:val="1"/>
          <w:color w:val="112B19"/>
        </w:rPr>
        <w:t>“FOR”</w:t>
      </w:r>
      <w:r>
        <w:rPr>
          <w:rFonts w:ascii="Arial" w:cs="Arial" w:eastAsia="Arial" w:hAnsi="Arial"/>
          <w:sz w:val="15"/>
          <w:szCs w:val="15"/>
          <w:color w:val="050A35"/>
        </w:rPr>
        <w:t xml:space="preserve"> the approval, on an advisory basis, of the compensation of the Company’s named executive officers under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17145</wp:posOffset>
            </wp:positionV>
            <wp:extent cx="43287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40" w:type="dxa"/>
            <w:vAlign w:val="bottom"/>
          </w:tcPr>
          <w:p>
            <w:pPr>
              <w:ind w:left="6560"/>
              <w:spacing w:after="0"/>
              <w:rPr>
                <w:sz w:val="20"/>
                <w:szCs w:val="20"/>
                <w:color w:val="auto"/>
              </w:rPr>
            </w:pPr>
            <w:r>
              <w:rPr>
                <w:rFonts w:ascii="Arial" w:cs="Arial" w:eastAsia="Arial" w:hAnsi="Arial"/>
                <w:sz w:val="14"/>
                <w:szCs w:val="14"/>
                <w:color w:val="050A35"/>
              </w:rPr>
              <w:t>RIDGEPOST CAPITAL | 2026 Proxy Statement</w:t>
            </w:r>
          </w:p>
        </w:tc>
        <w:tc>
          <w:tcPr>
            <w:tcW w:w="980" w:type="dxa"/>
            <w:vAlign w:val="bottom"/>
          </w:tcPr>
          <w:p>
            <w:pPr>
              <w:jc w:val="right"/>
              <w:ind w:right="588"/>
              <w:spacing w:after="0"/>
              <w:rPr>
                <w:sz w:val="20"/>
                <w:szCs w:val="20"/>
                <w:color w:val="auto"/>
              </w:rPr>
            </w:pPr>
            <w:r>
              <w:rPr>
                <w:rFonts w:ascii="Arial" w:cs="Arial" w:eastAsia="Arial" w:hAnsi="Arial"/>
                <w:sz w:val="14"/>
                <w:szCs w:val="14"/>
                <w:b w:val="1"/>
                <w:bCs w:val="1"/>
                <w:color w:val="050A35"/>
              </w:rPr>
              <w:t>29</w:t>
            </w:r>
          </w:p>
        </w:tc>
      </w:tr>
      <w:tr>
        <w:trPr>
          <w:trHeight w:val="738"/>
        </w:trPr>
        <w:tc>
          <w:tcPr>
            <w:tcW w:w="97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sectPr>
      </w:pPr>
    </w:p>
    <w:bookmarkStart w:id="33" w:name="page34"/>
    <w:bookmarkEnd w:id="33"/>
    <w:p>
      <w:pPr>
        <w:spacing w:after="0"/>
        <w:rPr>
          <w:sz w:val="20"/>
          <w:szCs w:val="20"/>
          <w:color w:val="auto"/>
        </w:rPr>
      </w:pPr>
      <w:r>
        <w:rPr>
          <w:rFonts w:ascii="Arial" w:cs="Arial" w:eastAsia="Arial" w:hAnsi="Arial"/>
          <w:sz w:val="13"/>
          <w:szCs w:val="13"/>
          <w:color w:val="050A35"/>
        </w:rPr>
        <w:t>Proposal 3: Advisory Vote on the Frequency of Future Advisory Votes to Approve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9664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360"/>
          </w:cols>
          <w:pgMar w:left="1240" w:top="775" w:right="129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112B19"/>
        </w:rPr>
        <w:t>PROPOSAL 3:</w:t>
      </w:r>
    </w:p>
    <w:p>
      <w:pPr>
        <w:spacing w:after="0" w:line="17" w:lineRule="exact"/>
        <w:rPr>
          <w:sz w:val="20"/>
          <w:szCs w:val="20"/>
          <w:color w:val="auto"/>
        </w:rPr>
      </w:pPr>
    </w:p>
    <w:p>
      <w:pPr>
        <w:ind w:right="1240"/>
        <w:spacing w:after="0" w:line="265" w:lineRule="auto"/>
        <w:rPr>
          <w:sz w:val="20"/>
          <w:szCs w:val="20"/>
          <w:color w:val="auto"/>
        </w:rPr>
      </w:pPr>
      <w:r>
        <w:rPr>
          <w:rFonts w:ascii="Arial" w:cs="Arial" w:eastAsia="Arial" w:hAnsi="Arial"/>
          <w:sz w:val="25"/>
          <w:szCs w:val="25"/>
          <w:color w:val="050A35"/>
        </w:rPr>
        <w:t>Advisory Vote on the Frequency of Future Advisory Votes to Approve the Compensation of the Company’s Named Executive Officers</w:t>
      </w:r>
    </w:p>
    <w:p>
      <w:pPr>
        <w:spacing w:after="0" w:line="48" w:lineRule="exact"/>
        <w:rPr>
          <w:sz w:val="20"/>
          <w:szCs w:val="20"/>
          <w:color w:val="auto"/>
        </w:rPr>
      </w:pPr>
    </w:p>
    <w:p>
      <w:pPr>
        <w:spacing w:after="0" w:line="238" w:lineRule="auto"/>
        <w:rPr>
          <w:sz w:val="20"/>
          <w:szCs w:val="20"/>
          <w:color w:val="auto"/>
        </w:rPr>
      </w:pPr>
      <w:r>
        <w:rPr>
          <w:rFonts w:ascii="Arial" w:cs="Arial" w:eastAsia="Arial" w:hAnsi="Arial"/>
          <w:sz w:val="15"/>
          <w:szCs w:val="15"/>
          <w:color w:val="050A35"/>
        </w:rPr>
        <w:t>As required under Section 14A of the Exchange Act, we are providing our stockholders with the opportunity to cast an advisory, non-binding vote on the frequency of the advisory vote to approve the compensation of the Company’s named executive officers, as set forth in Proposal No. 2. Stockholders can indicate their preference on whether we should hold future advisory votes on named executive officer compensation annually, every two years or every three years. Stockholders also have the option to abstain from voting on this matter.</w:t>
      </w:r>
    </w:p>
    <w:p>
      <w:pPr>
        <w:spacing w:after="0" w:line="72" w:lineRule="exact"/>
        <w:rPr>
          <w:sz w:val="20"/>
          <w:szCs w:val="20"/>
          <w:color w:val="auto"/>
        </w:rPr>
      </w:pPr>
    </w:p>
    <w:p>
      <w:pPr>
        <w:ind w:right="80"/>
        <w:spacing w:after="0" w:line="244" w:lineRule="auto"/>
        <w:rPr>
          <w:sz w:val="20"/>
          <w:szCs w:val="20"/>
          <w:color w:val="auto"/>
        </w:rPr>
      </w:pPr>
      <w:r>
        <w:rPr>
          <w:rFonts w:ascii="Arial" w:cs="Arial" w:eastAsia="Arial" w:hAnsi="Arial"/>
          <w:sz w:val="15"/>
          <w:szCs w:val="15"/>
          <w:color w:val="050A35"/>
        </w:rPr>
        <w:t>You are not being asked to vote “for” or “against” this proposal. Instead, this proposal asks stockholders to inform us how often we should conduct an advisory vote on the compensation of our named executive officers. You may cast your vote by choosing the option of every one, two or three years, or abstaining, in response to the following resolution:</w:t>
      </w:r>
    </w:p>
    <w:p>
      <w:pPr>
        <w:spacing w:after="0" w:line="68" w:lineRule="exact"/>
        <w:rPr>
          <w:sz w:val="20"/>
          <w:szCs w:val="20"/>
          <w:color w:val="auto"/>
        </w:rPr>
      </w:pPr>
    </w:p>
    <w:p>
      <w:pPr>
        <w:ind w:left="660" w:right="100"/>
        <w:spacing w:after="0" w:line="236" w:lineRule="auto"/>
        <w:rPr>
          <w:sz w:val="20"/>
          <w:szCs w:val="20"/>
          <w:color w:val="auto"/>
        </w:rPr>
      </w:pPr>
      <w:r>
        <w:rPr>
          <w:rFonts w:ascii="Arial" w:cs="Arial" w:eastAsia="Arial" w:hAnsi="Arial"/>
          <w:sz w:val="15"/>
          <w:szCs w:val="15"/>
          <w:color w:val="050A35"/>
        </w:rPr>
        <w:t>“RESOLVED, that the option of every one year, two years or three years that receives the highest number of votes cast for this resolution will be determined to be the preferred frequency with which Ridgepost Capital, Inc. is to hold future advisory votes on named executive officer compensation, as disclosed in the Company’s annual proxy statement pursuant to the U.S. Securities and Exchange Commission’s compensation disclosure rules, including the Compensation Discussion and Analysis and the accompanying executive compensation tables and narrative disclosures.”</w:t>
      </w:r>
    </w:p>
    <w:p>
      <w:pPr>
        <w:spacing w:after="0" w:line="70" w:lineRule="exact"/>
        <w:rPr>
          <w:sz w:val="20"/>
          <w:szCs w:val="20"/>
          <w:color w:val="auto"/>
        </w:rPr>
      </w:pPr>
    </w:p>
    <w:p>
      <w:pPr>
        <w:ind w:right="260"/>
        <w:spacing w:after="0" w:line="238" w:lineRule="auto"/>
        <w:rPr>
          <w:sz w:val="20"/>
          <w:szCs w:val="20"/>
          <w:color w:val="auto"/>
        </w:rPr>
      </w:pPr>
      <w:r>
        <w:rPr>
          <w:rFonts w:ascii="Arial" w:cs="Arial" w:eastAsia="Arial" w:hAnsi="Arial"/>
          <w:sz w:val="15"/>
          <w:szCs w:val="15"/>
          <w:color w:val="050A35"/>
        </w:rPr>
        <w:t>Approval of any particular frequency requires the affirmative vote of at least a majority of the combined voting power of the shares of common stock present at the meeting in person or by proxy and entitled to vote on the subject matter. Because this Proposal has four choices, it is possible that no choice will receive a majority of the voting power. If no choice receives a majority of the voting power, our Board of Directors will consider the choice that receives the highest number of votes as the choice supported by our stockholders.</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5"/>
          <w:szCs w:val="15"/>
          <w:color w:val="050A35"/>
        </w:rPr>
        <w:t>Although this vote is advisory and not binding on our Board of Directors, and our Board of Directors may decide it is in the best interests of the Company and our stockholders to hold an advisory vote on executive compensation more or less frequently than the frequency that receives the most votes cast by our stockholders, our Board of Directors expects to hold future advisory votes on named executive officer compensation consistent with the frequency that receives the highest number of votes cast. It is expected that the next advisory vote on the frequency of an advisory vote on compensation of our named executive officers will occur at the 2032 annual meeting of stockholders.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Vote Required</w:t>
      </w:r>
    </w:p>
    <w:p>
      <w:pPr>
        <w:spacing w:after="0" w:line="106" w:lineRule="exact"/>
        <w:rPr>
          <w:sz w:val="20"/>
          <w:szCs w:val="20"/>
          <w:color w:val="auto"/>
        </w:rPr>
      </w:pPr>
    </w:p>
    <w:p>
      <w:pPr>
        <w:jc w:val="both"/>
        <w:ind w:right="60"/>
        <w:spacing w:after="0" w:line="244" w:lineRule="auto"/>
        <w:rPr>
          <w:sz w:val="20"/>
          <w:szCs w:val="20"/>
          <w:color w:val="auto"/>
        </w:rPr>
      </w:pPr>
      <w:r>
        <w:rPr>
          <w:rFonts w:ascii="Arial" w:cs="Arial" w:eastAsia="Arial" w:hAnsi="Arial"/>
          <w:sz w:val="15"/>
          <w:szCs w:val="15"/>
          <w:color w:val="050A35"/>
        </w:rPr>
        <w:t>The affirmative vote of a majority of the combined voting power of the common stock present at the meeting or represented by proxy and entitled to vote on the matter is required for the approval, on an advisory basis, of the frequency of the advisory vote on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62865</wp:posOffset>
            </wp:positionV>
            <wp:extent cx="4766310" cy="411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66310" cy="411480"/>
                    </a:xfrm>
                    <a:prstGeom prst="rect">
                      <a:avLst/>
                    </a:prstGeom>
                    <a:noFill/>
                  </pic:spPr>
                </pic:pic>
              </a:graphicData>
            </a:graphic>
          </wp:anchor>
        </w:drawing>
      </w:r>
    </w:p>
    <w:p>
      <w:pPr>
        <w:spacing w:after="0" w:line="100"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050A35"/>
        </w:rPr>
        <w:t>Recommendation of the Board of Directors</w:t>
      </w:r>
    </w:p>
    <w:p>
      <w:pPr>
        <w:spacing w:after="0" w:line="8" w:lineRule="exact"/>
        <w:rPr>
          <w:sz w:val="20"/>
          <w:szCs w:val="20"/>
          <w:color w:val="auto"/>
        </w:rPr>
      </w:pPr>
    </w:p>
    <w:p>
      <w:pPr>
        <w:ind w:left="1760" w:right="1000"/>
        <w:spacing w:after="0" w:line="265" w:lineRule="auto"/>
        <w:rPr>
          <w:sz w:val="20"/>
          <w:szCs w:val="20"/>
          <w:color w:val="auto"/>
        </w:rPr>
      </w:pPr>
      <w:r>
        <w:rPr>
          <w:rFonts w:ascii="Arial" w:cs="Arial" w:eastAsia="Arial" w:hAnsi="Arial"/>
          <w:sz w:val="15"/>
          <w:szCs w:val="15"/>
          <w:color w:val="050A35"/>
        </w:rPr>
        <w:t xml:space="preserve">The Board of Directors recommends a vote of </w:t>
      </w:r>
      <w:r>
        <w:rPr>
          <w:rFonts w:ascii="Arial" w:cs="Arial" w:eastAsia="Arial" w:hAnsi="Arial"/>
          <w:sz w:val="17"/>
          <w:szCs w:val="17"/>
          <w:b w:val="1"/>
          <w:bCs w:val="1"/>
          <w:color w:val="112B19"/>
        </w:rPr>
        <w:t>“1 YEAR”</w:t>
      </w:r>
      <w:r>
        <w:rPr>
          <w:rFonts w:ascii="Arial" w:cs="Arial" w:eastAsia="Arial" w:hAnsi="Arial"/>
          <w:sz w:val="15"/>
          <w:szCs w:val="15"/>
          <w:color w:val="050A35"/>
        </w:rPr>
        <w:t xml:space="preserve"> as the frequency of future advisory votes to approve the compensation of the Company’s named executive officers under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17145</wp:posOffset>
            </wp:positionV>
            <wp:extent cx="434594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4594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80" w:hanging="474"/>
        <w:spacing w:after="0"/>
        <w:tabs>
          <w:tab w:leader="none" w:pos="480" w:val="left"/>
        </w:tabs>
        <w:numPr>
          <w:ilvl w:val="0"/>
          <w:numId w:val="57"/>
        </w:numPr>
        <w:rPr>
          <w:rFonts w:ascii="Arial" w:cs="Arial" w:eastAsia="Arial" w:hAnsi="Arial"/>
          <w:sz w:val="14"/>
          <w:szCs w:val="14"/>
          <w:b w:val="1"/>
          <w:bCs w:val="1"/>
          <w:color w:val="050A35"/>
        </w:rPr>
      </w:pPr>
      <w:r>
        <w:rPr>
          <w:rFonts w:ascii="Arial" w:cs="Arial" w:eastAsia="Arial" w:hAnsi="Arial"/>
          <w:sz w:val="14"/>
          <w:szCs w:val="14"/>
          <w:color w:val="050A35"/>
        </w:rPr>
        <w:t>RIDGEPOST CAPITAL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473710</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60"/>
          </w:cols>
          <w:pgMar w:left="1240" w:top="775" w:right="1299" w:bottom="1440" w:gutter="0" w:footer="0" w:header="0"/>
          <w:type w:val="continuous"/>
        </w:sectPr>
      </w:pPr>
    </w:p>
    <w:bookmarkStart w:id="34" w:name="page35"/>
    <w:bookmarkEnd w:id="34"/>
    <w:p>
      <w:pPr>
        <w:jc w:val="right"/>
        <w:ind w:right="660"/>
        <w:spacing w:after="0"/>
        <w:rPr>
          <w:sz w:val="20"/>
          <w:szCs w:val="20"/>
          <w:color w:val="auto"/>
        </w:rPr>
      </w:pPr>
      <w:r>
        <w:rPr>
          <w:rFonts w:ascii="Arial" w:cs="Arial" w:eastAsia="Arial" w:hAnsi="Arial"/>
          <w:sz w:val="13"/>
          <w:szCs w:val="13"/>
          <w:color w:val="050A35"/>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050A35"/>
        </w:rPr>
        <w:t>Audit Committee Report</w:t>
      </w:r>
    </w:p>
    <w:p>
      <w:pPr>
        <w:spacing w:after="0" w:line="339" w:lineRule="exact"/>
        <w:rPr>
          <w:sz w:val="20"/>
          <w:szCs w:val="20"/>
          <w:color w:val="auto"/>
        </w:rPr>
      </w:pPr>
    </w:p>
    <w:p>
      <w:pPr>
        <w:ind w:left="660" w:right="1320"/>
        <w:spacing w:after="0" w:line="270" w:lineRule="auto"/>
        <w:rPr>
          <w:sz w:val="20"/>
          <w:szCs w:val="20"/>
          <w:color w:val="auto"/>
        </w:rPr>
      </w:pPr>
      <w:r>
        <w:rPr>
          <w:rFonts w:ascii="Arial" w:cs="Arial" w:eastAsia="Arial" w:hAnsi="Arial"/>
          <w:sz w:val="22"/>
          <w:szCs w:val="22"/>
          <w:color w:val="050A35"/>
        </w:rPr>
        <w:t>Pursuant to rules adopted by the SEC designed to improve disclosures related to the functioning of corporate audit committees and to enhance the reliability and credibility of financial statements of public companies, the Audit Committee of our Board of Directors submits the following report:</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Audit Committee Report to Stockholders*</w:t>
      </w:r>
    </w:p>
    <w:p>
      <w:pPr>
        <w:spacing w:after="0" w:line="106" w:lineRule="exact"/>
        <w:rPr>
          <w:sz w:val="20"/>
          <w:szCs w:val="20"/>
          <w:color w:val="auto"/>
        </w:rPr>
      </w:pPr>
    </w:p>
    <w:p>
      <w:pPr>
        <w:ind w:left="660" w:right="740"/>
        <w:spacing w:after="0" w:line="244" w:lineRule="auto"/>
        <w:rPr>
          <w:sz w:val="20"/>
          <w:szCs w:val="20"/>
          <w:color w:val="auto"/>
        </w:rPr>
      </w:pPr>
      <w:r>
        <w:rPr>
          <w:rFonts w:ascii="Arial" w:cs="Arial" w:eastAsia="Arial" w:hAnsi="Arial"/>
          <w:sz w:val="15"/>
          <w:szCs w:val="15"/>
          <w:color w:val="050A35"/>
        </w:rPr>
        <w:t>The Audit Committee functions pursuant to a written charter adopted by the Board of Directors, the most recent version of which is available on Ridgepost Capital’s website at http://ir.ridgepostcapital.com. The Audit Committee charter governs the operations of the Audit Committee and sets forth its responsibilities.</w:t>
      </w:r>
    </w:p>
    <w:p>
      <w:pPr>
        <w:spacing w:after="0" w:line="68" w:lineRule="exact"/>
        <w:rPr>
          <w:sz w:val="20"/>
          <w:szCs w:val="20"/>
          <w:color w:val="auto"/>
        </w:rPr>
      </w:pPr>
    </w:p>
    <w:p>
      <w:pPr>
        <w:ind w:left="660" w:right="680"/>
        <w:spacing w:after="0" w:line="233" w:lineRule="auto"/>
        <w:rPr>
          <w:sz w:val="20"/>
          <w:szCs w:val="20"/>
          <w:color w:val="auto"/>
        </w:rPr>
      </w:pPr>
      <w:r>
        <w:rPr>
          <w:rFonts w:ascii="Arial" w:cs="Arial" w:eastAsia="Arial" w:hAnsi="Arial"/>
          <w:sz w:val="15"/>
          <w:szCs w:val="15"/>
          <w:color w:val="050A35"/>
        </w:rPr>
        <w:t>It is not the duty of the Audit Committee to plan or conduct audits or to determine that Ridgepost Capital’s financial statements and disclosures are complete, accurate and have been prepared in accordance with generally accepted accounting principles and applicable rules and regulations. Management is responsible for Ridgepost Capital’s financial reporting process, including systems of internal control over financial reporting. The independent registered public accounting firm is responsible for performing an independent audit of Ridgepost Capital’s consolidated financial statements and the effectiveness of Ridgepost Capital’s internal control over financial reporting in accordance with the standards of the Public Company Accounting Oversight Board (“PCAOB”), and to issue a report thereon. The Audit Committee’s responsibility is to engage the independent auditor and to monitor and oversee these processes.</w:t>
      </w:r>
    </w:p>
    <w:p>
      <w:pPr>
        <w:spacing w:after="0" w:line="70" w:lineRule="exact"/>
        <w:rPr>
          <w:sz w:val="20"/>
          <w:szCs w:val="20"/>
          <w:color w:val="auto"/>
        </w:rPr>
      </w:pPr>
    </w:p>
    <w:p>
      <w:pPr>
        <w:ind w:left="660" w:right="700"/>
        <w:spacing w:after="0" w:line="244" w:lineRule="auto"/>
        <w:rPr>
          <w:sz w:val="20"/>
          <w:szCs w:val="20"/>
          <w:color w:val="auto"/>
        </w:rPr>
      </w:pPr>
      <w:r>
        <w:rPr>
          <w:rFonts w:ascii="Arial" w:cs="Arial" w:eastAsia="Arial" w:hAnsi="Arial"/>
          <w:sz w:val="15"/>
          <w:szCs w:val="15"/>
          <w:color w:val="050A35"/>
        </w:rPr>
        <w:t>In fulfilling its responsibilities, the Audit Committee has reviewed and discussed the audited consolidated financial statements of Ridgepost Capital included in the Annual Report on Form 10-K for the year ended December 31, 2025 with Ridgepost Capital’s management and KPMG LLP, Ridgepost Capital’s independent registered public accounting firm.</w:t>
      </w:r>
    </w:p>
    <w:p>
      <w:pPr>
        <w:spacing w:after="0" w:line="68" w:lineRule="exact"/>
        <w:rPr>
          <w:sz w:val="20"/>
          <w:szCs w:val="20"/>
          <w:color w:val="auto"/>
        </w:rPr>
      </w:pPr>
    </w:p>
    <w:p>
      <w:pPr>
        <w:ind w:left="660" w:right="720"/>
        <w:spacing w:after="0" w:line="238" w:lineRule="auto"/>
        <w:rPr>
          <w:sz w:val="20"/>
          <w:szCs w:val="20"/>
          <w:color w:val="auto"/>
        </w:rPr>
      </w:pPr>
      <w:r>
        <w:rPr>
          <w:rFonts w:ascii="Arial" w:cs="Arial" w:eastAsia="Arial" w:hAnsi="Arial"/>
          <w:sz w:val="15"/>
          <w:szCs w:val="15"/>
          <w:color w:val="050A35"/>
        </w:rPr>
        <w:t>The Audit Committee has discussed with KPMG the matters required to be discussed by the applicable requirements of the PCAOB and the Securities and Exchange Commission. In addition, the Audit Committee has received the written disclosures and the letter from KPMG required by applicable requirements of the PCAOB regarding KPMG’s communications with the Audit Committee concerning independence and has discussed with KPMG its independence from Ridgepost Capital and its management.</w:t>
      </w:r>
    </w:p>
    <w:p>
      <w:pPr>
        <w:spacing w:after="0" w:line="72" w:lineRule="exact"/>
        <w:rPr>
          <w:sz w:val="20"/>
          <w:szCs w:val="20"/>
          <w:color w:val="auto"/>
        </w:rPr>
      </w:pPr>
    </w:p>
    <w:p>
      <w:pPr>
        <w:jc w:val="both"/>
        <w:ind w:left="660" w:right="960"/>
        <w:spacing w:after="0" w:line="184" w:lineRule="exact"/>
        <w:rPr>
          <w:sz w:val="20"/>
          <w:szCs w:val="20"/>
          <w:color w:val="auto"/>
        </w:rPr>
      </w:pPr>
      <w:r>
        <w:rPr>
          <w:rFonts w:ascii="Arial" w:cs="Arial" w:eastAsia="Arial" w:hAnsi="Arial"/>
          <w:sz w:val="15"/>
          <w:szCs w:val="15"/>
          <w:color w:val="050A35"/>
        </w:rPr>
        <w:t>Based on the reviews and discussions referred to above, the Audit Committee recommended to the Board of Directors that the audited consolidated financial statements for Ridgepost Capital be included in the Company’s Annual Report on Form 10</w:t>
      </w:r>
      <w:r>
        <w:rPr>
          <w:rFonts w:ascii="MS PGothic" w:cs="MS PGothic" w:eastAsia="MS PGothic" w:hAnsi="MS PGothic"/>
          <w:sz w:val="15"/>
          <w:szCs w:val="15"/>
          <w:color w:val="050A35"/>
        </w:rPr>
        <w:t>‑</w:t>
      </w:r>
      <w:r>
        <w:rPr>
          <w:rFonts w:ascii="Arial" w:cs="Arial" w:eastAsia="Arial" w:hAnsi="Arial"/>
          <w:sz w:val="15"/>
          <w:szCs w:val="15"/>
          <w:color w:val="050A35"/>
        </w:rPr>
        <w:t>K for the year ended December 31, 2025 for filing with the SEC.</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5"/>
          <w:szCs w:val="15"/>
          <w:i w:val="1"/>
          <w:iCs w:val="1"/>
          <w:color w:val="050A35"/>
        </w:rPr>
        <w:t>Members of the Audit Committee</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5"/>
          <w:szCs w:val="15"/>
          <w:color w:val="050A35"/>
        </w:rPr>
        <w:t>Jennifer Glassman (Chair)</w:t>
      </w:r>
    </w:p>
    <w:p>
      <w:pPr>
        <w:ind w:left="660"/>
        <w:spacing w:after="0" w:line="230" w:lineRule="auto"/>
        <w:rPr>
          <w:sz w:val="20"/>
          <w:szCs w:val="20"/>
          <w:color w:val="auto"/>
        </w:rPr>
      </w:pPr>
      <w:r>
        <w:rPr>
          <w:rFonts w:ascii="Arial" w:cs="Arial" w:eastAsia="Arial" w:hAnsi="Arial"/>
          <w:sz w:val="15"/>
          <w:szCs w:val="15"/>
          <w:color w:val="050A35"/>
        </w:rPr>
        <w:t>Travis Barnes</w:t>
      </w:r>
    </w:p>
    <w:p>
      <w:pPr>
        <w:ind w:left="660"/>
        <w:spacing w:after="0" w:line="225" w:lineRule="auto"/>
        <w:rPr>
          <w:sz w:val="20"/>
          <w:szCs w:val="20"/>
          <w:color w:val="auto"/>
        </w:rPr>
      </w:pPr>
      <w:r>
        <w:rPr>
          <w:rFonts w:ascii="Arial" w:cs="Arial" w:eastAsia="Arial" w:hAnsi="Arial"/>
          <w:sz w:val="15"/>
          <w:szCs w:val="15"/>
          <w:color w:val="050A35"/>
        </w:rPr>
        <w:t>Tracey Benford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5"/>
          <w:szCs w:val="15"/>
          <w:color w:val="050A35"/>
        </w:rPr>
        <w:t>Robert Stewart, Jr.</w:t>
      </w:r>
    </w:p>
    <w:p>
      <w:pPr>
        <w:spacing w:after="0" w:line="192" w:lineRule="exact"/>
        <w:rPr>
          <w:sz w:val="20"/>
          <w:szCs w:val="20"/>
          <w:color w:val="auto"/>
        </w:rPr>
      </w:pPr>
    </w:p>
    <w:p>
      <w:pPr>
        <w:ind w:left="660" w:right="680" w:firstLine="6"/>
        <w:spacing w:after="0" w:line="244" w:lineRule="auto"/>
        <w:tabs>
          <w:tab w:leader="none" w:pos="762" w:val="left"/>
        </w:tabs>
        <w:numPr>
          <w:ilvl w:val="0"/>
          <w:numId w:val="58"/>
        </w:numPr>
        <w:rPr>
          <w:rFonts w:ascii="Arial" w:cs="Arial" w:eastAsia="Arial" w:hAnsi="Arial"/>
          <w:sz w:val="15"/>
          <w:szCs w:val="15"/>
          <w:i w:val="1"/>
          <w:iCs w:val="1"/>
          <w:color w:val="050A35"/>
        </w:rPr>
      </w:pPr>
      <w:r>
        <w:rPr>
          <w:rFonts w:ascii="Arial" w:cs="Arial" w:eastAsia="Arial" w:hAnsi="Arial"/>
          <w:sz w:val="15"/>
          <w:szCs w:val="15"/>
          <w:i w:val="1"/>
          <w:iCs w:val="1"/>
          <w:color w:val="050A35"/>
        </w:rPr>
        <w:t>The material in this Report of the Audit Committee is not “soliciting material,” is not deemed filed with the SEC, and is not to be incorporated by reference in any of the Company’s filings under the Securities Act or the Exchange Act, respectively, whether made before or after the date of this Proxy Statement and irrespective of any general incorporation language therein.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40" w:type="dxa"/>
            <w:vAlign w:val="bottom"/>
          </w:tcPr>
          <w:p>
            <w:pPr>
              <w:ind w:left="6560"/>
              <w:spacing w:after="0"/>
              <w:rPr>
                <w:sz w:val="20"/>
                <w:szCs w:val="20"/>
                <w:color w:val="auto"/>
              </w:rPr>
            </w:pPr>
            <w:r>
              <w:rPr>
                <w:rFonts w:ascii="Arial" w:cs="Arial" w:eastAsia="Arial" w:hAnsi="Arial"/>
                <w:sz w:val="14"/>
                <w:szCs w:val="14"/>
                <w:color w:val="050A35"/>
              </w:rPr>
              <w:t>RIDGEPOST CAPITAL | 2026 Proxy Statement</w:t>
            </w:r>
          </w:p>
        </w:tc>
        <w:tc>
          <w:tcPr>
            <w:tcW w:w="980" w:type="dxa"/>
            <w:vAlign w:val="bottom"/>
          </w:tcPr>
          <w:p>
            <w:pPr>
              <w:jc w:val="right"/>
              <w:ind w:right="588"/>
              <w:spacing w:after="0"/>
              <w:rPr>
                <w:sz w:val="20"/>
                <w:szCs w:val="20"/>
                <w:color w:val="auto"/>
              </w:rPr>
            </w:pPr>
            <w:r>
              <w:rPr>
                <w:rFonts w:ascii="Arial" w:cs="Arial" w:eastAsia="Arial" w:hAnsi="Arial"/>
                <w:sz w:val="14"/>
                <w:szCs w:val="14"/>
                <w:b w:val="1"/>
                <w:bCs w:val="1"/>
                <w:color w:val="050A35"/>
              </w:rPr>
              <w:t>31</w:t>
            </w:r>
          </w:p>
        </w:tc>
      </w:tr>
      <w:tr>
        <w:trPr>
          <w:trHeight w:val="738"/>
        </w:trPr>
        <w:tc>
          <w:tcPr>
            <w:tcW w:w="97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sectPr>
      </w:pPr>
    </w:p>
    <w:bookmarkStart w:id="35" w:name="page36"/>
    <w:bookmarkEnd w:id="35"/>
    <w:p>
      <w:pPr>
        <w:spacing w:after="0"/>
        <w:rPr>
          <w:sz w:val="20"/>
          <w:szCs w:val="20"/>
          <w:color w:val="auto"/>
        </w:rPr>
      </w:pPr>
      <w:r>
        <w:rPr>
          <w:rFonts w:ascii="Arial" w:cs="Arial" w:eastAsia="Arial" w:hAnsi="Arial"/>
          <w:sz w:val="13"/>
          <w:szCs w:val="13"/>
          <w:color w:val="050A35"/>
        </w:rPr>
        <w:t>Proposal 4: Ratification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9664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112B19"/>
        </w:rPr>
        <w:t>PROPOSAL 4:</w:t>
      </w:r>
    </w:p>
    <w:p>
      <w:pPr>
        <w:spacing w:after="0" w:line="17" w:lineRule="exact"/>
        <w:rPr>
          <w:sz w:val="20"/>
          <w:szCs w:val="20"/>
          <w:color w:val="auto"/>
        </w:rPr>
      </w:pPr>
    </w:p>
    <w:p>
      <w:pPr>
        <w:spacing w:after="0"/>
        <w:rPr>
          <w:sz w:val="20"/>
          <w:szCs w:val="20"/>
          <w:color w:val="auto"/>
        </w:rPr>
      </w:pPr>
      <w:r>
        <w:rPr>
          <w:rFonts w:ascii="Arial" w:cs="Arial" w:eastAsia="Arial" w:hAnsi="Arial"/>
          <w:sz w:val="25"/>
          <w:szCs w:val="25"/>
          <w:color w:val="050A35"/>
        </w:rPr>
        <w:t>Ratification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Principal Accountant Fees and Services</w:t>
      </w:r>
    </w:p>
    <w:p>
      <w:pPr>
        <w:spacing w:after="0" w:line="106" w:lineRule="exact"/>
        <w:rPr>
          <w:sz w:val="20"/>
          <w:szCs w:val="20"/>
          <w:color w:val="auto"/>
        </w:rPr>
      </w:pPr>
    </w:p>
    <w:p>
      <w:pPr>
        <w:spacing w:after="0" w:line="233" w:lineRule="auto"/>
        <w:rPr>
          <w:sz w:val="20"/>
          <w:szCs w:val="20"/>
          <w:color w:val="auto"/>
        </w:rPr>
      </w:pPr>
      <w:r>
        <w:rPr>
          <w:rFonts w:ascii="Arial" w:cs="Arial" w:eastAsia="Arial" w:hAnsi="Arial"/>
          <w:sz w:val="15"/>
          <w:szCs w:val="15"/>
          <w:color w:val="050A35"/>
        </w:rPr>
        <w:t>KPMG LLP (“KPMG”), an independent registered public accounting firm, has served as our independent public accountant since 2017. Our Board of Directors is seeking stockholder ratification of the appointment of KPMG as our independent registered public accounting firm for our fiscal year ending December 31, 2026. If the appointment is not ratified, the Audit Committee will consider whether it is appropriate to appoint another independent registered public accounting firm. Even if the appointment is ratified, the Audit Committee, in its discretion, may appoint a different independent registered public accounting firm at any time if it determines that such a change would be in the best interests of the Company and our stockholders. Representatives of KPMG will be present at the Annual Meeting, and they will have an opportunity to make a statement if they so desire and are expected to be available to respond to appropriate questions from stockholders.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Independent Public Accountant’s Fees</w:t>
      </w:r>
    </w:p>
    <w:p>
      <w:pPr>
        <w:spacing w:after="0" w:line="106" w:lineRule="exact"/>
        <w:rPr>
          <w:sz w:val="20"/>
          <w:szCs w:val="20"/>
          <w:color w:val="auto"/>
        </w:rPr>
      </w:pPr>
    </w:p>
    <w:p>
      <w:pPr>
        <w:ind w:right="160"/>
        <w:spacing w:after="0" w:line="244" w:lineRule="auto"/>
        <w:rPr>
          <w:sz w:val="20"/>
          <w:szCs w:val="20"/>
          <w:color w:val="auto"/>
        </w:rPr>
      </w:pPr>
      <w:r>
        <w:rPr>
          <w:rFonts w:ascii="Arial" w:cs="Arial" w:eastAsia="Arial" w:hAnsi="Arial"/>
          <w:sz w:val="15"/>
          <w:szCs w:val="15"/>
          <w:color w:val="050A35"/>
        </w:rPr>
        <w:t>The following table presents fees billed for professional audit services rendered by KPMG for the audit of our annual financial statements for the fiscal year ended December 31, 2025 and December 31, 2024, and fees billed for other services rendered by KPMG in those periods.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60" w:type="dxa"/>
            <w:vAlign w:val="bottom"/>
            <w:tcBorders>
              <w:bottom w:val="single" w:sz="8" w:color="112B19"/>
            </w:tcBorders>
          </w:tcPr>
          <w:p>
            <w:pPr>
              <w:spacing w:after="0"/>
              <w:rPr>
                <w:sz w:val="17"/>
                <w:szCs w:val="17"/>
                <w:color w:val="auto"/>
              </w:rPr>
            </w:pPr>
          </w:p>
        </w:tc>
        <w:tc>
          <w:tcPr>
            <w:tcW w:w="3040" w:type="dxa"/>
            <w:vAlign w:val="bottom"/>
            <w:tcBorders>
              <w:bottom w:val="single" w:sz="8" w:color="112B19"/>
            </w:tcBorders>
          </w:tcPr>
          <w:p>
            <w:pPr>
              <w:spacing w:after="0"/>
              <w:rPr>
                <w:sz w:val="17"/>
                <w:szCs w:val="17"/>
                <w:color w:val="auto"/>
              </w:rPr>
            </w:pPr>
          </w:p>
        </w:tc>
        <w:tc>
          <w:tcPr>
            <w:tcW w:w="920" w:type="dxa"/>
            <w:vAlign w:val="bottom"/>
            <w:tcBorders>
              <w:bottom w:val="single" w:sz="8" w:color="112B19"/>
            </w:tcBorders>
          </w:tcPr>
          <w:p>
            <w:pPr>
              <w:jc w:val="right"/>
              <w:ind w:right="368"/>
              <w:spacing w:after="0"/>
              <w:rPr>
                <w:sz w:val="20"/>
                <w:szCs w:val="20"/>
                <w:color w:val="auto"/>
              </w:rPr>
            </w:pPr>
            <w:r>
              <w:rPr>
                <w:rFonts w:ascii="Arial" w:cs="Arial" w:eastAsia="Arial" w:hAnsi="Arial"/>
                <w:sz w:val="14"/>
                <w:szCs w:val="14"/>
                <w:b w:val="1"/>
                <w:bCs w:val="1"/>
                <w:color w:val="112B19"/>
              </w:rPr>
              <w:t>2025</w:t>
            </w:r>
          </w:p>
        </w:tc>
        <w:tc>
          <w:tcPr>
            <w:tcW w:w="380" w:type="dxa"/>
            <w:vAlign w:val="bottom"/>
            <w:tcBorders>
              <w:bottom w:val="single" w:sz="8" w:color="112B19"/>
            </w:tcBorders>
          </w:tcPr>
          <w:p>
            <w:pPr>
              <w:spacing w:after="0"/>
              <w:rPr>
                <w:sz w:val="17"/>
                <w:szCs w:val="17"/>
                <w:color w:val="auto"/>
              </w:rPr>
            </w:pPr>
          </w:p>
        </w:tc>
        <w:tc>
          <w:tcPr>
            <w:tcW w:w="1100" w:type="dxa"/>
            <w:vAlign w:val="bottom"/>
            <w:tcBorders>
              <w:bottom w:val="single" w:sz="8" w:color="112B19"/>
            </w:tcBorders>
          </w:tcPr>
          <w:p>
            <w:pPr>
              <w:jc w:val="right"/>
              <w:ind w:right="488"/>
              <w:spacing w:after="0"/>
              <w:rPr>
                <w:sz w:val="20"/>
                <w:szCs w:val="20"/>
                <w:color w:val="auto"/>
              </w:rPr>
            </w:pPr>
            <w:r>
              <w:rPr>
                <w:rFonts w:ascii="Arial" w:cs="Arial" w:eastAsia="Arial" w:hAnsi="Arial"/>
                <w:sz w:val="14"/>
                <w:szCs w:val="14"/>
                <w:b w:val="1"/>
                <w:bCs w:val="1"/>
                <w:color w:val="112B19"/>
              </w:rPr>
              <w:t>2024</w:t>
            </w:r>
          </w:p>
        </w:tc>
      </w:tr>
      <w:tr>
        <w:trPr>
          <w:trHeight w:val="210"/>
        </w:trPr>
        <w:tc>
          <w:tcPr>
            <w:tcW w:w="3960" w:type="dxa"/>
            <w:vAlign w:val="bottom"/>
          </w:tcPr>
          <w:p>
            <w:pPr>
              <w:ind w:left="100"/>
              <w:spacing w:after="0" w:line="211" w:lineRule="exact"/>
              <w:rPr>
                <w:sz w:val="20"/>
                <w:szCs w:val="20"/>
                <w:color w:val="auto"/>
              </w:rPr>
            </w:pPr>
            <w:r>
              <w:rPr>
                <w:rFonts w:ascii="Arial" w:cs="Arial" w:eastAsia="Arial" w:hAnsi="Arial"/>
                <w:sz w:val="14"/>
                <w:szCs w:val="14"/>
                <w:color w:val="auto"/>
              </w:rPr>
              <w:t>Audit fees</w:t>
            </w:r>
            <w:r>
              <w:rPr>
                <w:rFonts w:ascii="Arial" w:cs="Arial" w:eastAsia="Arial" w:hAnsi="Arial"/>
                <w:sz w:val="19"/>
                <w:szCs w:val="19"/>
                <w:color w:val="auto"/>
                <w:vertAlign w:val="superscript"/>
              </w:rPr>
              <w:t>(1)</w:t>
            </w:r>
          </w:p>
        </w:tc>
        <w:tc>
          <w:tcPr>
            <w:tcW w:w="30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3,870,000</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2,685,000</w:t>
            </w:r>
          </w:p>
        </w:tc>
      </w:tr>
      <w:tr>
        <w:trPr>
          <w:trHeight w:val="216"/>
        </w:trPr>
        <w:tc>
          <w:tcPr>
            <w:tcW w:w="3960" w:type="dxa"/>
            <w:vAlign w:val="bottom"/>
            <w:shd w:val="clear" w:color="auto" w:fill="EDEDED"/>
          </w:tcPr>
          <w:p>
            <w:pPr>
              <w:ind w:left="100"/>
              <w:spacing w:after="0" w:line="216" w:lineRule="exact"/>
              <w:rPr>
                <w:sz w:val="20"/>
                <w:szCs w:val="20"/>
                <w:color w:val="auto"/>
              </w:rPr>
            </w:pPr>
            <w:r>
              <w:rPr>
                <w:rFonts w:ascii="Arial" w:cs="Arial" w:eastAsia="Arial" w:hAnsi="Arial"/>
                <w:sz w:val="14"/>
                <w:szCs w:val="14"/>
                <w:color w:val="auto"/>
              </w:rPr>
              <w:t>All other fees</w:t>
            </w:r>
            <w:r>
              <w:rPr>
                <w:rFonts w:ascii="Arial" w:cs="Arial" w:eastAsia="Arial" w:hAnsi="Arial"/>
                <w:sz w:val="19"/>
                <w:szCs w:val="19"/>
                <w:color w:val="auto"/>
                <w:vertAlign w:val="superscript"/>
              </w:rPr>
              <w:t>(2)</w:t>
            </w:r>
          </w:p>
        </w:tc>
        <w:tc>
          <w:tcPr>
            <w:tcW w:w="304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DEDED"/>
          </w:tcPr>
          <w:p>
            <w:pPr>
              <w:jc w:val="right"/>
              <w:ind w:right="128"/>
              <w:spacing w:after="0"/>
              <w:rPr>
                <w:sz w:val="20"/>
                <w:szCs w:val="20"/>
                <w:color w:val="auto"/>
              </w:rPr>
            </w:pPr>
            <w:r>
              <w:rPr>
                <w:rFonts w:ascii="Arial" w:cs="Arial" w:eastAsia="Arial" w:hAnsi="Arial"/>
                <w:sz w:val="14"/>
                <w:szCs w:val="14"/>
                <w:color w:val="auto"/>
              </w:rPr>
              <w:t>44,176</w:t>
            </w:r>
          </w:p>
        </w:tc>
        <w:tc>
          <w:tcPr>
            <w:tcW w:w="380" w:type="dxa"/>
            <w:vAlign w:val="bottom"/>
            <w:shd w:val="clear" w:color="auto" w:fill="EDEDED"/>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DEDED"/>
          </w:tcPr>
          <w:p>
            <w:pPr>
              <w:jc w:val="right"/>
              <w:ind w:right="268"/>
              <w:spacing w:after="0"/>
              <w:rPr>
                <w:sz w:val="20"/>
                <w:szCs w:val="20"/>
                <w:color w:val="auto"/>
              </w:rPr>
            </w:pPr>
            <w:r>
              <w:rPr>
                <w:rFonts w:ascii="Arial" w:cs="Arial" w:eastAsia="Arial" w:hAnsi="Arial"/>
                <w:sz w:val="14"/>
                <w:szCs w:val="14"/>
                <w:color w:val="auto"/>
              </w:rPr>
              <w:t>144,000</w:t>
            </w:r>
          </w:p>
        </w:tc>
      </w:tr>
      <w:tr>
        <w:trPr>
          <w:trHeight w:val="212"/>
        </w:trPr>
        <w:tc>
          <w:tcPr>
            <w:tcW w:w="3960" w:type="dxa"/>
            <w:vAlign w:val="bottom"/>
            <w:tcBorders>
              <w:bottom w:val="single" w:sz="8" w:color="112B19"/>
            </w:tcBorders>
          </w:tcPr>
          <w:p>
            <w:pPr>
              <w:ind w:left="100"/>
              <w:spacing w:after="0"/>
              <w:rPr>
                <w:sz w:val="20"/>
                <w:szCs w:val="20"/>
                <w:color w:val="auto"/>
              </w:rPr>
            </w:pPr>
            <w:r>
              <w:rPr>
                <w:rFonts w:ascii="Arial" w:cs="Arial" w:eastAsia="Arial" w:hAnsi="Arial"/>
                <w:sz w:val="14"/>
                <w:szCs w:val="14"/>
                <w:color w:val="auto"/>
              </w:rPr>
              <w:t>Total</w:t>
            </w:r>
          </w:p>
        </w:tc>
        <w:tc>
          <w:tcPr>
            <w:tcW w:w="3040" w:type="dxa"/>
            <w:vAlign w:val="bottom"/>
            <w:tcBorders>
              <w:bottom w:val="single" w:sz="8" w:color="112B19"/>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112B19"/>
            </w:tcBorders>
          </w:tcPr>
          <w:p>
            <w:pPr>
              <w:jc w:val="right"/>
              <w:ind w:right="128"/>
              <w:spacing w:after="0"/>
              <w:rPr>
                <w:sz w:val="20"/>
                <w:szCs w:val="20"/>
                <w:color w:val="auto"/>
              </w:rPr>
            </w:pPr>
            <w:r>
              <w:rPr>
                <w:rFonts w:ascii="Arial" w:cs="Arial" w:eastAsia="Arial" w:hAnsi="Arial"/>
                <w:sz w:val="14"/>
                <w:szCs w:val="14"/>
                <w:color w:val="auto"/>
              </w:rPr>
              <w:t>3,914,176</w:t>
            </w:r>
          </w:p>
        </w:tc>
        <w:tc>
          <w:tcPr>
            <w:tcW w:w="380" w:type="dxa"/>
            <w:vAlign w:val="bottom"/>
            <w:tcBorders>
              <w:bottom w:val="single" w:sz="8" w:color="112B19"/>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112B19"/>
            </w:tcBorders>
          </w:tcPr>
          <w:p>
            <w:pPr>
              <w:jc w:val="right"/>
              <w:ind w:right="268"/>
              <w:spacing w:after="0"/>
              <w:rPr>
                <w:sz w:val="20"/>
                <w:szCs w:val="20"/>
                <w:color w:val="auto"/>
              </w:rPr>
            </w:pPr>
            <w:r>
              <w:rPr>
                <w:rFonts w:ascii="Arial" w:cs="Arial" w:eastAsia="Arial" w:hAnsi="Arial"/>
                <w:sz w:val="14"/>
                <w:szCs w:val="14"/>
                <w:color w:val="auto"/>
              </w:rPr>
              <w:t>2,829,000</w:t>
            </w:r>
          </w:p>
        </w:tc>
      </w:tr>
    </w:tbl>
    <w:p>
      <w:pPr>
        <w:spacing w:after="0" w:line="112" w:lineRule="exact"/>
        <w:rPr>
          <w:sz w:val="20"/>
          <w:szCs w:val="20"/>
          <w:color w:val="auto"/>
        </w:rPr>
      </w:pPr>
    </w:p>
    <w:p>
      <w:pPr>
        <w:ind w:left="320" w:right="100" w:hanging="314"/>
        <w:spacing w:after="0" w:line="284" w:lineRule="auto"/>
        <w:tabs>
          <w:tab w:leader="none" w:pos="320" w:val="left"/>
        </w:tabs>
        <w:numPr>
          <w:ilvl w:val="0"/>
          <w:numId w:val="59"/>
        </w:numPr>
        <w:rPr>
          <w:rFonts w:ascii="Times New Roman" w:cs="Times New Roman" w:eastAsia="Times New Roman" w:hAnsi="Times New Roman"/>
          <w:sz w:val="14"/>
          <w:szCs w:val="14"/>
          <w:color w:val="050A35"/>
        </w:rPr>
      </w:pPr>
      <w:r>
        <w:rPr>
          <w:rFonts w:ascii="Arial" w:cs="Arial" w:eastAsia="Arial" w:hAnsi="Arial"/>
          <w:sz w:val="14"/>
          <w:szCs w:val="14"/>
          <w:color w:val="050A35"/>
        </w:rPr>
        <w:t>Audit fees consist of the aggregate fees billed for professional services rendered by KPMG LLP in 2025 and 2024, as applicable, for the audit and review of financial statements and services provided in connection with statutory and regulatory filings.</w:t>
      </w:r>
    </w:p>
    <w:p>
      <w:pPr>
        <w:spacing w:after="0" w:line="50" w:lineRule="exact"/>
        <w:rPr>
          <w:rFonts w:ascii="Times New Roman" w:cs="Times New Roman" w:eastAsia="Times New Roman" w:hAnsi="Times New Roman"/>
          <w:sz w:val="14"/>
          <w:szCs w:val="14"/>
          <w:color w:val="050A35"/>
        </w:rPr>
      </w:pPr>
    </w:p>
    <w:p>
      <w:pPr>
        <w:ind w:left="320" w:hanging="314"/>
        <w:spacing w:after="0"/>
        <w:tabs>
          <w:tab w:leader="none" w:pos="320" w:val="left"/>
        </w:tabs>
        <w:numPr>
          <w:ilvl w:val="0"/>
          <w:numId w:val="59"/>
        </w:numPr>
        <w:rPr>
          <w:rFonts w:ascii="Times New Roman" w:cs="Times New Roman" w:eastAsia="Times New Roman" w:hAnsi="Times New Roman"/>
          <w:sz w:val="14"/>
          <w:szCs w:val="14"/>
          <w:color w:val="050A35"/>
        </w:rPr>
      </w:pPr>
      <w:r>
        <w:rPr>
          <w:rFonts w:ascii="Arial" w:cs="Arial" w:eastAsia="Arial" w:hAnsi="Arial"/>
          <w:sz w:val="14"/>
          <w:szCs w:val="14"/>
          <w:color w:val="050A35"/>
        </w:rPr>
        <w:t>All Other Fees consist of permissible services not related to audit services that were rendered by KPMG LLP.</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Pre-Approval Policies and Procedures</w:t>
      </w:r>
    </w:p>
    <w:p>
      <w:pPr>
        <w:spacing w:after="0" w:line="106" w:lineRule="exact"/>
        <w:rPr>
          <w:sz w:val="20"/>
          <w:szCs w:val="20"/>
          <w:color w:val="auto"/>
        </w:rPr>
      </w:pPr>
    </w:p>
    <w:p>
      <w:pPr>
        <w:ind w:right="60"/>
        <w:spacing w:after="0" w:line="234" w:lineRule="auto"/>
        <w:rPr>
          <w:sz w:val="20"/>
          <w:szCs w:val="20"/>
          <w:color w:val="auto"/>
        </w:rPr>
      </w:pPr>
      <w:r>
        <w:rPr>
          <w:rFonts w:ascii="Arial" w:cs="Arial" w:eastAsia="Arial" w:hAnsi="Arial"/>
          <w:sz w:val="15"/>
          <w:szCs w:val="15"/>
          <w:color w:val="050A35"/>
        </w:rPr>
        <w:t>The Audit Committee pre-approves all auditing services, internal control-related services and permitted non-audit services (including the range of fees and terms thereof) to be performed for the Company by its independent auditor, subject to the de minimis exception for non-audit services described in Section 10A(i)(1)(B) of the Exchange Act that are approved by the Committee prior to the completion of the audit. The Audit Committee may form and delegate authority to subcommittees consisting of one or more members, including the authority to grant pre-approvals of audit and permitted non-audit services, provided that decisions of such subcommittee to grant pre-approvals will be presented to the full Committee at its next scheduled meeting.</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Vote Required</w:t>
      </w:r>
    </w:p>
    <w:p>
      <w:pPr>
        <w:spacing w:after="0" w:line="106" w:lineRule="exact"/>
        <w:rPr>
          <w:sz w:val="20"/>
          <w:szCs w:val="20"/>
          <w:color w:val="auto"/>
        </w:rPr>
      </w:pPr>
    </w:p>
    <w:p>
      <w:pPr>
        <w:ind w:right="620"/>
        <w:spacing w:after="0" w:line="264" w:lineRule="auto"/>
        <w:rPr>
          <w:sz w:val="20"/>
          <w:szCs w:val="20"/>
          <w:color w:val="auto"/>
        </w:rPr>
      </w:pPr>
      <w:r>
        <w:rPr>
          <w:rFonts w:ascii="Arial" w:cs="Arial" w:eastAsia="Arial" w:hAnsi="Arial"/>
          <w:sz w:val="15"/>
          <w:szCs w:val="15"/>
          <w:color w:val="050A35"/>
        </w:rPr>
        <w:t>The appointment of KPMG as our independent registered accounting firm will be ratified by the affirmative vote of a majority of the combined voting power of common stock present at the meeting or represented by proxy and entitled to vote on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52705</wp:posOffset>
            </wp:positionV>
            <wp:extent cx="4732020" cy="411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32020" cy="411480"/>
                    </a:xfrm>
                    <a:prstGeom prst="rect">
                      <a:avLst/>
                    </a:prstGeom>
                    <a:noFill/>
                  </pic:spPr>
                </pic:pic>
              </a:graphicData>
            </a:graphic>
          </wp:anchor>
        </w:drawing>
      </w:r>
    </w:p>
    <w:p>
      <w:pPr>
        <w:spacing w:after="0" w:line="179" w:lineRule="exact"/>
        <w:rPr>
          <w:sz w:val="20"/>
          <w:szCs w:val="20"/>
          <w:color w:val="auto"/>
        </w:rPr>
      </w:pPr>
    </w:p>
    <w:p>
      <w:pPr>
        <w:ind w:left="1940"/>
        <w:spacing w:after="0"/>
        <w:rPr>
          <w:sz w:val="20"/>
          <w:szCs w:val="20"/>
          <w:color w:val="auto"/>
        </w:rPr>
      </w:pPr>
      <w:r>
        <w:rPr>
          <w:rFonts w:ascii="Arial" w:cs="Arial" w:eastAsia="Arial" w:hAnsi="Arial"/>
          <w:sz w:val="15"/>
          <w:szCs w:val="15"/>
          <w:b w:val="1"/>
          <w:bCs w:val="1"/>
          <w:color w:val="050A35"/>
        </w:rPr>
        <w:t>Recommendation of the Board of Directors</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5"/>
          <w:szCs w:val="15"/>
          <w:color w:val="050A35"/>
        </w:rPr>
        <w:t xml:space="preserve">The Board of Directors recommends a vote </w:t>
      </w:r>
      <w:r>
        <w:rPr>
          <w:rFonts w:ascii="Arial" w:cs="Arial" w:eastAsia="Arial" w:hAnsi="Arial"/>
          <w:sz w:val="17"/>
          <w:szCs w:val="17"/>
          <w:b w:val="1"/>
          <w:bCs w:val="1"/>
          <w:color w:val="112B19"/>
        </w:rPr>
        <w:t>“FOR”</w:t>
      </w:r>
      <w:r>
        <w:rPr>
          <w:rFonts w:ascii="Arial" w:cs="Arial" w:eastAsia="Arial" w:hAnsi="Arial"/>
          <w:sz w:val="15"/>
          <w:szCs w:val="15"/>
          <w:color w:val="050A35"/>
        </w:rPr>
        <w:t xml:space="preserve"> the ratification of KPMG under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90805</wp:posOffset>
            </wp:positionV>
            <wp:extent cx="42862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480" w:hanging="474"/>
        <w:spacing w:after="0"/>
        <w:tabs>
          <w:tab w:leader="none" w:pos="480" w:val="left"/>
        </w:tabs>
        <w:numPr>
          <w:ilvl w:val="0"/>
          <w:numId w:val="60"/>
        </w:numPr>
        <w:rPr>
          <w:rFonts w:ascii="Arial" w:cs="Arial" w:eastAsia="Arial" w:hAnsi="Arial"/>
          <w:sz w:val="14"/>
          <w:szCs w:val="14"/>
          <w:b w:val="1"/>
          <w:bCs w:val="1"/>
          <w:color w:val="050A35"/>
        </w:rPr>
      </w:pPr>
      <w:r>
        <w:rPr>
          <w:rFonts w:ascii="Arial" w:cs="Arial" w:eastAsia="Arial" w:hAnsi="Arial"/>
          <w:sz w:val="14"/>
          <w:szCs w:val="14"/>
          <w:color w:val="050A35"/>
        </w:rPr>
        <w:t>RIDGEPOST CAPITAL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473710</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775" w:right="1259" w:bottom="1440" w:gutter="0" w:footer="0" w:header="0"/>
        </w:sectPr>
      </w:pPr>
    </w:p>
    <w:bookmarkStart w:id="36" w:name="page37"/>
    <w:bookmarkEnd w:id="36"/>
    <w:p>
      <w:pPr>
        <w:jc w:val="right"/>
        <w:ind w:right="660"/>
        <w:spacing w:after="0"/>
        <w:rPr>
          <w:sz w:val="20"/>
          <w:szCs w:val="20"/>
          <w:color w:val="auto"/>
        </w:rPr>
      </w:pPr>
      <w:r>
        <w:rPr>
          <w:rFonts w:ascii="Arial" w:cs="Arial" w:eastAsia="Arial" w:hAnsi="Arial"/>
          <w:sz w:val="13"/>
          <w:szCs w:val="13"/>
          <w:color w:val="050A35"/>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050A35"/>
        </w:rPr>
        <w:t>Stock Ownership</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050A35"/>
        </w:rPr>
        <w:t>Security Ownership of Certain Beneficial Owners and Management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5"/>
          <w:szCs w:val="15"/>
          <w:color w:val="050A35"/>
        </w:rPr>
        <w:t>The following table shows information regarding the beneficial ownership of our common stock for the following:</w:t>
      </w:r>
    </w:p>
    <w:p>
      <w:pPr>
        <w:spacing w:after="0" w:line="98" w:lineRule="exact"/>
        <w:rPr>
          <w:sz w:val="20"/>
          <w:szCs w:val="20"/>
          <w:color w:val="auto"/>
        </w:rPr>
      </w:pPr>
    </w:p>
    <w:p>
      <w:pPr>
        <w:ind w:left="840" w:right="680" w:hanging="174"/>
        <w:spacing w:after="0" w:line="263" w:lineRule="auto"/>
        <w:tabs>
          <w:tab w:leader="none" w:pos="840" w:val="left"/>
        </w:tabs>
        <w:numPr>
          <w:ilvl w:val="0"/>
          <w:numId w:val="61"/>
        </w:numPr>
        <w:rPr>
          <w:rFonts w:ascii="Times New Roman" w:cs="Times New Roman" w:eastAsia="Times New Roman" w:hAnsi="Times New Roman"/>
          <w:sz w:val="15"/>
          <w:szCs w:val="15"/>
          <w:color w:val="112B19"/>
        </w:rPr>
      </w:pPr>
      <w:r>
        <w:rPr>
          <w:rFonts w:ascii="Arial" w:cs="Arial" w:eastAsia="Arial" w:hAnsi="Arial"/>
          <w:sz w:val="15"/>
          <w:szCs w:val="15"/>
          <w:color w:val="050A35"/>
        </w:rPr>
        <w:t>Each stockholder known by us to beneficially own more than 5% of our common stock based solely on our review of filings with the SEC pursuant to Section 13(d) or Section 13(g) of the Exchange Act;</w:t>
      </w:r>
    </w:p>
    <w:p>
      <w:pPr>
        <w:spacing w:after="0" w:line="53" w:lineRule="exact"/>
        <w:rPr>
          <w:rFonts w:ascii="Times New Roman" w:cs="Times New Roman" w:eastAsia="Times New Roman" w:hAnsi="Times New Roman"/>
          <w:sz w:val="15"/>
          <w:szCs w:val="15"/>
          <w:color w:val="112B19"/>
        </w:rPr>
      </w:pPr>
    </w:p>
    <w:p>
      <w:pPr>
        <w:ind w:left="840" w:hanging="174"/>
        <w:spacing w:after="0"/>
        <w:tabs>
          <w:tab w:leader="none" w:pos="840" w:val="left"/>
        </w:tabs>
        <w:numPr>
          <w:ilvl w:val="0"/>
          <w:numId w:val="61"/>
        </w:numPr>
        <w:rPr>
          <w:rFonts w:ascii="Times New Roman" w:cs="Times New Roman" w:eastAsia="Times New Roman" w:hAnsi="Times New Roman"/>
          <w:sz w:val="15"/>
          <w:szCs w:val="15"/>
          <w:color w:val="112B19"/>
        </w:rPr>
      </w:pPr>
      <w:r>
        <w:rPr>
          <w:rFonts w:ascii="Arial" w:cs="Arial" w:eastAsia="Arial" w:hAnsi="Arial"/>
          <w:sz w:val="15"/>
          <w:szCs w:val="15"/>
          <w:color w:val="050A35"/>
        </w:rPr>
        <w:t>Each of our directors and director nominees;</w:t>
      </w:r>
    </w:p>
    <w:p>
      <w:pPr>
        <w:spacing w:after="0" w:line="96" w:lineRule="exact"/>
        <w:rPr>
          <w:rFonts w:ascii="Times New Roman" w:cs="Times New Roman" w:eastAsia="Times New Roman" w:hAnsi="Times New Roman"/>
          <w:sz w:val="15"/>
          <w:szCs w:val="15"/>
          <w:color w:val="112B19"/>
        </w:rPr>
      </w:pPr>
    </w:p>
    <w:p>
      <w:pPr>
        <w:ind w:left="840" w:hanging="174"/>
        <w:spacing w:after="0"/>
        <w:tabs>
          <w:tab w:leader="none" w:pos="840" w:val="left"/>
        </w:tabs>
        <w:numPr>
          <w:ilvl w:val="0"/>
          <w:numId w:val="61"/>
        </w:numPr>
        <w:rPr>
          <w:rFonts w:ascii="Times New Roman" w:cs="Times New Roman" w:eastAsia="Times New Roman" w:hAnsi="Times New Roman"/>
          <w:sz w:val="15"/>
          <w:szCs w:val="15"/>
          <w:color w:val="112B19"/>
        </w:rPr>
      </w:pPr>
      <w:r>
        <w:rPr>
          <w:rFonts w:ascii="Arial" w:cs="Arial" w:eastAsia="Arial" w:hAnsi="Arial"/>
          <w:sz w:val="15"/>
          <w:szCs w:val="15"/>
          <w:color w:val="050A35"/>
        </w:rPr>
        <w:t>Each of our named executive officers; and</w:t>
      </w:r>
    </w:p>
    <w:p>
      <w:pPr>
        <w:spacing w:after="0" w:line="96" w:lineRule="exact"/>
        <w:rPr>
          <w:rFonts w:ascii="Times New Roman" w:cs="Times New Roman" w:eastAsia="Times New Roman" w:hAnsi="Times New Roman"/>
          <w:sz w:val="15"/>
          <w:szCs w:val="15"/>
          <w:color w:val="112B19"/>
        </w:rPr>
      </w:pPr>
    </w:p>
    <w:p>
      <w:pPr>
        <w:ind w:left="840" w:hanging="174"/>
        <w:spacing w:after="0"/>
        <w:tabs>
          <w:tab w:leader="none" w:pos="840" w:val="left"/>
        </w:tabs>
        <w:numPr>
          <w:ilvl w:val="0"/>
          <w:numId w:val="61"/>
        </w:numPr>
        <w:rPr>
          <w:rFonts w:ascii="Times New Roman" w:cs="Times New Roman" w:eastAsia="Times New Roman" w:hAnsi="Times New Roman"/>
          <w:sz w:val="15"/>
          <w:szCs w:val="15"/>
          <w:color w:val="112B19"/>
        </w:rPr>
      </w:pPr>
      <w:r>
        <w:rPr>
          <w:rFonts w:ascii="Arial" w:cs="Arial" w:eastAsia="Arial" w:hAnsi="Arial"/>
          <w:sz w:val="15"/>
          <w:szCs w:val="15"/>
          <w:color w:val="050A35"/>
        </w:rPr>
        <w:t>All directors, director nominees and executive officers as a group.</w:t>
      </w:r>
    </w:p>
    <w:p>
      <w:pPr>
        <w:spacing w:after="0" w:line="97" w:lineRule="exact"/>
        <w:rPr>
          <w:sz w:val="20"/>
          <w:szCs w:val="20"/>
          <w:color w:val="auto"/>
        </w:rPr>
      </w:pPr>
    </w:p>
    <w:p>
      <w:pPr>
        <w:ind w:left="660" w:right="740"/>
        <w:spacing w:after="0" w:line="236" w:lineRule="auto"/>
        <w:rPr>
          <w:sz w:val="20"/>
          <w:szCs w:val="20"/>
          <w:color w:val="auto"/>
        </w:rPr>
      </w:pPr>
      <w:r>
        <w:rPr>
          <w:rFonts w:ascii="Arial" w:cs="Arial" w:eastAsia="Arial" w:hAnsi="Arial"/>
          <w:sz w:val="15"/>
          <w:szCs w:val="15"/>
          <w:color w:val="050A35"/>
        </w:rPr>
        <w:t>All information is as of the record date, April 20, 2026, except as noted otherwise. On such date, there were 78,216,084 shares of Class A common stock outstanding with the right to one vote per share on each matter to come before the meeting, 31,260,504 shares of Class B common stock outstanding with the right to ten votes per share on each matter to come before the meeting, and all outstanding shares have a combined voting power of 390,821,124 votes. Unless otherwise provided below, the address for directors, director nominees and executive officers is c/o Ridgepost Capital, Inc., 2699 Howell Street, Suite 1000, Dallas, Texas 75204.</w:t>
      </w:r>
    </w:p>
    <w:p>
      <w:pPr>
        <w:spacing w:after="0" w:line="132"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1040" w:type="dxa"/>
            <w:vAlign w:val="bottom"/>
          </w:tcPr>
          <w:p>
            <w:pPr>
              <w:jc w:val="center"/>
              <w:ind w:left="128"/>
              <w:spacing w:after="0"/>
              <w:rPr>
                <w:sz w:val="20"/>
                <w:szCs w:val="20"/>
                <w:color w:val="auto"/>
              </w:rPr>
            </w:pPr>
            <w:r>
              <w:rPr>
                <w:rFonts w:ascii="Arial" w:cs="Arial" w:eastAsia="Arial" w:hAnsi="Arial"/>
                <w:sz w:val="14"/>
                <w:szCs w:val="14"/>
                <w:b w:val="1"/>
                <w:bCs w:val="1"/>
                <w:color w:val="112B19"/>
              </w:rPr>
              <w:t>Class A</w:t>
            </w:r>
          </w:p>
        </w:tc>
        <w:tc>
          <w:tcPr>
            <w:tcW w:w="500" w:type="dxa"/>
            <w:vAlign w:val="bottom"/>
          </w:tcPr>
          <w:p>
            <w:pPr>
              <w:spacing w:after="0"/>
              <w:rPr>
                <w:sz w:val="14"/>
                <w:szCs w:val="14"/>
                <w:color w:val="auto"/>
              </w:rPr>
            </w:pPr>
          </w:p>
        </w:tc>
        <w:tc>
          <w:tcPr>
            <w:tcW w:w="1000" w:type="dxa"/>
            <w:vAlign w:val="bottom"/>
          </w:tcPr>
          <w:p>
            <w:pPr>
              <w:jc w:val="center"/>
              <w:ind w:right="108"/>
              <w:spacing w:after="0"/>
              <w:rPr>
                <w:sz w:val="20"/>
                <w:szCs w:val="20"/>
                <w:color w:val="auto"/>
              </w:rPr>
            </w:pPr>
            <w:r>
              <w:rPr>
                <w:rFonts w:ascii="Arial" w:cs="Arial" w:eastAsia="Arial" w:hAnsi="Arial"/>
                <w:sz w:val="14"/>
                <w:szCs w:val="14"/>
                <w:b w:val="1"/>
                <w:bCs w:val="1"/>
                <w:color w:val="112B19"/>
              </w:rPr>
              <w:t>Class B</w:t>
            </w:r>
          </w:p>
        </w:tc>
        <w:tc>
          <w:tcPr>
            <w:tcW w:w="1100" w:type="dxa"/>
            <w:vAlign w:val="bottom"/>
          </w:tcPr>
          <w:p>
            <w:pPr>
              <w:jc w:val="center"/>
              <w:ind w:left="288"/>
              <w:spacing w:after="0"/>
              <w:rPr>
                <w:sz w:val="20"/>
                <w:szCs w:val="20"/>
                <w:color w:val="auto"/>
              </w:rPr>
            </w:pPr>
            <w:r>
              <w:rPr>
                <w:rFonts w:ascii="Arial" w:cs="Arial" w:eastAsia="Arial" w:hAnsi="Arial"/>
                <w:sz w:val="14"/>
                <w:szCs w:val="14"/>
                <w:b w:val="1"/>
                <w:bCs w:val="1"/>
                <w:color w:val="112B19"/>
              </w:rPr>
              <w:t>Combined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040" w:type="dxa"/>
            <w:vAlign w:val="bottom"/>
          </w:tcPr>
          <w:p>
            <w:pPr>
              <w:jc w:val="center"/>
              <w:ind w:left="148"/>
              <w:spacing w:after="0"/>
              <w:rPr>
                <w:sz w:val="20"/>
                <w:szCs w:val="20"/>
                <w:color w:val="auto"/>
              </w:rPr>
            </w:pPr>
            <w:r>
              <w:rPr>
                <w:rFonts w:ascii="Arial" w:cs="Arial" w:eastAsia="Arial" w:hAnsi="Arial"/>
                <w:sz w:val="14"/>
                <w:szCs w:val="14"/>
                <w:b w:val="1"/>
                <w:bCs w:val="1"/>
                <w:color w:val="112B19"/>
              </w:rPr>
              <w:t>Common</w:t>
            </w:r>
          </w:p>
        </w:tc>
        <w:tc>
          <w:tcPr>
            <w:tcW w:w="500" w:type="dxa"/>
            <w:vAlign w:val="bottom"/>
          </w:tcPr>
          <w:p>
            <w:pPr>
              <w:spacing w:after="0"/>
              <w:rPr>
                <w:sz w:val="14"/>
                <w:szCs w:val="14"/>
                <w:color w:val="auto"/>
              </w:rPr>
            </w:pPr>
          </w:p>
        </w:tc>
        <w:tc>
          <w:tcPr>
            <w:tcW w:w="1000" w:type="dxa"/>
            <w:vAlign w:val="bottom"/>
          </w:tcPr>
          <w:p>
            <w:pPr>
              <w:jc w:val="center"/>
              <w:ind w:right="108"/>
              <w:spacing w:after="0"/>
              <w:rPr>
                <w:sz w:val="20"/>
                <w:szCs w:val="20"/>
                <w:color w:val="auto"/>
              </w:rPr>
            </w:pPr>
            <w:r>
              <w:rPr>
                <w:rFonts w:ascii="Arial" w:cs="Arial" w:eastAsia="Arial" w:hAnsi="Arial"/>
                <w:sz w:val="14"/>
                <w:szCs w:val="14"/>
                <w:b w:val="1"/>
                <w:bCs w:val="1"/>
                <w:color w:val="112B19"/>
              </w:rPr>
              <w:t>Common</w:t>
            </w:r>
          </w:p>
        </w:tc>
        <w:tc>
          <w:tcPr>
            <w:tcW w:w="1100" w:type="dxa"/>
            <w:vAlign w:val="bottom"/>
          </w:tcPr>
          <w:p>
            <w:pPr>
              <w:jc w:val="center"/>
              <w:ind w:left="268"/>
              <w:spacing w:after="0"/>
              <w:rPr>
                <w:sz w:val="20"/>
                <w:szCs w:val="20"/>
                <w:color w:val="auto"/>
              </w:rPr>
            </w:pPr>
            <w:r>
              <w:rPr>
                <w:rFonts w:ascii="Arial" w:cs="Arial" w:eastAsia="Arial" w:hAnsi="Arial"/>
                <w:sz w:val="14"/>
                <w:szCs w:val="14"/>
                <w:b w:val="1"/>
                <w:bCs w:val="1"/>
                <w:color w:val="112B19"/>
              </w:rPr>
              <w:t>Voting</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112B19"/>
              </w:rPr>
              <w:t>Percent of</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040" w:type="dxa"/>
            <w:vAlign w:val="bottom"/>
          </w:tcPr>
          <w:p>
            <w:pPr>
              <w:jc w:val="center"/>
              <w:ind w:left="128"/>
              <w:spacing w:after="0"/>
              <w:rPr>
                <w:sz w:val="20"/>
                <w:szCs w:val="20"/>
                <w:color w:val="auto"/>
              </w:rPr>
            </w:pPr>
            <w:r>
              <w:rPr>
                <w:rFonts w:ascii="Arial" w:cs="Arial" w:eastAsia="Arial" w:hAnsi="Arial"/>
                <w:sz w:val="14"/>
                <w:szCs w:val="14"/>
                <w:b w:val="1"/>
                <w:bCs w:val="1"/>
                <w:color w:val="112B19"/>
              </w:rPr>
              <w:t>Stock</w:t>
            </w:r>
          </w:p>
        </w:tc>
        <w:tc>
          <w:tcPr>
            <w:tcW w:w="500" w:type="dxa"/>
            <w:vAlign w:val="bottom"/>
          </w:tcPr>
          <w:p>
            <w:pPr>
              <w:spacing w:after="0"/>
              <w:rPr>
                <w:sz w:val="14"/>
                <w:szCs w:val="14"/>
                <w:color w:val="auto"/>
              </w:rPr>
            </w:pPr>
          </w:p>
        </w:tc>
        <w:tc>
          <w:tcPr>
            <w:tcW w:w="1000" w:type="dxa"/>
            <w:vAlign w:val="bottom"/>
          </w:tcPr>
          <w:p>
            <w:pPr>
              <w:jc w:val="center"/>
              <w:ind w:right="108"/>
              <w:spacing w:after="0"/>
              <w:rPr>
                <w:sz w:val="20"/>
                <w:szCs w:val="20"/>
                <w:color w:val="auto"/>
              </w:rPr>
            </w:pPr>
            <w:r>
              <w:rPr>
                <w:rFonts w:ascii="Arial" w:cs="Arial" w:eastAsia="Arial" w:hAnsi="Arial"/>
                <w:sz w:val="14"/>
                <w:szCs w:val="14"/>
                <w:b w:val="1"/>
                <w:bCs w:val="1"/>
                <w:color w:val="112B19"/>
                <w:w w:val="99"/>
              </w:rPr>
              <w:t>Stock</w:t>
            </w:r>
          </w:p>
        </w:tc>
        <w:tc>
          <w:tcPr>
            <w:tcW w:w="1100" w:type="dxa"/>
            <w:vAlign w:val="bottom"/>
          </w:tcPr>
          <w:p>
            <w:pPr>
              <w:jc w:val="center"/>
              <w:ind w:left="268"/>
              <w:spacing w:after="0"/>
              <w:rPr>
                <w:sz w:val="20"/>
                <w:szCs w:val="20"/>
                <w:color w:val="auto"/>
              </w:rPr>
            </w:pPr>
            <w:r>
              <w:rPr>
                <w:rFonts w:ascii="Arial" w:cs="Arial" w:eastAsia="Arial" w:hAnsi="Arial"/>
                <w:sz w:val="14"/>
                <w:szCs w:val="14"/>
                <w:b w:val="1"/>
                <w:bCs w:val="1"/>
                <w:color w:val="112B19"/>
              </w:rPr>
              <w:t>Power and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112B19"/>
              </w:rPr>
              <w:t>Combined</w:t>
            </w: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1040" w:type="dxa"/>
            <w:vAlign w:val="bottom"/>
          </w:tcPr>
          <w:p>
            <w:pPr>
              <w:jc w:val="center"/>
              <w:ind w:left="128"/>
              <w:spacing w:after="0" w:line="145" w:lineRule="exact"/>
              <w:rPr>
                <w:sz w:val="20"/>
                <w:szCs w:val="20"/>
                <w:color w:val="auto"/>
              </w:rPr>
            </w:pPr>
            <w:r>
              <w:rPr>
                <w:rFonts w:ascii="Arial" w:cs="Arial" w:eastAsia="Arial" w:hAnsi="Arial"/>
                <w:sz w:val="14"/>
                <w:szCs w:val="14"/>
                <w:b w:val="1"/>
                <w:bCs w:val="1"/>
                <w:color w:val="112B19"/>
              </w:rPr>
              <w:t>Beneficially</w:t>
            </w:r>
          </w:p>
        </w:tc>
        <w:tc>
          <w:tcPr>
            <w:tcW w:w="500" w:type="dxa"/>
            <w:vAlign w:val="bottom"/>
          </w:tcPr>
          <w:p>
            <w:pPr>
              <w:spacing w:after="0"/>
              <w:rPr>
                <w:sz w:val="12"/>
                <w:szCs w:val="12"/>
                <w:color w:val="auto"/>
              </w:rPr>
            </w:pPr>
          </w:p>
        </w:tc>
        <w:tc>
          <w:tcPr>
            <w:tcW w:w="100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112B19"/>
              </w:rPr>
              <w:t>Beneficially</w:t>
            </w:r>
          </w:p>
        </w:tc>
        <w:tc>
          <w:tcPr>
            <w:tcW w:w="1100" w:type="dxa"/>
            <w:vAlign w:val="bottom"/>
          </w:tcPr>
          <w:p>
            <w:pPr>
              <w:jc w:val="center"/>
              <w:ind w:left="268"/>
              <w:spacing w:after="0" w:line="145" w:lineRule="exact"/>
              <w:rPr>
                <w:sz w:val="20"/>
                <w:szCs w:val="20"/>
                <w:color w:val="auto"/>
              </w:rPr>
            </w:pPr>
            <w:r>
              <w:rPr>
                <w:rFonts w:ascii="Arial" w:cs="Arial" w:eastAsia="Arial" w:hAnsi="Arial"/>
                <w:sz w:val="14"/>
                <w:szCs w:val="14"/>
                <w:b w:val="1"/>
                <w:bCs w:val="1"/>
                <w:color w:val="112B19"/>
              </w:rPr>
              <w:t>Nature of</w:t>
            </w:r>
          </w:p>
        </w:tc>
        <w:tc>
          <w:tcPr>
            <w:tcW w:w="300" w:type="dxa"/>
            <w:vAlign w:val="bottom"/>
          </w:tcPr>
          <w:p>
            <w:pPr>
              <w:spacing w:after="0"/>
              <w:rPr>
                <w:sz w:val="12"/>
                <w:szCs w:val="12"/>
                <w:color w:val="auto"/>
              </w:rPr>
            </w:pPr>
          </w:p>
        </w:tc>
        <w:tc>
          <w:tcPr>
            <w:tcW w:w="960" w:type="dxa"/>
            <w:vAlign w:val="bottom"/>
          </w:tcPr>
          <w:p>
            <w:pPr>
              <w:jc w:val="right"/>
              <w:ind w:right="48"/>
              <w:spacing w:after="0" w:line="145" w:lineRule="exact"/>
              <w:rPr>
                <w:sz w:val="20"/>
                <w:szCs w:val="20"/>
                <w:color w:val="auto"/>
              </w:rPr>
            </w:pPr>
            <w:r>
              <w:rPr>
                <w:rFonts w:ascii="Arial" w:cs="Arial" w:eastAsia="Arial" w:hAnsi="Arial"/>
                <w:sz w:val="14"/>
                <w:szCs w:val="14"/>
                <w:b w:val="1"/>
                <w:bCs w:val="1"/>
                <w:color w:val="112B19"/>
              </w:rPr>
              <w:t>Percent of</w:t>
            </w:r>
          </w:p>
        </w:tc>
        <w:tc>
          <w:tcPr>
            <w:tcW w:w="980" w:type="dxa"/>
            <w:vAlign w:val="bottom"/>
          </w:tcPr>
          <w:p>
            <w:pPr>
              <w:jc w:val="right"/>
              <w:ind w:right="88"/>
              <w:spacing w:after="0" w:line="145" w:lineRule="exact"/>
              <w:rPr>
                <w:sz w:val="20"/>
                <w:szCs w:val="20"/>
                <w:color w:val="auto"/>
              </w:rPr>
            </w:pPr>
            <w:r>
              <w:rPr>
                <w:rFonts w:ascii="Arial" w:cs="Arial" w:eastAsia="Arial" w:hAnsi="Arial"/>
                <w:sz w:val="14"/>
                <w:szCs w:val="14"/>
                <w:b w:val="1"/>
                <w:bCs w:val="1"/>
                <w:color w:val="112B19"/>
              </w:rPr>
              <w:t>Percent of</w:t>
            </w:r>
          </w:p>
        </w:tc>
        <w:tc>
          <w:tcPr>
            <w:tcW w:w="960" w:type="dxa"/>
            <w:vAlign w:val="bottom"/>
          </w:tcPr>
          <w:p>
            <w:pPr>
              <w:jc w:val="center"/>
              <w:spacing w:after="0" w:line="145" w:lineRule="exact"/>
              <w:rPr>
                <w:sz w:val="20"/>
                <w:szCs w:val="20"/>
                <w:color w:val="auto"/>
              </w:rPr>
            </w:pPr>
            <w:r>
              <w:rPr>
                <w:rFonts w:ascii="Arial" w:cs="Arial" w:eastAsia="Arial" w:hAnsi="Arial"/>
                <w:sz w:val="14"/>
                <w:szCs w:val="14"/>
                <w:b w:val="1"/>
                <w:bCs w:val="1"/>
                <w:color w:val="112B19"/>
              </w:rPr>
              <w:t>Voting</w:t>
            </w:r>
          </w:p>
        </w:tc>
        <w:tc>
          <w:tcPr>
            <w:tcW w:w="0" w:type="dxa"/>
            <w:vAlign w:val="bottom"/>
          </w:tcPr>
          <w:p>
            <w:pPr>
              <w:spacing w:after="0"/>
              <w:rPr>
                <w:sz w:val="1"/>
                <w:szCs w:val="1"/>
                <w:color w:val="auto"/>
              </w:rPr>
            </w:pPr>
          </w:p>
        </w:tc>
      </w:tr>
      <w:tr>
        <w:trPr>
          <w:trHeight w:val="189"/>
        </w:trPr>
        <w:tc>
          <w:tcPr>
            <w:tcW w:w="2560" w:type="dxa"/>
            <w:vAlign w:val="bottom"/>
            <w:tcBorders>
              <w:bottom w:val="single" w:sz="8" w:color="112B19"/>
            </w:tcBorders>
          </w:tcPr>
          <w:p>
            <w:pPr>
              <w:spacing w:after="0"/>
              <w:rPr>
                <w:sz w:val="20"/>
                <w:szCs w:val="20"/>
                <w:color w:val="auto"/>
              </w:rPr>
            </w:pPr>
            <w:r>
              <w:rPr>
                <w:rFonts w:ascii="Arial" w:cs="Arial" w:eastAsia="Arial" w:hAnsi="Arial"/>
                <w:sz w:val="14"/>
                <w:szCs w:val="14"/>
                <w:b w:val="1"/>
                <w:bCs w:val="1"/>
                <w:color w:val="112B19"/>
              </w:rPr>
              <w:t>Name of Beneficial Owner</w:t>
            </w:r>
          </w:p>
        </w:tc>
        <w:tc>
          <w:tcPr>
            <w:tcW w:w="1040" w:type="dxa"/>
            <w:vAlign w:val="bottom"/>
            <w:tcBorders>
              <w:bottom w:val="single" w:sz="8" w:color="112B19"/>
            </w:tcBorders>
          </w:tcPr>
          <w:p>
            <w:pPr>
              <w:jc w:val="center"/>
              <w:ind w:left="128"/>
              <w:spacing w:after="0"/>
              <w:rPr>
                <w:sz w:val="20"/>
                <w:szCs w:val="20"/>
                <w:color w:val="auto"/>
              </w:rPr>
            </w:pPr>
            <w:r>
              <w:rPr>
                <w:rFonts w:ascii="Arial" w:cs="Arial" w:eastAsia="Arial" w:hAnsi="Arial"/>
                <w:sz w:val="14"/>
                <w:szCs w:val="14"/>
                <w:b w:val="1"/>
                <w:bCs w:val="1"/>
                <w:color w:val="112B19"/>
              </w:rPr>
              <w:t>Owned</w:t>
            </w:r>
          </w:p>
        </w:tc>
        <w:tc>
          <w:tcPr>
            <w:tcW w:w="500" w:type="dxa"/>
            <w:vAlign w:val="bottom"/>
            <w:tcBorders>
              <w:bottom w:val="single" w:sz="8" w:color="112B19"/>
            </w:tcBorders>
          </w:tcPr>
          <w:p>
            <w:pPr>
              <w:spacing w:after="0"/>
              <w:rPr>
                <w:sz w:val="16"/>
                <w:szCs w:val="16"/>
                <w:color w:val="auto"/>
              </w:rPr>
            </w:pPr>
          </w:p>
        </w:tc>
        <w:tc>
          <w:tcPr>
            <w:tcW w:w="1000" w:type="dxa"/>
            <w:vAlign w:val="bottom"/>
            <w:tcBorders>
              <w:bottom w:val="single" w:sz="8" w:color="112B19"/>
            </w:tcBorders>
          </w:tcPr>
          <w:p>
            <w:pPr>
              <w:jc w:val="center"/>
              <w:ind w:right="128"/>
              <w:spacing w:after="0"/>
              <w:rPr>
                <w:sz w:val="20"/>
                <w:szCs w:val="20"/>
                <w:color w:val="auto"/>
              </w:rPr>
            </w:pPr>
            <w:r>
              <w:rPr>
                <w:rFonts w:ascii="Arial" w:cs="Arial" w:eastAsia="Arial" w:hAnsi="Arial"/>
                <w:sz w:val="14"/>
                <w:szCs w:val="14"/>
                <w:b w:val="1"/>
                <w:bCs w:val="1"/>
                <w:color w:val="112B19"/>
              </w:rPr>
              <w:t>Owned</w:t>
            </w:r>
          </w:p>
        </w:tc>
        <w:tc>
          <w:tcPr>
            <w:tcW w:w="1100" w:type="dxa"/>
            <w:vAlign w:val="bottom"/>
            <w:tcBorders>
              <w:bottom w:val="single" w:sz="8" w:color="112B19"/>
            </w:tcBorders>
          </w:tcPr>
          <w:p>
            <w:pPr>
              <w:jc w:val="center"/>
              <w:ind w:left="288"/>
              <w:spacing w:after="0" w:line="189" w:lineRule="exact"/>
              <w:rPr>
                <w:sz w:val="20"/>
                <w:szCs w:val="20"/>
                <w:color w:val="auto"/>
              </w:rPr>
            </w:pPr>
            <w:r>
              <w:rPr>
                <w:rFonts w:ascii="Arial" w:cs="Arial" w:eastAsia="Arial" w:hAnsi="Arial"/>
                <w:sz w:val="14"/>
                <w:szCs w:val="14"/>
                <w:b w:val="1"/>
                <w:bCs w:val="1"/>
                <w:color w:val="112B19"/>
                <w:w w:val="95"/>
              </w:rPr>
              <w:t xml:space="preserve">Class </w:t>
            </w:r>
            <w:r>
              <w:rPr>
                <w:rFonts w:ascii="Arial" w:cs="Arial" w:eastAsia="Arial" w:hAnsi="Arial"/>
                <w:sz w:val="19"/>
                <w:szCs w:val="19"/>
                <w:b w:val="1"/>
                <w:bCs w:val="1"/>
                <w:color w:val="112B19"/>
                <w:w w:val="95"/>
                <w:vertAlign w:val="superscript"/>
              </w:rPr>
              <w:t>(1)</w:t>
            </w:r>
          </w:p>
        </w:tc>
        <w:tc>
          <w:tcPr>
            <w:tcW w:w="300" w:type="dxa"/>
            <w:vAlign w:val="bottom"/>
            <w:tcBorders>
              <w:bottom w:val="single" w:sz="8" w:color="112B19"/>
            </w:tcBorders>
          </w:tcPr>
          <w:p>
            <w:pPr>
              <w:spacing w:after="0"/>
              <w:rPr>
                <w:sz w:val="16"/>
                <w:szCs w:val="16"/>
                <w:color w:val="auto"/>
              </w:rPr>
            </w:pPr>
          </w:p>
        </w:tc>
        <w:tc>
          <w:tcPr>
            <w:tcW w:w="960" w:type="dxa"/>
            <w:vAlign w:val="bottom"/>
            <w:tcBorders>
              <w:bottom w:val="single" w:sz="8" w:color="112B19"/>
            </w:tcBorders>
          </w:tcPr>
          <w:p>
            <w:pPr>
              <w:jc w:val="right"/>
              <w:ind w:right="128"/>
              <w:spacing w:after="0"/>
              <w:rPr>
                <w:sz w:val="20"/>
                <w:szCs w:val="20"/>
                <w:color w:val="auto"/>
              </w:rPr>
            </w:pPr>
            <w:r>
              <w:rPr>
                <w:rFonts w:ascii="Arial" w:cs="Arial" w:eastAsia="Arial" w:hAnsi="Arial"/>
                <w:sz w:val="14"/>
                <w:szCs w:val="14"/>
                <w:b w:val="1"/>
                <w:bCs w:val="1"/>
                <w:color w:val="112B19"/>
              </w:rPr>
              <w:t>Class A</w:t>
            </w:r>
          </w:p>
        </w:tc>
        <w:tc>
          <w:tcPr>
            <w:tcW w:w="980" w:type="dxa"/>
            <w:vAlign w:val="bottom"/>
            <w:tcBorders>
              <w:bottom w:val="single" w:sz="8" w:color="112B19"/>
            </w:tcBorders>
          </w:tcPr>
          <w:p>
            <w:pPr>
              <w:jc w:val="right"/>
              <w:ind w:right="168"/>
              <w:spacing w:after="0"/>
              <w:rPr>
                <w:sz w:val="20"/>
                <w:szCs w:val="20"/>
                <w:color w:val="auto"/>
              </w:rPr>
            </w:pPr>
            <w:r>
              <w:rPr>
                <w:rFonts w:ascii="Arial" w:cs="Arial" w:eastAsia="Arial" w:hAnsi="Arial"/>
                <w:sz w:val="14"/>
                <w:szCs w:val="14"/>
                <w:b w:val="1"/>
                <w:bCs w:val="1"/>
                <w:color w:val="112B19"/>
              </w:rPr>
              <w:t>Class B</w:t>
            </w:r>
          </w:p>
        </w:tc>
        <w:tc>
          <w:tcPr>
            <w:tcW w:w="960" w:type="dxa"/>
            <w:vAlign w:val="bottom"/>
            <w:tcBorders>
              <w:bottom w:val="single" w:sz="8" w:color="112B19"/>
            </w:tcBorders>
          </w:tcPr>
          <w:p>
            <w:pPr>
              <w:jc w:val="center"/>
              <w:spacing w:after="0"/>
              <w:rPr>
                <w:sz w:val="20"/>
                <w:szCs w:val="20"/>
                <w:color w:val="auto"/>
              </w:rPr>
            </w:pPr>
            <w:r>
              <w:rPr>
                <w:rFonts w:ascii="Arial" w:cs="Arial" w:eastAsia="Arial" w:hAnsi="Arial"/>
                <w:sz w:val="14"/>
                <w:szCs w:val="14"/>
                <w:b w:val="1"/>
                <w:bCs w:val="1"/>
                <w:color w:val="112B19"/>
              </w:rPr>
              <w:t>Power</w:t>
            </w:r>
          </w:p>
        </w:tc>
        <w:tc>
          <w:tcPr>
            <w:tcW w:w="0" w:type="dxa"/>
            <w:vAlign w:val="bottom"/>
          </w:tcPr>
          <w:p>
            <w:pPr>
              <w:spacing w:after="0"/>
              <w:rPr>
                <w:sz w:val="1"/>
                <w:szCs w:val="1"/>
                <w:color w:val="auto"/>
              </w:rPr>
            </w:pPr>
          </w:p>
        </w:tc>
      </w:tr>
      <w:tr>
        <w:trPr>
          <w:trHeight w:val="169"/>
        </w:trPr>
        <w:tc>
          <w:tcPr>
            <w:tcW w:w="3600" w:type="dxa"/>
            <w:vAlign w:val="bottom"/>
            <w:gridSpan w:val="2"/>
          </w:tcPr>
          <w:p>
            <w:pPr>
              <w:spacing w:after="0"/>
              <w:rPr>
                <w:sz w:val="20"/>
                <w:szCs w:val="20"/>
                <w:color w:val="auto"/>
              </w:rPr>
            </w:pPr>
            <w:r>
              <w:rPr>
                <w:rFonts w:ascii="Arial" w:cs="Arial" w:eastAsia="Arial" w:hAnsi="Arial"/>
                <w:sz w:val="14"/>
                <w:szCs w:val="14"/>
                <w:b w:val="1"/>
                <w:bCs w:val="1"/>
                <w:color w:val="112B19"/>
              </w:rPr>
              <w:t>Beneficial Owners of More Than 5% of Any Class</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EDEDED"/>
          </w:tcPr>
          <w:p>
            <w:pPr>
              <w:ind w:left="100"/>
              <w:spacing w:after="0"/>
              <w:rPr>
                <w:sz w:val="20"/>
                <w:szCs w:val="20"/>
                <w:color w:val="auto"/>
              </w:rPr>
            </w:pPr>
            <w:r>
              <w:rPr>
                <w:rFonts w:ascii="Arial" w:cs="Arial" w:eastAsia="Arial" w:hAnsi="Arial"/>
                <w:sz w:val="14"/>
                <w:szCs w:val="14"/>
                <w:color w:val="auto"/>
              </w:rPr>
              <w:t>RCP Group Holders</w:t>
            </w:r>
          </w:p>
        </w:tc>
        <w:tc>
          <w:tcPr>
            <w:tcW w:w="10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1,422,721</w:t>
            </w:r>
          </w:p>
        </w:tc>
        <w:tc>
          <w:tcPr>
            <w:tcW w:w="500" w:type="dxa"/>
            <w:vAlign w:val="bottom"/>
            <w:shd w:val="clear" w:color="auto" w:fill="EDEDED"/>
          </w:tcPr>
          <w:p>
            <w:pPr>
              <w:spacing w:after="0"/>
              <w:rPr>
                <w:sz w:val="21"/>
                <w:szCs w:val="21"/>
                <w:color w:val="auto"/>
              </w:rPr>
            </w:pPr>
          </w:p>
        </w:tc>
        <w:tc>
          <w:tcPr>
            <w:tcW w:w="1000" w:type="dxa"/>
            <w:vAlign w:val="bottom"/>
            <w:shd w:val="clear" w:color="auto" w:fill="EDEDED"/>
          </w:tcPr>
          <w:p>
            <w:pPr>
              <w:jc w:val="right"/>
              <w:ind w:right="188"/>
              <w:spacing w:after="0"/>
              <w:rPr>
                <w:sz w:val="20"/>
                <w:szCs w:val="20"/>
                <w:color w:val="auto"/>
              </w:rPr>
            </w:pPr>
            <w:r>
              <w:rPr>
                <w:rFonts w:ascii="Arial" w:cs="Arial" w:eastAsia="Arial" w:hAnsi="Arial"/>
                <w:sz w:val="14"/>
                <w:szCs w:val="14"/>
                <w:color w:val="auto"/>
              </w:rPr>
              <w:t>15,257,968</w:t>
            </w:r>
          </w:p>
        </w:tc>
        <w:tc>
          <w:tcPr>
            <w:tcW w:w="110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154,002,401</w:t>
            </w:r>
          </w:p>
        </w:tc>
        <w:tc>
          <w:tcPr>
            <w:tcW w:w="300" w:type="dxa"/>
            <w:vAlign w:val="bottom"/>
            <w:shd w:val="clear" w:color="auto" w:fill="EDEDED"/>
          </w:tcPr>
          <w:p>
            <w:pPr>
              <w:spacing w:after="0"/>
              <w:rPr>
                <w:sz w:val="20"/>
                <w:szCs w:val="20"/>
                <w:color w:val="auto"/>
              </w:rPr>
            </w:pPr>
            <w:r>
              <w:rPr>
                <w:rFonts w:ascii="Arial" w:cs="Arial" w:eastAsia="Arial" w:hAnsi="Arial"/>
                <w:sz w:val="10"/>
                <w:szCs w:val="10"/>
                <w:color w:val="auto"/>
              </w:rPr>
              <w:t>(2)</w:t>
            </w:r>
          </w:p>
        </w:tc>
        <w:tc>
          <w:tcPr>
            <w:tcW w:w="960" w:type="dxa"/>
            <w:vAlign w:val="bottom"/>
            <w:shd w:val="clear" w:color="auto" w:fill="EDEDED"/>
          </w:tcPr>
          <w:p>
            <w:pPr>
              <w:jc w:val="right"/>
              <w:ind w:right="68"/>
              <w:spacing w:after="0"/>
              <w:rPr>
                <w:sz w:val="20"/>
                <w:szCs w:val="20"/>
                <w:color w:val="auto"/>
              </w:rPr>
            </w:pPr>
            <w:r>
              <w:rPr>
                <w:rFonts w:ascii="Arial" w:cs="Arial" w:eastAsia="Arial" w:hAnsi="Arial"/>
                <w:sz w:val="14"/>
                <w:szCs w:val="14"/>
                <w:color w:val="auto"/>
              </w:rPr>
              <w:t>2%</w:t>
            </w:r>
          </w:p>
        </w:tc>
        <w:tc>
          <w:tcPr>
            <w:tcW w:w="980" w:type="dxa"/>
            <w:vAlign w:val="bottom"/>
            <w:shd w:val="clear" w:color="auto" w:fill="EDEDED"/>
          </w:tcPr>
          <w:p>
            <w:pPr>
              <w:jc w:val="right"/>
              <w:ind w:right="108"/>
              <w:spacing w:after="0"/>
              <w:rPr>
                <w:sz w:val="20"/>
                <w:szCs w:val="20"/>
                <w:color w:val="auto"/>
              </w:rPr>
            </w:pPr>
            <w:r>
              <w:rPr>
                <w:rFonts w:ascii="Arial" w:cs="Arial" w:eastAsia="Arial" w:hAnsi="Arial"/>
                <w:sz w:val="14"/>
                <w:szCs w:val="14"/>
                <w:color w:val="auto"/>
              </w:rPr>
              <w:t>49%</w:t>
            </w:r>
          </w:p>
        </w:tc>
        <w:tc>
          <w:tcPr>
            <w:tcW w:w="960" w:type="dxa"/>
            <w:vAlign w:val="bottom"/>
            <w:shd w:val="clear" w:color="auto" w:fill="EDEDED"/>
          </w:tcPr>
          <w:p>
            <w:pPr>
              <w:jc w:val="right"/>
              <w:ind w:right="1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43"/>
        </w:trPr>
        <w:tc>
          <w:tcPr>
            <w:tcW w:w="2560" w:type="dxa"/>
            <w:vAlign w:val="bottom"/>
          </w:tcPr>
          <w:p>
            <w:pPr>
              <w:ind w:left="100"/>
              <w:spacing w:after="0"/>
              <w:rPr>
                <w:sz w:val="20"/>
                <w:szCs w:val="20"/>
                <w:color w:val="auto"/>
              </w:rPr>
            </w:pPr>
            <w:r>
              <w:rPr>
                <w:rFonts w:ascii="Arial" w:cs="Arial" w:eastAsia="Arial" w:hAnsi="Arial"/>
                <w:sz w:val="14"/>
                <w:szCs w:val="14"/>
                <w:color w:val="auto"/>
              </w:rPr>
              <w:t>TrueBridge Group Holders</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7,216,987</w:t>
            </w:r>
          </w:p>
        </w:tc>
        <w:tc>
          <w:tcPr>
            <w:tcW w:w="500" w:type="dxa"/>
            <w:vAlign w:val="bottom"/>
          </w:tcPr>
          <w:p>
            <w:pPr>
              <w:spacing w:after="0"/>
              <w:rPr>
                <w:sz w:val="21"/>
                <w:szCs w:val="21"/>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9,616,200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103,378,987</w:t>
            </w:r>
          </w:p>
        </w:tc>
        <w:tc>
          <w:tcPr>
            <w:tcW w:w="300" w:type="dxa"/>
            <w:vAlign w:val="bottom"/>
          </w:tcPr>
          <w:p>
            <w:pPr>
              <w:spacing w:after="0"/>
              <w:rPr>
                <w:sz w:val="20"/>
                <w:szCs w:val="20"/>
                <w:color w:val="auto"/>
              </w:rPr>
            </w:pPr>
            <w:r>
              <w:rPr>
                <w:rFonts w:ascii="Arial" w:cs="Arial" w:eastAsia="Arial" w:hAnsi="Arial"/>
                <w:sz w:val="10"/>
                <w:szCs w:val="10"/>
                <w:color w:val="auto"/>
              </w:rPr>
              <w:t>(3)</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31%</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43"/>
        </w:trPr>
        <w:tc>
          <w:tcPr>
            <w:tcW w:w="2560" w:type="dxa"/>
            <w:vAlign w:val="bottom"/>
            <w:shd w:val="clear" w:color="auto" w:fill="EDEDED"/>
          </w:tcPr>
          <w:p>
            <w:pPr>
              <w:ind w:left="100"/>
              <w:spacing w:after="0"/>
              <w:rPr>
                <w:sz w:val="20"/>
                <w:szCs w:val="20"/>
                <w:color w:val="auto"/>
              </w:rPr>
            </w:pPr>
            <w:r>
              <w:rPr>
                <w:rFonts w:ascii="Arial" w:cs="Arial" w:eastAsia="Arial" w:hAnsi="Arial"/>
                <w:sz w:val="14"/>
                <w:szCs w:val="14"/>
                <w:color w:val="auto"/>
              </w:rPr>
              <w:t>William F. Souder</w:t>
            </w:r>
          </w:p>
        </w:tc>
        <w:tc>
          <w:tcPr>
            <w:tcW w:w="10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815,017</w:t>
            </w:r>
          </w:p>
        </w:tc>
        <w:tc>
          <w:tcPr>
            <w:tcW w:w="500" w:type="dxa"/>
            <w:vAlign w:val="bottom"/>
            <w:shd w:val="clear" w:color="auto" w:fill="EDEDED"/>
          </w:tcPr>
          <w:p>
            <w:pPr>
              <w:spacing w:after="0"/>
              <w:rPr>
                <w:sz w:val="21"/>
                <w:szCs w:val="21"/>
                <w:color w:val="auto"/>
              </w:rPr>
            </w:pPr>
          </w:p>
        </w:tc>
        <w:tc>
          <w:tcPr>
            <w:tcW w:w="1000" w:type="dxa"/>
            <w:vAlign w:val="bottom"/>
            <w:shd w:val="clear" w:color="auto" w:fill="EDEDED"/>
          </w:tcPr>
          <w:p>
            <w:pPr>
              <w:jc w:val="right"/>
              <w:ind w:right="188"/>
              <w:spacing w:after="0"/>
              <w:rPr>
                <w:sz w:val="20"/>
                <w:szCs w:val="20"/>
                <w:color w:val="auto"/>
              </w:rPr>
            </w:pPr>
            <w:r>
              <w:rPr>
                <w:rFonts w:ascii="Arial" w:cs="Arial" w:eastAsia="Arial" w:hAnsi="Arial"/>
                <w:sz w:val="14"/>
                <w:szCs w:val="14"/>
                <w:color w:val="auto"/>
              </w:rPr>
              <w:t>4,261,939</w:t>
            </w:r>
          </w:p>
        </w:tc>
        <w:tc>
          <w:tcPr>
            <w:tcW w:w="110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43,434,407</w:t>
            </w:r>
          </w:p>
        </w:tc>
        <w:tc>
          <w:tcPr>
            <w:tcW w:w="300" w:type="dxa"/>
            <w:vAlign w:val="bottom"/>
            <w:shd w:val="clear" w:color="auto" w:fill="EDEDED"/>
          </w:tcPr>
          <w:p>
            <w:pPr>
              <w:spacing w:after="0"/>
              <w:rPr>
                <w:sz w:val="20"/>
                <w:szCs w:val="20"/>
                <w:color w:val="auto"/>
              </w:rPr>
            </w:pPr>
            <w:r>
              <w:rPr>
                <w:rFonts w:ascii="Arial" w:cs="Arial" w:eastAsia="Arial" w:hAnsi="Arial"/>
                <w:sz w:val="10"/>
                <w:szCs w:val="10"/>
                <w:color w:val="auto"/>
              </w:rPr>
              <w:t>(4)</w:t>
            </w:r>
          </w:p>
        </w:tc>
        <w:tc>
          <w:tcPr>
            <w:tcW w:w="960" w:type="dxa"/>
            <w:vAlign w:val="bottom"/>
            <w:shd w:val="clear" w:color="auto" w:fill="EDEDED"/>
          </w:tcPr>
          <w:p>
            <w:pPr>
              <w:jc w:val="right"/>
              <w:ind w:right="68"/>
              <w:spacing w:after="0"/>
              <w:rPr>
                <w:sz w:val="20"/>
                <w:szCs w:val="20"/>
                <w:color w:val="auto"/>
              </w:rPr>
            </w:pPr>
            <w:r>
              <w:rPr>
                <w:rFonts w:ascii="Arial" w:cs="Arial" w:eastAsia="Arial" w:hAnsi="Arial"/>
                <w:sz w:val="14"/>
                <w:szCs w:val="14"/>
                <w:color w:val="auto"/>
              </w:rPr>
              <w:t>1%</w:t>
            </w:r>
          </w:p>
        </w:tc>
        <w:tc>
          <w:tcPr>
            <w:tcW w:w="980" w:type="dxa"/>
            <w:vAlign w:val="bottom"/>
            <w:shd w:val="clear" w:color="auto" w:fill="EDEDED"/>
          </w:tcPr>
          <w:p>
            <w:pPr>
              <w:jc w:val="right"/>
              <w:ind w:right="108"/>
              <w:spacing w:after="0"/>
              <w:rPr>
                <w:sz w:val="20"/>
                <w:szCs w:val="20"/>
                <w:color w:val="auto"/>
              </w:rPr>
            </w:pPr>
            <w:r>
              <w:rPr>
                <w:rFonts w:ascii="Arial" w:cs="Arial" w:eastAsia="Arial" w:hAnsi="Arial"/>
                <w:sz w:val="14"/>
                <w:szCs w:val="14"/>
                <w:color w:val="auto"/>
              </w:rPr>
              <w:t>14%</w:t>
            </w:r>
          </w:p>
        </w:tc>
        <w:tc>
          <w:tcPr>
            <w:tcW w:w="960" w:type="dxa"/>
            <w:vAlign w:val="bottom"/>
            <w:shd w:val="clear" w:color="auto" w:fill="EDEDED"/>
          </w:tcPr>
          <w:p>
            <w:pPr>
              <w:jc w:val="right"/>
              <w:ind w:right="1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43"/>
        </w:trPr>
        <w:tc>
          <w:tcPr>
            <w:tcW w:w="2560" w:type="dxa"/>
            <w:vAlign w:val="bottom"/>
          </w:tcPr>
          <w:p>
            <w:pPr>
              <w:ind w:left="100"/>
              <w:spacing w:after="0"/>
              <w:rPr>
                <w:sz w:val="20"/>
                <w:szCs w:val="20"/>
                <w:color w:val="auto"/>
              </w:rPr>
            </w:pPr>
            <w:r>
              <w:rPr>
                <w:rFonts w:ascii="Arial" w:cs="Arial" w:eastAsia="Arial" w:hAnsi="Arial"/>
                <w:sz w:val="14"/>
                <w:szCs w:val="14"/>
                <w:color w:val="auto"/>
              </w:rPr>
              <w:t>Kent P. Dauten</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6,583,090</w:t>
            </w:r>
          </w:p>
        </w:tc>
        <w:tc>
          <w:tcPr>
            <w:tcW w:w="500" w:type="dxa"/>
            <w:vAlign w:val="bottom"/>
          </w:tcPr>
          <w:p>
            <w:pPr>
              <w:ind w:left="20"/>
              <w:spacing w:after="0"/>
              <w:rPr>
                <w:sz w:val="20"/>
                <w:szCs w:val="20"/>
                <w:color w:val="auto"/>
              </w:rPr>
            </w:pPr>
            <w:r>
              <w:rPr>
                <w:rFonts w:ascii="Arial" w:cs="Arial" w:eastAsia="Arial" w:hAnsi="Arial"/>
                <w:sz w:val="10"/>
                <w:szCs w:val="10"/>
                <w:color w:val="auto"/>
              </w:rPr>
              <w:t>(5)</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6,583,090</w:t>
            </w:r>
          </w:p>
        </w:tc>
        <w:tc>
          <w:tcPr>
            <w:tcW w:w="300" w:type="dxa"/>
            <w:vAlign w:val="bottom"/>
          </w:tcPr>
          <w:p>
            <w:pPr>
              <w:spacing w:after="0"/>
              <w:rPr>
                <w:sz w:val="21"/>
                <w:szCs w:val="21"/>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9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3"/>
        </w:trPr>
        <w:tc>
          <w:tcPr>
            <w:tcW w:w="2560" w:type="dxa"/>
            <w:vAlign w:val="bottom"/>
            <w:shd w:val="clear" w:color="auto" w:fill="EDEDED"/>
          </w:tcPr>
          <w:p>
            <w:pPr>
              <w:ind w:left="100"/>
              <w:spacing w:after="0"/>
              <w:rPr>
                <w:sz w:val="20"/>
                <w:szCs w:val="20"/>
                <w:color w:val="auto"/>
              </w:rPr>
            </w:pPr>
            <w:r>
              <w:rPr>
                <w:rFonts w:ascii="Arial" w:cs="Arial" w:eastAsia="Arial" w:hAnsi="Arial"/>
                <w:sz w:val="14"/>
                <w:szCs w:val="14"/>
                <w:color w:val="auto"/>
              </w:rPr>
              <w:t>FMR LLC</w:t>
            </w:r>
          </w:p>
        </w:tc>
        <w:tc>
          <w:tcPr>
            <w:tcW w:w="10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6,282,292</w:t>
            </w:r>
          </w:p>
        </w:tc>
        <w:tc>
          <w:tcPr>
            <w:tcW w:w="500" w:type="dxa"/>
            <w:vAlign w:val="bottom"/>
            <w:shd w:val="clear" w:color="auto" w:fill="EDEDED"/>
          </w:tcPr>
          <w:p>
            <w:pPr>
              <w:ind w:left="20"/>
              <w:spacing w:after="0"/>
              <w:rPr>
                <w:sz w:val="20"/>
                <w:szCs w:val="20"/>
                <w:color w:val="auto"/>
              </w:rPr>
            </w:pPr>
            <w:r>
              <w:rPr>
                <w:rFonts w:ascii="Arial" w:cs="Arial" w:eastAsia="Arial" w:hAnsi="Arial"/>
                <w:sz w:val="10"/>
                <w:szCs w:val="10"/>
                <w:color w:val="auto"/>
              </w:rPr>
              <w:t>(6)</w:t>
            </w:r>
          </w:p>
        </w:tc>
        <w:tc>
          <w:tcPr>
            <w:tcW w:w="1000" w:type="dxa"/>
            <w:vAlign w:val="bottom"/>
            <w:shd w:val="clear" w:color="auto" w:fill="EDEDED"/>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6,282,292</w:t>
            </w:r>
          </w:p>
        </w:tc>
        <w:tc>
          <w:tcPr>
            <w:tcW w:w="300" w:type="dxa"/>
            <w:vAlign w:val="bottom"/>
            <w:shd w:val="clear" w:color="auto" w:fill="EDEDED"/>
          </w:tcPr>
          <w:p>
            <w:pPr>
              <w:spacing w:after="0"/>
              <w:rPr>
                <w:sz w:val="21"/>
                <w:szCs w:val="21"/>
                <w:color w:val="auto"/>
              </w:rPr>
            </w:pPr>
          </w:p>
        </w:tc>
        <w:tc>
          <w:tcPr>
            <w:tcW w:w="960" w:type="dxa"/>
            <w:vAlign w:val="bottom"/>
            <w:shd w:val="clear" w:color="auto" w:fill="EDEDED"/>
          </w:tcPr>
          <w:p>
            <w:pPr>
              <w:jc w:val="right"/>
              <w:ind w:right="68"/>
              <w:spacing w:after="0"/>
              <w:rPr>
                <w:sz w:val="20"/>
                <w:szCs w:val="20"/>
                <w:color w:val="auto"/>
              </w:rPr>
            </w:pPr>
            <w:r>
              <w:rPr>
                <w:rFonts w:ascii="Arial" w:cs="Arial" w:eastAsia="Arial" w:hAnsi="Arial"/>
                <w:sz w:val="14"/>
                <w:szCs w:val="14"/>
                <w:color w:val="auto"/>
              </w:rPr>
              <w:t>8%</w:t>
            </w:r>
          </w:p>
        </w:tc>
        <w:tc>
          <w:tcPr>
            <w:tcW w:w="980" w:type="dxa"/>
            <w:vAlign w:val="bottom"/>
            <w:shd w:val="clear" w:color="auto" w:fill="EDEDED"/>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DEDED"/>
          </w:tcPr>
          <w:p>
            <w:pPr>
              <w:jc w:val="right"/>
              <w:ind w:right="1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43"/>
        </w:trPr>
        <w:tc>
          <w:tcPr>
            <w:tcW w:w="2560" w:type="dxa"/>
            <w:vAlign w:val="bottom"/>
          </w:tcPr>
          <w:p>
            <w:pPr>
              <w:ind w:left="100"/>
              <w:spacing w:after="0"/>
              <w:rPr>
                <w:sz w:val="20"/>
                <w:szCs w:val="20"/>
                <w:color w:val="auto"/>
              </w:rPr>
            </w:pPr>
            <w:r>
              <w:rPr>
                <w:rFonts w:ascii="Arial" w:cs="Arial" w:eastAsia="Arial" w:hAnsi="Arial"/>
                <w:sz w:val="14"/>
                <w:szCs w:val="14"/>
                <w:color w:val="auto"/>
              </w:rPr>
              <w:t>The Vanguard Group</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6,117,619</w:t>
            </w:r>
          </w:p>
        </w:tc>
        <w:tc>
          <w:tcPr>
            <w:tcW w:w="500" w:type="dxa"/>
            <w:vAlign w:val="bottom"/>
          </w:tcPr>
          <w:p>
            <w:pPr>
              <w:ind w:left="20"/>
              <w:spacing w:after="0"/>
              <w:rPr>
                <w:sz w:val="20"/>
                <w:szCs w:val="20"/>
                <w:color w:val="auto"/>
              </w:rPr>
            </w:pPr>
            <w:r>
              <w:rPr>
                <w:rFonts w:ascii="Arial" w:cs="Arial" w:eastAsia="Arial" w:hAnsi="Arial"/>
                <w:sz w:val="10"/>
                <w:szCs w:val="10"/>
                <w:color w:val="auto"/>
              </w:rPr>
              <w:t>(7)</w:t>
            </w:r>
          </w:p>
        </w:tc>
        <w:tc>
          <w:tcPr>
            <w:tcW w:w="100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6,117,619</w:t>
            </w:r>
          </w:p>
        </w:tc>
        <w:tc>
          <w:tcPr>
            <w:tcW w:w="300" w:type="dxa"/>
            <w:vAlign w:val="bottom"/>
          </w:tcPr>
          <w:p>
            <w:pPr>
              <w:spacing w:after="0"/>
              <w:rPr>
                <w:sz w:val="21"/>
                <w:szCs w:val="21"/>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9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3"/>
        </w:trPr>
        <w:tc>
          <w:tcPr>
            <w:tcW w:w="2560" w:type="dxa"/>
            <w:vAlign w:val="bottom"/>
            <w:shd w:val="clear" w:color="auto" w:fill="EDEDED"/>
          </w:tcPr>
          <w:p>
            <w:pPr>
              <w:ind w:left="100"/>
              <w:spacing w:after="0" w:line="153" w:lineRule="exact"/>
              <w:rPr>
                <w:sz w:val="20"/>
                <w:szCs w:val="20"/>
                <w:color w:val="auto"/>
              </w:rPr>
            </w:pPr>
            <w:r>
              <w:rPr>
                <w:rFonts w:ascii="Arial" w:cs="Arial" w:eastAsia="Arial" w:hAnsi="Arial"/>
                <w:sz w:val="14"/>
                <w:szCs w:val="14"/>
                <w:color w:val="auto"/>
              </w:rPr>
              <w:t>River Road Asset Management,</w:t>
            </w:r>
          </w:p>
        </w:tc>
        <w:tc>
          <w:tcPr>
            <w:tcW w:w="1040" w:type="dxa"/>
            <w:vAlign w:val="bottom"/>
            <w:shd w:val="clear" w:color="auto" w:fill="EDEDED"/>
          </w:tcPr>
          <w:p>
            <w:pPr>
              <w:spacing w:after="0"/>
              <w:rPr>
                <w:sz w:val="13"/>
                <w:szCs w:val="13"/>
                <w:color w:val="auto"/>
              </w:rPr>
            </w:pPr>
          </w:p>
        </w:tc>
        <w:tc>
          <w:tcPr>
            <w:tcW w:w="500" w:type="dxa"/>
            <w:vAlign w:val="bottom"/>
            <w:vMerge w:val="restart"/>
            <w:shd w:val="clear" w:color="auto" w:fill="EDEDED"/>
          </w:tcPr>
          <w:p>
            <w:pPr>
              <w:ind w:left="20"/>
              <w:spacing w:after="0"/>
              <w:rPr>
                <w:sz w:val="20"/>
                <w:szCs w:val="20"/>
                <w:color w:val="auto"/>
              </w:rPr>
            </w:pPr>
            <w:r>
              <w:rPr>
                <w:rFonts w:ascii="Arial" w:cs="Arial" w:eastAsia="Arial" w:hAnsi="Arial"/>
                <w:sz w:val="10"/>
                <w:szCs w:val="10"/>
                <w:color w:val="auto"/>
              </w:rPr>
              <w:t>(8)</w:t>
            </w:r>
          </w:p>
        </w:tc>
        <w:tc>
          <w:tcPr>
            <w:tcW w:w="1000" w:type="dxa"/>
            <w:vAlign w:val="bottom"/>
            <w:shd w:val="clear" w:color="auto" w:fill="EDEDED"/>
          </w:tcPr>
          <w:p>
            <w:pPr>
              <w:spacing w:after="0"/>
              <w:rPr>
                <w:sz w:val="13"/>
                <w:szCs w:val="13"/>
                <w:color w:val="auto"/>
              </w:rPr>
            </w:pPr>
          </w:p>
        </w:tc>
        <w:tc>
          <w:tcPr>
            <w:tcW w:w="1100" w:type="dxa"/>
            <w:vAlign w:val="bottom"/>
            <w:shd w:val="clear" w:color="auto" w:fill="EDEDED"/>
          </w:tcPr>
          <w:p>
            <w:pPr>
              <w:spacing w:after="0"/>
              <w:rPr>
                <w:sz w:val="13"/>
                <w:szCs w:val="13"/>
                <w:color w:val="auto"/>
              </w:rPr>
            </w:pPr>
          </w:p>
        </w:tc>
        <w:tc>
          <w:tcPr>
            <w:tcW w:w="300" w:type="dxa"/>
            <w:vAlign w:val="bottom"/>
            <w:shd w:val="clear" w:color="auto" w:fill="EDEDED"/>
          </w:tcPr>
          <w:p>
            <w:pPr>
              <w:spacing w:after="0"/>
              <w:rPr>
                <w:sz w:val="13"/>
                <w:szCs w:val="13"/>
                <w:color w:val="auto"/>
              </w:rPr>
            </w:pPr>
          </w:p>
        </w:tc>
        <w:tc>
          <w:tcPr>
            <w:tcW w:w="960" w:type="dxa"/>
            <w:vAlign w:val="bottom"/>
            <w:shd w:val="clear" w:color="auto" w:fill="EDEDED"/>
          </w:tcPr>
          <w:p>
            <w:pPr>
              <w:spacing w:after="0"/>
              <w:rPr>
                <w:sz w:val="13"/>
                <w:szCs w:val="13"/>
                <w:color w:val="auto"/>
              </w:rPr>
            </w:pPr>
          </w:p>
        </w:tc>
        <w:tc>
          <w:tcPr>
            <w:tcW w:w="980" w:type="dxa"/>
            <w:vAlign w:val="bottom"/>
            <w:shd w:val="clear" w:color="auto" w:fill="EDEDED"/>
          </w:tcPr>
          <w:p>
            <w:pPr>
              <w:spacing w:after="0"/>
              <w:rPr>
                <w:sz w:val="13"/>
                <w:szCs w:val="13"/>
                <w:color w:val="auto"/>
              </w:rPr>
            </w:pPr>
          </w:p>
        </w:tc>
        <w:tc>
          <w:tcPr>
            <w:tcW w:w="96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60" w:type="dxa"/>
            <w:vAlign w:val="bottom"/>
            <w:shd w:val="clear" w:color="auto" w:fill="EDEDED"/>
          </w:tcPr>
          <w:p>
            <w:pPr>
              <w:ind w:left="100"/>
              <w:spacing w:after="0"/>
              <w:rPr>
                <w:sz w:val="20"/>
                <w:szCs w:val="20"/>
                <w:color w:val="auto"/>
              </w:rPr>
            </w:pPr>
            <w:r>
              <w:rPr>
                <w:rFonts w:ascii="Arial" w:cs="Arial" w:eastAsia="Arial" w:hAnsi="Arial"/>
                <w:sz w:val="14"/>
                <w:szCs w:val="14"/>
                <w:color w:val="auto"/>
              </w:rPr>
              <w:t>LLC</w:t>
            </w:r>
          </w:p>
        </w:tc>
        <w:tc>
          <w:tcPr>
            <w:tcW w:w="10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4,725,477</w:t>
            </w:r>
          </w:p>
        </w:tc>
        <w:tc>
          <w:tcPr>
            <w:tcW w:w="500" w:type="dxa"/>
            <w:vAlign w:val="bottom"/>
            <w:vMerge w:val="continue"/>
            <w:shd w:val="clear" w:color="auto" w:fill="EDEDED"/>
          </w:tcPr>
          <w:p>
            <w:pPr>
              <w:spacing w:after="0"/>
              <w:rPr>
                <w:sz w:val="14"/>
                <w:szCs w:val="14"/>
                <w:color w:val="auto"/>
              </w:rPr>
            </w:pPr>
          </w:p>
        </w:tc>
        <w:tc>
          <w:tcPr>
            <w:tcW w:w="1000" w:type="dxa"/>
            <w:vAlign w:val="bottom"/>
            <w:shd w:val="clear" w:color="auto" w:fill="EDEDED"/>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4,725,477</w:t>
            </w:r>
          </w:p>
        </w:tc>
        <w:tc>
          <w:tcPr>
            <w:tcW w:w="300" w:type="dxa"/>
            <w:vAlign w:val="bottom"/>
            <w:shd w:val="clear" w:color="auto" w:fill="EDEDED"/>
          </w:tcPr>
          <w:p>
            <w:pPr>
              <w:spacing w:after="0"/>
              <w:rPr>
                <w:sz w:val="14"/>
                <w:szCs w:val="14"/>
                <w:color w:val="auto"/>
              </w:rPr>
            </w:pPr>
          </w:p>
        </w:tc>
        <w:tc>
          <w:tcPr>
            <w:tcW w:w="960" w:type="dxa"/>
            <w:vAlign w:val="bottom"/>
            <w:shd w:val="clear" w:color="auto" w:fill="EDEDED"/>
          </w:tcPr>
          <w:p>
            <w:pPr>
              <w:jc w:val="right"/>
              <w:ind w:right="68"/>
              <w:spacing w:after="0"/>
              <w:rPr>
                <w:sz w:val="20"/>
                <w:szCs w:val="20"/>
                <w:color w:val="auto"/>
              </w:rPr>
            </w:pPr>
            <w:r>
              <w:rPr>
                <w:rFonts w:ascii="Arial" w:cs="Arial" w:eastAsia="Arial" w:hAnsi="Arial"/>
                <w:sz w:val="14"/>
                <w:szCs w:val="14"/>
                <w:color w:val="auto"/>
              </w:rPr>
              <w:t>6%</w:t>
            </w:r>
          </w:p>
        </w:tc>
        <w:tc>
          <w:tcPr>
            <w:tcW w:w="980" w:type="dxa"/>
            <w:vAlign w:val="bottom"/>
            <w:shd w:val="clear" w:color="auto" w:fill="EDEDED"/>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DEDED"/>
          </w:tcPr>
          <w:p>
            <w:pPr>
              <w:jc w:val="right"/>
              <w:ind w:right="1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2560" w:type="dxa"/>
            <w:vAlign w:val="bottom"/>
          </w:tcPr>
          <w:p>
            <w:pPr>
              <w:ind w:left="100"/>
              <w:spacing w:after="0"/>
              <w:rPr>
                <w:sz w:val="20"/>
                <w:szCs w:val="20"/>
                <w:color w:val="auto"/>
              </w:rPr>
            </w:pPr>
            <w:r>
              <w:rPr>
                <w:rFonts w:ascii="Arial" w:cs="Arial" w:eastAsia="Arial" w:hAnsi="Arial"/>
                <w:sz w:val="14"/>
                <w:szCs w:val="14"/>
                <w:color w:val="auto"/>
              </w:rPr>
              <w:t>CAZ Investments LP</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4,536,400</w:t>
            </w:r>
          </w:p>
        </w:tc>
        <w:tc>
          <w:tcPr>
            <w:tcW w:w="500" w:type="dxa"/>
            <w:vAlign w:val="bottom"/>
          </w:tcPr>
          <w:p>
            <w:pPr>
              <w:ind w:left="20"/>
              <w:spacing w:after="0"/>
              <w:rPr>
                <w:sz w:val="20"/>
                <w:szCs w:val="20"/>
                <w:color w:val="auto"/>
              </w:rPr>
            </w:pPr>
            <w:r>
              <w:rPr>
                <w:rFonts w:ascii="Arial" w:cs="Arial" w:eastAsia="Arial" w:hAnsi="Arial"/>
                <w:sz w:val="10"/>
                <w:szCs w:val="10"/>
                <w:color w:val="auto"/>
              </w:rPr>
              <w:t>(9)</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4,536,400</w:t>
            </w:r>
          </w:p>
        </w:tc>
        <w:tc>
          <w:tcPr>
            <w:tcW w:w="300" w:type="dxa"/>
            <w:vAlign w:val="bottom"/>
          </w:tcPr>
          <w:p>
            <w:pPr>
              <w:spacing w:after="0"/>
              <w:rPr>
                <w:sz w:val="21"/>
                <w:szCs w:val="21"/>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9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4100" w:type="dxa"/>
            <w:vAlign w:val="bottom"/>
            <w:gridSpan w:val="3"/>
            <w:shd w:val="clear" w:color="auto" w:fill="EDEDED"/>
          </w:tcPr>
          <w:p>
            <w:pPr>
              <w:spacing w:after="0"/>
              <w:rPr>
                <w:sz w:val="20"/>
                <w:szCs w:val="20"/>
                <w:color w:val="auto"/>
              </w:rPr>
            </w:pPr>
            <w:r>
              <w:rPr>
                <w:rFonts w:ascii="Arial" w:cs="Arial" w:eastAsia="Arial" w:hAnsi="Arial"/>
                <w:sz w:val="14"/>
                <w:szCs w:val="14"/>
                <w:b w:val="1"/>
                <w:bCs w:val="1"/>
                <w:color w:val="112B19"/>
              </w:rPr>
              <w:t>Directors, Director Nominees and Named Executive Officers</w:t>
            </w:r>
          </w:p>
        </w:tc>
        <w:tc>
          <w:tcPr>
            <w:tcW w:w="1000" w:type="dxa"/>
            <w:vAlign w:val="bottom"/>
            <w:shd w:val="clear" w:color="auto" w:fill="EDEDED"/>
          </w:tcPr>
          <w:p>
            <w:pPr>
              <w:spacing w:after="0"/>
              <w:rPr>
                <w:sz w:val="14"/>
                <w:szCs w:val="14"/>
                <w:color w:val="auto"/>
              </w:rPr>
            </w:pPr>
          </w:p>
        </w:tc>
        <w:tc>
          <w:tcPr>
            <w:tcW w:w="1100" w:type="dxa"/>
            <w:vAlign w:val="bottom"/>
            <w:shd w:val="clear" w:color="auto" w:fill="EDEDED"/>
          </w:tcPr>
          <w:p>
            <w:pPr>
              <w:spacing w:after="0"/>
              <w:rPr>
                <w:sz w:val="14"/>
                <w:szCs w:val="14"/>
                <w:color w:val="auto"/>
              </w:rPr>
            </w:pPr>
          </w:p>
        </w:tc>
        <w:tc>
          <w:tcPr>
            <w:tcW w:w="300" w:type="dxa"/>
            <w:vAlign w:val="bottom"/>
            <w:shd w:val="clear" w:color="auto" w:fill="EDEDED"/>
          </w:tcPr>
          <w:p>
            <w:pPr>
              <w:spacing w:after="0"/>
              <w:rPr>
                <w:sz w:val="14"/>
                <w:szCs w:val="14"/>
                <w:color w:val="auto"/>
              </w:rPr>
            </w:pPr>
          </w:p>
        </w:tc>
        <w:tc>
          <w:tcPr>
            <w:tcW w:w="960" w:type="dxa"/>
            <w:vAlign w:val="bottom"/>
            <w:shd w:val="clear" w:color="auto" w:fill="EDEDED"/>
          </w:tcPr>
          <w:p>
            <w:pPr>
              <w:spacing w:after="0"/>
              <w:rPr>
                <w:sz w:val="14"/>
                <w:szCs w:val="14"/>
                <w:color w:val="auto"/>
              </w:rPr>
            </w:pPr>
          </w:p>
        </w:tc>
        <w:tc>
          <w:tcPr>
            <w:tcW w:w="980" w:type="dxa"/>
            <w:vAlign w:val="bottom"/>
            <w:shd w:val="clear" w:color="auto" w:fill="EDEDED"/>
          </w:tcPr>
          <w:p>
            <w:pPr>
              <w:spacing w:after="0"/>
              <w:rPr>
                <w:sz w:val="14"/>
                <w:szCs w:val="14"/>
                <w:color w:val="auto"/>
              </w:rPr>
            </w:pPr>
          </w:p>
        </w:tc>
        <w:tc>
          <w:tcPr>
            <w:tcW w:w="96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100"/>
              <w:spacing w:after="0"/>
              <w:rPr>
                <w:sz w:val="20"/>
                <w:szCs w:val="20"/>
                <w:color w:val="auto"/>
              </w:rPr>
            </w:pPr>
            <w:r>
              <w:rPr>
                <w:rFonts w:ascii="Arial" w:cs="Arial" w:eastAsia="Arial" w:hAnsi="Arial"/>
                <w:sz w:val="14"/>
                <w:szCs w:val="14"/>
                <w:color w:val="auto"/>
              </w:rPr>
              <w:t>Luke Sarsfield</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306,318</w:t>
            </w:r>
          </w:p>
        </w:tc>
        <w:tc>
          <w:tcPr>
            <w:tcW w:w="500" w:type="dxa"/>
            <w:vAlign w:val="bottom"/>
          </w:tcPr>
          <w:p>
            <w:pPr>
              <w:spacing w:after="0"/>
              <w:rPr>
                <w:sz w:val="16"/>
                <w:szCs w:val="16"/>
                <w:color w:val="auto"/>
              </w:rPr>
            </w:pPr>
          </w:p>
        </w:tc>
        <w:tc>
          <w:tcPr>
            <w:tcW w:w="10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306,318</w:t>
            </w:r>
          </w:p>
        </w:tc>
        <w:tc>
          <w:tcPr>
            <w:tcW w:w="300" w:type="dxa"/>
            <w:vAlign w:val="bottom"/>
          </w:tcPr>
          <w:p>
            <w:pPr>
              <w:spacing w:after="0"/>
              <w:rPr>
                <w:sz w:val="16"/>
                <w:szCs w:val="16"/>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25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56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4"/>
                <w:szCs w:val="14"/>
                <w:color w:val="auto"/>
              </w:rPr>
              <w:t>Travis Barnes</w:t>
            </w:r>
          </w:p>
        </w:tc>
        <w:tc>
          <w:tcPr>
            <w:tcW w:w="1040" w:type="dxa"/>
            <w:vAlign w:val="bottom"/>
            <w:tcBorders>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66,834</w:t>
            </w:r>
          </w:p>
        </w:tc>
        <w:tc>
          <w:tcPr>
            <w:tcW w:w="500" w:type="dxa"/>
            <w:vAlign w:val="bottom"/>
            <w:tcBorders>
              <w:bottom w:val="single" w:sz="8" w:color="EDEDED"/>
            </w:tcBorders>
            <w:shd w:val="clear" w:color="auto" w:fill="EDEDED"/>
          </w:tcPr>
          <w:p>
            <w:pPr>
              <w:spacing w:after="0"/>
              <w:rPr>
                <w:sz w:val="19"/>
                <w:szCs w:val="19"/>
                <w:color w:val="auto"/>
              </w:rPr>
            </w:pPr>
          </w:p>
        </w:tc>
        <w:tc>
          <w:tcPr>
            <w:tcW w:w="1000" w:type="dxa"/>
            <w:vAlign w:val="bottom"/>
            <w:tcBorders>
              <w:bottom w:val="single" w:sz="8" w:color="EDEDED"/>
            </w:tcBorders>
            <w:shd w:val="clear" w:color="auto" w:fill="EDEDED"/>
          </w:tcPr>
          <w:p>
            <w:pPr>
              <w:jc w:val="right"/>
              <w:ind w:right="188"/>
              <w:spacing w:after="0"/>
              <w:rPr>
                <w:sz w:val="20"/>
                <w:szCs w:val="20"/>
                <w:color w:val="auto"/>
              </w:rPr>
            </w:pPr>
            <w:r>
              <w:rPr>
                <w:rFonts w:ascii="Arial" w:cs="Arial" w:eastAsia="Arial" w:hAnsi="Arial"/>
                <w:sz w:val="14"/>
                <w:szCs w:val="14"/>
                <w:color w:val="auto"/>
              </w:rPr>
              <w:t>13,291</w:t>
            </w:r>
          </w:p>
        </w:tc>
        <w:tc>
          <w:tcPr>
            <w:tcW w:w="1100" w:type="dxa"/>
            <w:vAlign w:val="bottom"/>
            <w:tcBorders>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199,744</w:t>
            </w:r>
          </w:p>
        </w:tc>
        <w:tc>
          <w:tcPr>
            <w:tcW w:w="300" w:type="dxa"/>
            <w:vAlign w:val="bottom"/>
            <w:tcBorders>
              <w:bottom w:val="single" w:sz="8" w:color="EDEDED"/>
            </w:tcBorders>
            <w:shd w:val="clear" w:color="auto" w:fill="EDEDED"/>
          </w:tcPr>
          <w:p>
            <w:pPr>
              <w:spacing w:after="0"/>
              <w:rPr>
                <w:sz w:val="19"/>
                <w:szCs w:val="19"/>
                <w:color w:val="auto"/>
              </w:rPr>
            </w:pPr>
          </w:p>
        </w:tc>
        <w:tc>
          <w:tcPr>
            <w:tcW w:w="960" w:type="dxa"/>
            <w:vAlign w:val="bottom"/>
            <w:tcBorders>
              <w:bottom w:val="single" w:sz="8" w:color="EDEDED"/>
            </w:tcBorders>
            <w:shd w:val="clear" w:color="auto" w:fill="EDEDED"/>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EDEDED"/>
            </w:tcBorders>
            <w:shd w:val="clear" w:color="auto" w:fill="EDEDED"/>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DEDED"/>
            </w:tcBorders>
            <w:shd w:val="clear" w:color="auto" w:fill="EDEDED"/>
          </w:tcPr>
          <w:p>
            <w:pPr>
              <w:jc w:val="right"/>
              <w:ind w:right="2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560" w:type="dxa"/>
            <w:vAlign w:val="bottom"/>
          </w:tcPr>
          <w:p>
            <w:pPr>
              <w:ind w:left="100"/>
              <w:spacing w:after="0"/>
              <w:rPr>
                <w:sz w:val="20"/>
                <w:szCs w:val="20"/>
                <w:color w:val="auto"/>
              </w:rPr>
            </w:pPr>
            <w:r>
              <w:rPr>
                <w:rFonts w:ascii="Arial" w:cs="Arial" w:eastAsia="Arial" w:hAnsi="Arial"/>
                <w:sz w:val="14"/>
                <w:szCs w:val="14"/>
                <w:color w:val="auto"/>
              </w:rPr>
              <w:t>Tracey Benford</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54,529</w:t>
            </w:r>
          </w:p>
        </w:tc>
        <w:tc>
          <w:tcPr>
            <w:tcW w:w="500" w:type="dxa"/>
            <w:vAlign w:val="bottom"/>
          </w:tcPr>
          <w:p>
            <w:pPr>
              <w:spacing w:after="0"/>
              <w:rPr>
                <w:sz w:val="16"/>
                <w:szCs w:val="16"/>
                <w:color w:val="auto"/>
              </w:rPr>
            </w:pPr>
          </w:p>
        </w:tc>
        <w:tc>
          <w:tcPr>
            <w:tcW w:w="10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54,529</w:t>
            </w:r>
          </w:p>
        </w:tc>
        <w:tc>
          <w:tcPr>
            <w:tcW w:w="300" w:type="dxa"/>
            <w:vAlign w:val="bottom"/>
          </w:tcPr>
          <w:p>
            <w:pPr>
              <w:spacing w:after="0"/>
              <w:rPr>
                <w:sz w:val="16"/>
                <w:szCs w:val="16"/>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25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56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4"/>
                <w:szCs w:val="14"/>
                <w:color w:val="auto"/>
              </w:rPr>
              <w:t>Stephen Blewitt</w:t>
            </w:r>
          </w:p>
        </w:tc>
        <w:tc>
          <w:tcPr>
            <w:tcW w:w="1040" w:type="dxa"/>
            <w:vAlign w:val="bottom"/>
            <w:tcBorders>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EDEDED"/>
            </w:tcBorders>
            <w:shd w:val="clear" w:color="auto" w:fill="EDEDED"/>
          </w:tcPr>
          <w:p>
            <w:pPr>
              <w:spacing w:after="0"/>
              <w:rPr>
                <w:sz w:val="19"/>
                <w:szCs w:val="19"/>
                <w:color w:val="auto"/>
              </w:rPr>
            </w:pPr>
          </w:p>
        </w:tc>
        <w:tc>
          <w:tcPr>
            <w:tcW w:w="1000" w:type="dxa"/>
            <w:vAlign w:val="bottom"/>
            <w:tcBorders>
              <w:bottom w:val="single" w:sz="8" w:color="EDEDED"/>
            </w:tcBorders>
            <w:shd w:val="clear" w:color="auto" w:fill="EDEDED"/>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EDEDED"/>
            </w:tcBorders>
            <w:shd w:val="clear" w:color="auto" w:fill="EDEDED"/>
          </w:tcPr>
          <w:p>
            <w:pPr>
              <w:spacing w:after="0"/>
              <w:rPr>
                <w:sz w:val="19"/>
                <w:szCs w:val="19"/>
                <w:color w:val="auto"/>
              </w:rPr>
            </w:pPr>
          </w:p>
        </w:tc>
        <w:tc>
          <w:tcPr>
            <w:tcW w:w="960" w:type="dxa"/>
            <w:vAlign w:val="bottom"/>
            <w:tcBorders>
              <w:bottom w:val="single" w:sz="8" w:color="EDEDED"/>
            </w:tcBorders>
            <w:shd w:val="clear" w:color="auto" w:fill="EDEDED"/>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EDEDED"/>
            </w:tcBorders>
            <w:shd w:val="clear" w:color="auto" w:fill="EDEDED"/>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DEDED"/>
            </w:tcBorders>
            <w:shd w:val="clear" w:color="auto" w:fill="EDEDED"/>
          </w:tcPr>
          <w:p>
            <w:pPr>
              <w:jc w:val="right"/>
              <w:ind w:right="2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560" w:type="dxa"/>
            <w:vAlign w:val="bottom"/>
          </w:tcPr>
          <w:p>
            <w:pPr>
              <w:ind w:left="100"/>
              <w:spacing w:after="0"/>
              <w:rPr>
                <w:sz w:val="20"/>
                <w:szCs w:val="20"/>
                <w:color w:val="auto"/>
              </w:rPr>
            </w:pPr>
            <w:r>
              <w:rPr>
                <w:rFonts w:ascii="Arial" w:cs="Arial" w:eastAsia="Arial" w:hAnsi="Arial"/>
                <w:sz w:val="14"/>
                <w:szCs w:val="14"/>
                <w:color w:val="auto"/>
              </w:rPr>
              <w:t>Jennifer Glassman</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0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25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EDEDED"/>
          </w:tcPr>
          <w:p>
            <w:pPr>
              <w:ind w:left="100"/>
              <w:spacing w:after="0"/>
              <w:rPr>
                <w:sz w:val="20"/>
                <w:szCs w:val="20"/>
                <w:color w:val="auto"/>
              </w:rPr>
            </w:pPr>
            <w:r>
              <w:rPr>
                <w:rFonts w:ascii="Arial" w:cs="Arial" w:eastAsia="Arial" w:hAnsi="Arial"/>
                <w:sz w:val="14"/>
                <w:szCs w:val="14"/>
                <w:color w:val="auto"/>
              </w:rPr>
              <w:t>Scott Gwilliam</w:t>
            </w:r>
          </w:p>
        </w:tc>
        <w:tc>
          <w:tcPr>
            <w:tcW w:w="10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268,435</w:t>
            </w:r>
          </w:p>
        </w:tc>
        <w:tc>
          <w:tcPr>
            <w:tcW w:w="500" w:type="dxa"/>
            <w:vAlign w:val="bottom"/>
            <w:shd w:val="clear" w:color="auto" w:fill="EDEDED"/>
          </w:tcPr>
          <w:p>
            <w:pPr>
              <w:spacing w:after="0"/>
              <w:rPr>
                <w:sz w:val="21"/>
                <w:szCs w:val="21"/>
                <w:color w:val="auto"/>
              </w:rPr>
            </w:pPr>
          </w:p>
        </w:tc>
        <w:tc>
          <w:tcPr>
            <w:tcW w:w="1000" w:type="dxa"/>
            <w:vAlign w:val="bottom"/>
            <w:shd w:val="clear" w:color="auto" w:fill="EDEDED"/>
          </w:tcPr>
          <w:p>
            <w:pPr>
              <w:jc w:val="right"/>
              <w:ind w:right="188"/>
              <w:spacing w:after="0"/>
              <w:rPr>
                <w:sz w:val="20"/>
                <w:szCs w:val="20"/>
                <w:color w:val="auto"/>
              </w:rPr>
            </w:pPr>
            <w:r>
              <w:rPr>
                <w:rFonts w:ascii="Arial" w:cs="Arial" w:eastAsia="Arial" w:hAnsi="Arial"/>
                <w:sz w:val="14"/>
                <w:szCs w:val="14"/>
                <w:color w:val="auto"/>
              </w:rPr>
              <w:t>631,186</w:t>
            </w:r>
          </w:p>
        </w:tc>
        <w:tc>
          <w:tcPr>
            <w:tcW w:w="110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6,580,295</w:t>
            </w:r>
          </w:p>
        </w:tc>
        <w:tc>
          <w:tcPr>
            <w:tcW w:w="300" w:type="dxa"/>
            <w:vAlign w:val="bottom"/>
            <w:shd w:val="clear" w:color="auto" w:fill="EDEDED"/>
          </w:tcPr>
          <w:p>
            <w:pPr>
              <w:spacing w:after="0"/>
              <w:rPr>
                <w:sz w:val="20"/>
                <w:szCs w:val="20"/>
                <w:color w:val="auto"/>
              </w:rPr>
            </w:pPr>
            <w:r>
              <w:rPr>
                <w:rFonts w:ascii="Arial" w:cs="Arial" w:eastAsia="Arial" w:hAnsi="Arial"/>
                <w:sz w:val="10"/>
                <w:szCs w:val="10"/>
                <w:color w:val="auto"/>
              </w:rPr>
              <w:t>(10)</w:t>
            </w:r>
          </w:p>
        </w:tc>
        <w:tc>
          <w:tcPr>
            <w:tcW w:w="960" w:type="dxa"/>
            <w:vAlign w:val="bottom"/>
            <w:shd w:val="clear" w:color="auto" w:fill="EDEDED"/>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shd w:val="clear" w:color="auto" w:fill="EDEDED"/>
          </w:tcPr>
          <w:p>
            <w:pPr>
              <w:jc w:val="right"/>
              <w:ind w:right="108"/>
              <w:spacing w:after="0"/>
              <w:rPr>
                <w:sz w:val="20"/>
                <w:szCs w:val="20"/>
                <w:color w:val="auto"/>
              </w:rPr>
            </w:pPr>
            <w:r>
              <w:rPr>
                <w:rFonts w:ascii="Arial" w:cs="Arial" w:eastAsia="Arial" w:hAnsi="Arial"/>
                <w:sz w:val="14"/>
                <w:szCs w:val="14"/>
                <w:color w:val="auto"/>
              </w:rPr>
              <w:t>2%</w:t>
            </w:r>
          </w:p>
        </w:tc>
        <w:tc>
          <w:tcPr>
            <w:tcW w:w="960" w:type="dxa"/>
            <w:vAlign w:val="bottom"/>
            <w:shd w:val="clear" w:color="auto" w:fill="EDEDED"/>
          </w:tcPr>
          <w:p>
            <w:pPr>
              <w:jc w:val="right"/>
              <w:ind w:right="1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3"/>
        </w:trPr>
        <w:tc>
          <w:tcPr>
            <w:tcW w:w="2560" w:type="dxa"/>
            <w:vAlign w:val="bottom"/>
          </w:tcPr>
          <w:p>
            <w:pPr>
              <w:ind w:left="100"/>
              <w:spacing w:after="0" w:line="153" w:lineRule="exact"/>
              <w:rPr>
                <w:sz w:val="20"/>
                <w:szCs w:val="20"/>
                <w:color w:val="auto"/>
              </w:rPr>
            </w:pPr>
            <w:r>
              <w:rPr>
                <w:rFonts w:ascii="Arial" w:cs="Arial" w:eastAsia="Arial" w:hAnsi="Arial"/>
                <w:sz w:val="14"/>
                <w:szCs w:val="14"/>
                <w:color w:val="auto"/>
              </w:rPr>
              <w:t>David M. McCoy (member of the</w:t>
            </w:r>
          </w:p>
        </w:tc>
        <w:tc>
          <w:tcPr>
            <w:tcW w:w="1040" w:type="dxa"/>
            <w:vAlign w:val="bottom"/>
          </w:tcPr>
          <w:p>
            <w:pPr>
              <w:spacing w:after="0"/>
              <w:rPr>
                <w:sz w:val="13"/>
                <w:szCs w:val="13"/>
                <w:color w:val="auto"/>
              </w:rPr>
            </w:pPr>
          </w:p>
        </w:tc>
        <w:tc>
          <w:tcPr>
            <w:tcW w:w="500" w:type="dxa"/>
            <w:vAlign w:val="bottom"/>
            <w:vMerge w:val="restart"/>
          </w:tcPr>
          <w:p>
            <w:pPr>
              <w:ind w:left="20"/>
              <w:spacing w:after="0"/>
              <w:rPr>
                <w:sz w:val="20"/>
                <w:szCs w:val="20"/>
                <w:color w:val="auto"/>
              </w:rPr>
            </w:pPr>
            <w:r>
              <w:rPr>
                <w:rFonts w:ascii="Arial" w:cs="Arial" w:eastAsia="Arial" w:hAnsi="Arial"/>
                <w:sz w:val="10"/>
                <w:szCs w:val="10"/>
                <w:color w:val="auto"/>
              </w:rPr>
              <w:t>(11)</w:t>
            </w: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60" w:type="dxa"/>
            <w:vAlign w:val="bottom"/>
          </w:tcPr>
          <w:p>
            <w:pPr>
              <w:ind w:left="100"/>
              <w:spacing w:after="0"/>
              <w:rPr>
                <w:sz w:val="20"/>
                <w:szCs w:val="20"/>
                <w:color w:val="auto"/>
              </w:rPr>
            </w:pPr>
            <w:r>
              <w:rPr>
                <w:rFonts w:ascii="Arial" w:cs="Arial" w:eastAsia="Arial" w:hAnsi="Arial"/>
                <w:sz w:val="14"/>
                <w:szCs w:val="14"/>
                <w:color w:val="auto"/>
              </w:rPr>
              <w:t>RCP Group Holders)</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270,068</w:t>
            </w:r>
          </w:p>
        </w:tc>
        <w:tc>
          <w:tcPr>
            <w:tcW w:w="500" w:type="dxa"/>
            <w:vAlign w:val="bottom"/>
            <w:vMerge w:val="continue"/>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2,517,213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25,442,198</w:t>
            </w:r>
          </w:p>
        </w:tc>
        <w:tc>
          <w:tcPr>
            <w:tcW w:w="300" w:type="dxa"/>
            <w:vAlign w:val="bottom"/>
          </w:tcPr>
          <w:p>
            <w:pPr>
              <w:spacing w:after="0"/>
              <w:rPr>
                <w:sz w:val="14"/>
                <w:szCs w:val="14"/>
                <w:color w:val="auto"/>
              </w:rPr>
            </w:pP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5"/>
        </w:trPr>
        <w:tc>
          <w:tcPr>
            <w:tcW w:w="2560" w:type="dxa"/>
            <w:vAlign w:val="bottom"/>
            <w:shd w:val="clear" w:color="auto" w:fill="EDEDED"/>
          </w:tcPr>
          <w:p>
            <w:pPr>
              <w:ind w:left="100"/>
              <w:spacing w:after="0" w:line="135" w:lineRule="exact"/>
              <w:rPr>
                <w:sz w:val="20"/>
                <w:szCs w:val="20"/>
                <w:color w:val="auto"/>
              </w:rPr>
            </w:pPr>
            <w:r>
              <w:rPr>
                <w:rFonts w:ascii="Arial" w:cs="Arial" w:eastAsia="Arial" w:hAnsi="Arial"/>
                <w:sz w:val="14"/>
                <w:szCs w:val="14"/>
                <w:color w:val="auto"/>
              </w:rPr>
              <w:t>Edwin Poston (member of the</w:t>
            </w:r>
          </w:p>
        </w:tc>
        <w:tc>
          <w:tcPr>
            <w:tcW w:w="1040" w:type="dxa"/>
            <w:vAlign w:val="bottom"/>
            <w:shd w:val="clear" w:color="auto" w:fill="EDEDED"/>
          </w:tcPr>
          <w:p>
            <w:pPr>
              <w:spacing w:after="0"/>
              <w:rPr>
                <w:sz w:val="11"/>
                <w:szCs w:val="11"/>
                <w:color w:val="auto"/>
              </w:rPr>
            </w:pPr>
          </w:p>
        </w:tc>
        <w:tc>
          <w:tcPr>
            <w:tcW w:w="500" w:type="dxa"/>
            <w:vAlign w:val="bottom"/>
            <w:shd w:val="clear" w:color="auto" w:fill="EDEDED"/>
          </w:tcPr>
          <w:p>
            <w:pPr>
              <w:spacing w:after="0"/>
              <w:rPr>
                <w:sz w:val="11"/>
                <w:szCs w:val="11"/>
                <w:color w:val="auto"/>
              </w:rPr>
            </w:pPr>
          </w:p>
        </w:tc>
        <w:tc>
          <w:tcPr>
            <w:tcW w:w="1000" w:type="dxa"/>
            <w:vAlign w:val="bottom"/>
            <w:shd w:val="clear" w:color="auto" w:fill="EDEDED"/>
          </w:tcPr>
          <w:p>
            <w:pPr>
              <w:spacing w:after="0"/>
              <w:rPr>
                <w:sz w:val="11"/>
                <w:szCs w:val="11"/>
                <w:color w:val="auto"/>
              </w:rPr>
            </w:pPr>
          </w:p>
        </w:tc>
        <w:tc>
          <w:tcPr>
            <w:tcW w:w="1100" w:type="dxa"/>
            <w:vAlign w:val="bottom"/>
            <w:shd w:val="clear" w:color="auto" w:fill="EDEDED"/>
          </w:tcPr>
          <w:p>
            <w:pPr>
              <w:spacing w:after="0"/>
              <w:rPr>
                <w:sz w:val="11"/>
                <w:szCs w:val="11"/>
                <w:color w:val="auto"/>
              </w:rPr>
            </w:pPr>
          </w:p>
        </w:tc>
        <w:tc>
          <w:tcPr>
            <w:tcW w:w="300" w:type="dxa"/>
            <w:vAlign w:val="bottom"/>
            <w:shd w:val="clear" w:color="auto" w:fill="EDEDED"/>
          </w:tcPr>
          <w:p>
            <w:pPr>
              <w:spacing w:after="0"/>
              <w:rPr>
                <w:sz w:val="20"/>
                <w:szCs w:val="20"/>
                <w:color w:val="auto"/>
              </w:rPr>
            </w:pPr>
            <w:r>
              <w:rPr>
                <w:rFonts w:ascii="Arial" w:cs="Arial" w:eastAsia="Arial" w:hAnsi="Arial"/>
                <w:sz w:val="10"/>
                <w:szCs w:val="10"/>
                <w:color w:val="auto"/>
              </w:rPr>
              <w:t>(3)</w:t>
            </w:r>
          </w:p>
        </w:tc>
        <w:tc>
          <w:tcPr>
            <w:tcW w:w="960" w:type="dxa"/>
            <w:vAlign w:val="bottom"/>
            <w:shd w:val="clear" w:color="auto" w:fill="EDEDED"/>
          </w:tcPr>
          <w:p>
            <w:pPr>
              <w:spacing w:after="0"/>
              <w:rPr>
                <w:sz w:val="11"/>
                <w:szCs w:val="11"/>
                <w:color w:val="auto"/>
              </w:rPr>
            </w:pPr>
          </w:p>
        </w:tc>
        <w:tc>
          <w:tcPr>
            <w:tcW w:w="980" w:type="dxa"/>
            <w:vAlign w:val="bottom"/>
            <w:shd w:val="clear" w:color="auto" w:fill="EDEDED"/>
          </w:tcPr>
          <w:p>
            <w:pPr>
              <w:spacing w:after="0"/>
              <w:rPr>
                <w:sz w:val="11"/>
                <w:szCs w:val="11"/>
                <w:color w:val="auto"/>
              </w:rPr>
            </w:pPr>
          </w:p>
        </w:tc>
        <w:tc>
          <w:tcPr>
            <w:tcW w:w="960" w:type="dxa"/>
            <w:vAlign w:val="bottom"/>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EDEDED"/>
          </w:tcPr>
          <w:p>
            <w:pPr>
              <w:ind w:left="100"/>
              <w:spacing w:after="0"/>
              <w:rPr>
                <w:sz w:val="20"/>
                <w:szCs w:val="20"/>
                <w:color w:val="auto"/>
              </w:rPr>
            </w:pPr>
            <w:r>
              <w:rPr>
                <w:rFonts w:ascii="Arial" w:cs="Arial" w:eastAsia="Arial" w:hAnsi="Arial"/>
                <w:sz w:val="14"/>
                <w:szCs w:val="14"/>
                <w:color w:val="auto"/>
              </w:rPr>
              <w:t>TrueBridge Group Holders)</w:t>
            </w:r>
          </w:p>
        </w:tc>
        <w:tc>
          <w:tcPr>
            <w:tcW w:w="10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3,043,855</w:t>
            </w:r>
          </w:p>
        </w:tc>
        <w:tc>
          <w:tcPr>
            <w:tcW w:w="500" w:type="dxa"/>
            <w:vAlign w:val="bottom"/>
            <w:shd w:val="clear" w:color="auto" w:fill="EDEDED"/>
          </w:tcPr>
          <w:p>
            <w:pPr>
              <w:spacing w:after="0"/>
              <w:rPr>
                <w:sz w:val="16"/>
                <w:szCs w:val="16"/>
                <w:color w:val="auto"/>
              </w:rPr>
            </w:pPr>
          </w:p>
        </w:tc>
        <w:tc>
          <w:tcPr>
            <w:tcW w:w="1000" w:type="dxa"/>
            <w:vAlign w:val="bottom"/>
            <w:shd w:val="clear" w:color="auto" w:fill="EDEDED"/>
          </w:tcPr>
          <w:p>
            <w:pPr>
              <w:jc w:val="right"/>
              <w:ind w:right="188"/>
              <w:spacing w:after="0"/>
              <w:rPr>
                <w:sz w:val="20"/>
                <w:szCs w:val="20"/>
                <w:color w:val="auto"/>
              </w:rPr>
            </w:pPr>
            <w:r>
              <w:rPr>
                <w:rFonts w:ascii="Arial" w:cs="Arial" w:eastAsia="Arial" w:hAnsi="Arial"/>
                <w:sz w:val="14"/>
                <w:szCs w:val="14"/>
                <w:color w:val="auto"/>
              </w:rPr>
              <w:t>5,216,646</w:t>
            </w:r>
          </w:p>
        </w:tc>
        <w:tc>
          <w:tcPr>
            <w:tcW w:w="110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55,210,315</w:t>
            </w:r>
          </w:p>
        </w:tc>
        <w:tc>
          <w:tcPr>
            <w:tcW w:w="300" w:type="dxa"/>
            <w:vAlign w:val="bottom"/>
            <w:shd w:val="clear" w:color="auto" w:fill="EDEDED"/>
          </w:tcPr>
          <w:p>
            <w:pPr>
              <w:spacing w:after="0"/>
              <w:rPr>
                <w:sz w:val="20"/>
                <w:szCs w:val="20"/>
                <w:color w:val="auto"/>
              </w:rPr>
            </w:pPr>
            <w:r>
              <w:rPr>
                <w:rFonts w:ascii="Arial" w:cs="Arial" w:eastAsia="Arial" w:hAnsi="Arial"/>
                <w:sz w:val="10"/>
                <w:szCs w:val="10"/>
                <w:color w:val="auto"/>
              </w:rPr>
              <w:t>(12)</w:t>
            </w:r>
          </w:p>
        </w:tc>
        <w:tc>
          <w:tcPr>
            <w:tcW w:w="960" w:type="dxa"/>
            <w:vAlign w:val="bottom"/>
            <w:shd w:val="clear" w:color="auto" w:fill="EDEDED"/>
          </w:tcPr>
          <w:p>
            <w:pPr>
              <w:jc w:val="right"/>
              <w:ind w:right="68"/>
              <w:spacing w:after="0"/>
              <w:rPr>
                <w:sz w:val="20"/>
                <w:szCs w:val="20"/>
                <w:color w:val="auto"/>
              </w:rPr>
            </w:pPr>
            <w:r>
              <w:rPr>
                <w:rFonts w:ascii="Arial" w:cs="Arial" w:eastAsia="Arial" w:hAnsi="Arial"/>
                <w:sz w:val="14"/>
                <w:szCs w:val="14"/>
                <w:color w:val="auto"/>
              </w:rPr>
              <w:t>4%</w:t>
            </w:r>
          </w:p>
        </w:tc>
        <w:tc>
          <w:tcPr>
            <w:tcW w:w="980" w:type="dxa"/>
            <w:vAlign w:val="bottom"/>
            <w:shd w:val="clear" w:color="auto" w:fill="EDEDED"/>
          </w:tcPr>
          <w:p>
            <w:pPr>
              <w:jc w:val="right"/>
              <w:ind w:right="108"/>
              <w:spacing w:after="0"/>
              <w:rPr>
                <w:sz w:val="20"/>
                <w:szCs w:val="20"/>
                <w:color w:val="auto"/>
              </w:rPr>
            </w:pPr>
            <w:r>
              <w:rPr>
                <w:rFonts w:ascii="Arial" w:cs="Arial" w:eastAsia="Arial" w:hAnsi="Arial"/>
                <w:sz w:val="14"/>
                <w:szCs w:val="14"/>
                <w:color w:val="auto"/>
              </w:rPr>
              <w:t>17%</w:t>
            </w:r>
          </w:p>
        </w:tc>
        <w:tc>
          <w:tcPr>
            <w:tcW w:w="960" w:type="dxa"/>
            <w:vAlign w:val="bottom"/>
            <w:shd w:val="clear" w:color="auto" w:fill="EDEDED"/>
          </w:tcPr>
          <w:p>
            <w:pPr>
              <w:jc w:val="right"/>
              <w:ind w:right="1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0"/>
        </w:trPr>
        <w:tc>
          <w:tcPr>
            <w:tcW w:w="2560" w:type="dxa"/>
            <w:vAlign w:val="bottom"/>
          </w:tcPr>
          <w:p>
            <w:pPr>
              <w:ind w:left="100"/>
              <w:spacing w:after="0"/>
              <w:rPr>
                <w:sz w:val="20"/>
                <w:szCs w:val="20"/>
                <w:color w:val="auto"/>
              </w:rPr>
            </w:pPr>
            <w:r>
              <w:rPr>
                <w:rFonts w:ascii="Arial" w:cs="Arial" w:eastAsia="Arial" w:hAnsi="Arial"/>
                <w:sz w:val="14"/>
                <w:szCs w:val="14"/>
                <w:color w:val="auto"/>
              </w:rPr>
              <w:t>Robert B. Stewart Jr.</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149,525</w:t>
            </w:r>
          </w:p>
        </w:tc>
        <w:tc>
          <w:tcPr>
            <w:tcW w:w="500" w:type="dxa"/>
            <w:vAlign w:val="bottom"/>
          </w:tcPr>
          <w:p>
            <w:pPr>
              <w:spacing w:after="0"/>
              <w:rPr>
                <w:sz w:val="16"/>
                <w:szCs w:val="16"/>
                <w:color w:val="auto"/>
              </w:rPr>
            </w:pPr>
          </w:p>
        </w:tc>
        <w:tc>
          <w:tcPr>
            <w:tcW w:w="10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149,525</w:t>
            </w:r>
          </w:p>
        </w:tc>
        <w:tc>
          <w:tcPr>
            <w:tcW w:w="300" w:type="dxa"/>
            <w:vAlign w:val="bottom"/>
          </w:tcPr>
          <w:p>
            <w:pPr>
              <w:spacing w:after="0"/>
              <w:rPr>
                <w:sz w:val="16"/>
                <w:szCs w:val="16"/>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25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EDEDED"/>
          </w:tcPr>
          <w:p>
            <w:pPr>
              <w:ind w:left="100"/>
              <w:spacing w:after="0"/>
              <w:rPr>
                <w:sz w:val="20"/>
                <w:szCs w:val="20"/>
                <w:color w:val="auto"/>
              </w:rPr>
            </w:pPr>
            <w:r>
              <w:rPr>
                <w:rFonts w:ascii="Arial" w:cs="Arial" w:eastAsia="Arial" w:hAnsi="Arial"/>
                <w:sz w:val="14"/>
                <w:szCs w:val="14"/>
                <w:color w:val="auto"/>
              </w:rPr>
              <w:t>Amanda Coussens</w:t>
            </w:r>
          </w:p>
        </w:tc>
        <w:tc>
          <w:tcPr>
            <w:tcW w:w="104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112,629</w:t>
            </w:r>
          </w:p>
        </w:tc>
        <w:tc>
          <w:tcPr>
            <w:tcW w:w="500" w:type="dxa"/>
            <w:vAlign w:val="bottom"/>
            <w:shd w:val="clear" w:color="auto" w:fill="EDEDED"/>
          </w:tcPr>
          <w:p>
            <w:pPr>
              <w:ind w:left="20"/>
              <w:spacing w:after="0"/>
              <w:rPr>
                <w:sz w:val="20"/>
                <w:szCs w:val="20"/>
                <w:color w:val="auto"/>
              </w:rPr>
            </w:pPr>
            <w:r>
              <w:rPr>
                <w:rFonts w:ascii="Arial" w:cs="Arial" w:eastAsia="Arial" w:hAnsi="Arial"/>
                <w:sz w:val="10"/>
                <w:szCs w:val="10"/>
                <w:color w:val="auto"/>
              </w:rPr>
              <w:t>(13)</w:t>
            </w:r>
          </w:p>
        </w:tc>
        <w:tc>
          <w:tcPr>
            <w:tcW w:w="1000" w:type="dxa"/>
            <w:vAlign w:val="bottom"/>
            <w:shd w:val="clear" w:color="auto" w:fill="EDEDED"/>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112,629</w:t>
            </w:r>
          </w:p>
        </w:tc>
        <w:tc>
          <w:tcPr>
            <w:tcW w:w="300" w:type="dxa"/>
            <w:vAlign w:val="bottom"/>
            <w:shd w:val="clear" w:color="auto" w:fill="EDEDED"/>
          </w:tcPr>
          <w:p>
            <w:pPr>
              <w:spacing w:after="0"/>
              <w:rPr>
                <w:sz w:val="21"/>
                <w:szCs w:val="21"/>
                <w:color w:val="auto"/>
              </w:rPr>
            </w:pPr>
          </w:p>
        </w:tc>
        <w:tc>
          <w:tcPr>
            <w:tcW w:w="960" w:type="dxa"/>
            <w:vAlign w:val="bottom"/>
            <w:shd w:val="clear" w:color="auto" w:fill="EDEDED"/>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shd w:val="clear" w:color="auto" w:fill="EDEDED"/>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DEDED"/>
          </w:tcPr>
          <w:p>
            <w:pPr>
              <w:jc w:val="right"/>
              <w:ind w:right="2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560" w:type="dxa"/>
            <w:vAlign w:val="bottom"/>
          </w:tcPr>
          <w:p>
            <w:pPr>
              <w:ind w:left="100"/>
              <w:spacing w:after="0"/>
              <w:rPr>
                <w:sz w:val="20"/>
                <w:szCs w:val="20"/>
                <w:color w:val="auto"/>
              </w:rPr>
            </w:pPr>
            <w:r>
              <w:rPr>
                <w:rFonts w:ascii="Arial" w:cs="Arial" w:eastAsia="Arial" w:hAnsi="Arial"/>
                <w:sz w:val="14"/>
                <w:szCs w:val="14"/>
                <w:color w:val="auto"/>
              </w:rPr>
              <w:t>Mark Hood</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139,160</w:t>
            </w:r>
          </w:p>
        </w:tc>
        <w:tc>
          <w:tcPr>
            <w:tcW w:w="500" w:type="dxa"/>
            <w:vAlign w:val="bottom"/>
          </w:tcPr>
          <w:p>
            <w:pPr>
              <w:spacing w:after="0"/>
              <w:rPr>
                <w:sz w:val="16"/>
                <w:szCs w:val="16"/>
                <w:color w:val="auto"/>
              </w:rPr>
            </w:pPr>
          </w:p>
        </w:tc>
        <w:tc>
          <w:tcPr>
            <w:tcW w:w="10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139,160</w:t>
            </w:r>
          </w:p>
        </w:tc>
        <w:tc>
          <w:tcPr>
            <w:tcW w:w="300" w:type="dxa"/>
            <w:vAlign w:val="bottom"/>
          </w:tcPr>
          <w:p>
            <w:pPr>
              <w:spacing w:after="0"/>
              <w:rPr>
                <w:sz w:val="16"/>
                <w:szCs w:val="16"/>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25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560" w:type="dxa"/>
            <w:vAlign w:val="bottom"/>
            <w:tcBorders>
              <w:bottom w:val="single" w:sz="8" w:color="EDEDED"/>
            </w:tcBorders>
            <w:shd w:val="clear" w:color="auto" w:fill="EDEDED"/>
          </w:tcPr>
          <w:p>
            <w:pPr>
              <w:ind w:left="100"/>
              <w:spacing w:after="0"/>
              <w:rPr>
                <w:sz w:val="20"/>
                <w:szCs w:val="20"/>
                <w:color w:val="auto"/>
              </w:rPr>
            </w:pPr>
            <w:r>
              <w:rPr>
                <w:rFonts w:ascii="Arial" w:cs="Arial" w:eastAsia="Arial" w:hAnsi="Arial"/>
                <w:sz w:val="14"/>
                <w:szCs w:val="14"/>
                <w:color w:val="auto"/>
              </w:rPr>
              <w:t>Sarita Jairath</w:t>
            </w:r>
          </w:p>
        </w:tc>
        <w:tc>
          <w:tcPr>
            <w:tcW w:w="1040" w:type="dxa"/>
            <w:vAlign w:val="bottom"/>
            <w:tcBorders>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35,995</w:t>
            </w:r>
          </w:p>
        </w:tc>
        <w:tc>
          <w:tcPr>
            <w:tcW w:w="500" w:type="dxa"/>
            <w:vAlign w:val="bottom"/>
            <w:tcBorders>
              <w:bottom w:val="single" w:sz="8" w:color="EDEDED"/>
            </w:tcBorders>
            <w:shd w:val="clear" w:color="auto" w:fill="EDEDED"/>
          </w:tcPr>
          <w:p>
            <w:pPr>
              <w:spacing w:after="0"/>
              <w:rPr>
                <w:sz w:val="19"/>
                <w:szCs w:val="19"/>
                <w:color w:val="auto"/>
              </w:rPr>
            </w:pPr>
          </w:p>
        </w:tc>
        <w:tc>
          <w:tcPr>
            <w:tcW w:w="1000" w:type="dxa"/>
            <w:vAlign w:val="bottom"/>
            <w:tcBorders>
              <w:bottom w:val="single" w:sz="8" w:color="EDEDED"/>
            </w:tcBorders>
            <w:shd w:val="clear" w:color="auto" w:fill="EDEDED"/>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EDEDED"/>
            </w:tcBorders>
            <w:shd w:val="clear" w:color="auto" w:fill="EDEDED"/>
          </w:tcPr>
          <w:p>
            <w:pPr>
              <w:jc w:val="right"/>
              <w:ind w:right="28"/>
              <w:spacing w:after="0"/>
              <w:rPr>
                <w:sz w:val="20"/>
                <w:szCs w:val="20"/>
                <w:color w:val="auto"/>
              </w:rPr>
            </w:pPr>
            <w:r>
              <w:rPr>
                <w:rFonts w:ascii="Arial" w:cs="Arial" w:eastAsia="Arial" w:hAnsi="Arial"/>
                <w:sz w:val="14"/>
                <w:szCs w:val="14"/>
                <w:color w:val="auto"/>
              </w:rPr>
              <w:t>35,995</w:t>
            </w:r>
          </w:p>
        </w:tc>
        <w:tc>
          <w:tcPr>
            <w:tcW w:w="300" w:type="dxa"/>
            <w:vAlign w:val="bottom"/>
            <w:tcBorders>
              <w:bottom w:val="single" w:sz="8" w:color="EDEDED"/>
            </w:tcBorders>
            <w:shd w:val="clear" w:color="auto" w:fill="EDEDED"/>
          </w:tcPr>
          <w:p>
            <w:pPr>
              <w:spacing w:after="0"/>
              <w:rPr>
                <w:sz w:val="19"/>
                <w:szCs w:val="19"/>
                <w:color w:val="auto"/>
              </w:rPr>
            </w:pPr>
          </w:p>
        </w:tc>
        <w:tc>
          <w:tcPr>
            <w:tcW w:w="960" w:type="dxa"/>
            <w:vAlign w:val="bottom"/>
            <w:tcBorders>
              <w:bottom w:val="single" w:sz="8" w:color="EDEDED"/>
            </w:tcBorders>
            <w:shd w:val="clear" w:color="auto" w:fill="EDEDED"/>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EDEDED"/>
            </w:tcBorders>
            <w:shd w:val="clear" w:color="auto" w:fill="EDEDED"/>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DEDED"/>
            </w:tcBorders>
            <w:shd w:val="clear" w:color="auto" w:fill="EDEDED"/>
          </w:tcPr>
          <w:p>
            <w:pPr>
              <w:jc w:val="right"/>
              <w:ind w:right="2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560" w:type="dxa"/>
            <w:vAlign w:val="bottom"/>
          </w:tcPr>
          <w:p>
            <w:pPr>
              <w:ind w:left="100"/>
              <w:spacing w:after="0"/>
              <w:rPr>
                <w:sz w:val="20"/>
                <w:szCs w:val="20"/>
                <w:color w:val="auto"/>
              </w:rPr>
            </w:pPr>
            <w:r>
              <w:rPr>
                <w:rFonts w:ascii="Arial" w:cs="Arial" w:eastAsia="Arial" w:hAnsi="Arial"/>
                <w:sz w:val="14"/>
                <w:szCs w:val="14"/>
                <w:color w:val="auto"/>
              </w:rPr>
              <w:t>Richard J. (Arjay) Jensen</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100,809</w:t>
            </w:r>
          </w:p>
        </w:tc>
        <w:tc>
          <w:tcPr>
            <w:tcW w:w="500" w:type="dxa"/>
            <w:vAlign w:val="bottom"/>
          </w:tcPr>
          <w:p>
            <w:pPr>
              <w:spacing w:after="0"/>
              <w:rPr>
                <w:sz w:val="16"/>
                <w:szCs w:val="16"/>
                <w:color w:val="auto"/>
              </w:rPr>
            </w:pPr>
          </w:p>
        </w:tc>
        <w:tc>
          <w:tcPr>
            <w:tcW w:w="10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100,809</w:t>
            </w:r>
          </w:p>
        </w:tc>
        <w:tc>
          <w:tcPr>
            <w:tcW w:w="300" w:type="dxa"/>
            <w:vAlign w:val="bottom"/>
          </w:tcPr>
          <w:p>
            <w:pPr>
              <w:spacing w:after="0"/>
              <w:rPr>
                <w:sz w:val="16"/>
                <w:szCs w:val="16"/>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25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560" w:type="dxa"/>
            <w:vAlign w:val="bottom"/>
            <w:shd w:val="clear" w:color="auto" w:fill="EDEDED"/>
          </w:tcPr>
          <w:p>
            <w:pPr>
              <w:ind w:left="100"/>
              <w:spacing w:after="0" w:line="153" w:lineRule="exact"/>
              <w:rPr>
                <w:sz w:val="20"/>
                <w:szCs w:val="20"/>
                <w:color w:val="auto"/>
              </w:rPr>
            </w:pPr>
            <w:r>
              <w:rPr>
                <w:rFonts w:ascii="Arial" w:cs="Arial" w:eastAsia="Arial" w:hAnsi="Arial"/>
                <w:sz w:val="14"/>
                <w:szCs w:val="14"/>
                <w:color w:val="auto"/>
              </w:rPr>
              <w:t>All directors, director nominees and</w:t>
            </w:r>
          </w:p>
        </w:tc>
        <w:tc>
          <w:tcPr>
            <w:tcW w:w="1040" w:type="dxa"/>
            <w:vAlign w:val="bottom"/>
            <w:shd w:val="clear" w:color="auto" w:fill="EDEDED"/>
          </w:tcPr>
          <w:p>
            <w:pPr>
              <w:spacing w:after="0"/>
              <w:rPr>
                <w:sz w:val="13"/>
                <w:szCs w:val="13"/>
                <w:color w:val="auto"/>
              </w:rPr>
            </w:pPr>
          </w:p>
        </w:tc>
        <w:tc>
          <w:tcPr>
            <w:tcW w:w="500" w:type="dxa"/>
            <w:vAlign w:val="bottom"/>
            <w:shd w:val="clear" w:color="auto" w:fill="EDEDED"/>
          </w:tcPr>
          <w:p>
            <w:pPr>
              <w:spacing w:after="0"/>
              <w:rPr>
                <w:sz w:val="13"/>
                <w:szCs w:val="13"/>
                <w:color w:val="auto"/>
              </w:rPr>
            </w:pPr>
          </w:p>
        </w:tc>
        <w:tc>
          <w:tcPr>
            <w:tcW w:w="1000" w:type="dxa"/>
            <w:vAlign w:val="bottom"/>
            <w:shd w:val="clear" w:color="auto" w:fill="EDEDED"/>
          </w:tcPr>
          <w:p>
            <w:pPr>
              <w:spacing w:after="0"/>
              <w:rPr>
                <w:sz w:val="13"/>
                <w:szCs w:val="13"/>
                <w:color w:val="auto"/>
              </w:rPr>
            </w:pPr>
          </w:p>
        </w:tc>
        <w:tc>
          <w:tcPr>
            <w:tcW w:w="1100" w:type="dxa"/>
            <w:vAlign w:val="bottom"/>
            <w:shd w:val="clear" w:color="auto" w:fill="EDEDED"/>
          </w:tcPr>
          <w:p>
            <w:pPr>
              <w:spacing w:after="0"/>
              <w:rPr>
                <w:sz w:val="13"/>
                <w:szCs w:val="13"/>
                <w:color w:val="auto"/>
              </w:rPr>
            </w:pPr>
          </w:p>
        </w:tc>
        <w:tc>
          <w:tcPr>
            <w:tcW w:w="300" w:type="dxa"/>
            <w:vAlign w:val="bottom"/>
            <w:shd w:val="clear" w:color="auto" w:fill="EDEDED"/>
          </w:tcPr>
          <w:p>
            <w:pPr>
              <w:spacing w:after="0"/>
              <w:rPr>
                <w:sz w:val="13"/>
                <w:szCs w:val="13"/>
                <w:color w:val="auto"/>
              </w:rPr>
            </w:pPr>
          </w:p>
        </w:tc>
        <w:tc>
          <w:tcPr>
            <w:tcW w:w="960" w:type="dxa"/>
            <w:vAlign w:val="bottom"/>
            <w:shd w:val="clear" w:color="auto" w:fill="EDEDED"/>
          </w:tcPr>
          <w:p>
            <w:pPr>
              <w:spacing w:after="0"/>
              <w:rPr>
                <w:sz w:val="13"/>
                <w:szCs w:val="13"/>
                <w:color w:val="auto"/>
              </w:rPr>
            </w:pPr>
          </w:p>
        </w:tc>
        <w:tc>
          <w:tcPr>
            <w:tcW w:w="980" w:type="dxa"/>
            <w:vAlign w:val="bottom"/>
            <w:shd w:val="clear" w:color="auto" w:fill="EDEDED"/>
          </w:tcPr>
          <w:p>
            <w:pPr>
              <w:spacing w:after="0"/>
              <w:rPr>
                <w:sz w:val="13"/>
                <w:szCs w:val="13"/>
                <w:color w:val="auto"/>
              </w:rPr>
            </w:pPr>
          </w:p>
        </w:tc>
        <w:tc>
          <w:tcPr>
            <w:tcW w:w="96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EDEDED"/>
          </w:tcPr>
          <w:p>
            <w:pPr>
              <w:ind w:left="100"/>
              <w:spacing w:after="0"/>
              <w:rPr>
                <w:sz w:val="20"/>
                <w:szCs w:val="20"/>
                <w:color w:val="auto"/>
              </w:rPr>
            </w:pPr>
            <w:r>
              <w:rPr>
                <w:rFonts w:ascii="Arial" w:cs="Arial" w:eastAsia="Arial" w:hAnsi="Arial"/>
                <w:sz w:val="14"/>
                <w:szCs w:val="14"/>
                <w:color w:val="auto"/>
              </w:rPr>
              <w:t>executive officers as a group (13</w:t>
            </w:r>
          </w:p>
        </w:tc>
        <w:tc>
          <w:tcPr>
            <w:tcW w:w="1040" w:type="dxa"/>
            <w:vAlign w:val="bottom"/>
            <w:shd w:val="clear" w:color="auto" w:fill="EDEDED"/>
          </w:tcPr>
          <w:p>
            <w:pPr>
              <w:spacing w:after="0"/>
              <w:rPr>
                <w:sz w:val="14"/>
                <w:szCs w:val="14"/>
                <w:color w:val="auto"/>
              </w:rPr>
            </w:pPr>
          </w:p>
        </w:tc>
        <w:tc>
          <w:tcPr>
            <w:tcW w:w="500" w:type="dxa"/>
            <w:vAlign w:val="bottom"/>
            <w:vMerge w:val="restart"/>
            <w:shd w:val="clear" w:color="auto" w:fill="EDEDED"/>
          </w:tcPr>
          <w:p>
            <w:pPr>
              <w:ind w:left="20"/>
              <w:spacing w:after="0"/>
              <w:rPr>
                <w:sz w:val="20"/>
                <w:szCs w:val="20"/>
                <w:color w:val="auto"/>
              </w:rPr>
            </w:pPr>
            <w:r>
              <w:rPr>
                <w:rFonts w:ascii="Arial" w:cs="Arial" w:eastAsia="Arial" w:hAnsi="Arial"/>
                <w:sz w:val="10"/>
                <w:szCs w:val="10"/>
                <w:color w:val="auto"/>
              </w:rPr>
              <w:t>(14)</w:t>
            </w:r>
          </w:p>
        </w:tc>
        <w:tc>
          <w:tcPr>
            <w:tcW w:w="1000" w:type="dxa"/>
            <w:vAlign w:val="bottom"/>
            <w:shd w:val="clear" w:color="auto" w:fill="EDEDED"/>
          </w:tcPr>
          <w:p>
            <w:pPr>
              <w:spacing w:after="0"/>
              <w:rPr>
                <w:sz w:val="14"/>
                <w:szCs w:val="14"/>
                <w:color w:val="auto"/>
              </w:rPr>
            </w:pPr>
          </w:p>
        </w:tc>
        <w:tc>
          <w:tcPr>
            <w:tcW w:w="1100" w:type="dxa"/>
            <w:vAlign w:val="bottom"/>
            <w:shd w:val="clear" w:color="auto" w:fill="EDEDED"/>
          </w:tcPr>
          <w:p>
            <w:pPr>
              <w:spacing w:after="0"/>
              <w:rPr>
                <w:sz w:val="14"/>
                <w:szCs w:val="14"/>
                <w:color w:val="auto"/>
              </w:rPr>
            </w:pPr>
          </w:p>
        </w:tc>
        <w:tc>
          <w:tcPr>
            <w:tcW w:w="300" w:type="dxa"/>
            <w:vAlign w:val="bottom"/>
            <w:shd w:val="clear" w:color="auto" w:fill="EDEDED"/>
          </w:tcPr>
          <w:p>
            <w:pPr>
              <w:spacing w:after="0"/>
              <w:rPr>
                <w:sz w:val="14"/>
                <w:szCs w:val="14"/>
                <w:color w:val="auto"/>
              </w:rPr>
            </w:pPr>
          </w:p>
        </w:tc>
        <w:tc>
          <w:tcPr>
            <w:tcW w:w="960" w:type="dxa"/>
            <w:vAlign w:val="bottom"/>
            <w:shd w:val="clear" w:color="auto" w:fill="EDEDED"/>
          </w:tcPr>
          <w:p>
            <w:pPr>
              <w:spacing w:after="0"/>
              <w:rPr>
                <w:sz w:val="14"/>
                <w:szCs w:val="14"/>
                <w:color w:val="auto"/>
              </w:rPr>
            </w:pPr>
          </w:p>
        </w:tc>
        <w:tc>
          <w:tcPr>
            <w:tcW w:w="980" w:type="dxa"/>
            <w:vAlign w:val="bottom"/>
            <w:shd w:val="clear" w:color="auto" w:fill="EDEDED"/>
          </w:tcPr>
          <w:p>
            <w:pPr>
              <w:spacing w:after="0"/>
              <w:rPr>
                <w:sz w:val="14"/>
                <w:szCs w:val="14"/>
                <w:color w:val="auto"/>
              </w:rPr>
            </w:pPr>
          </w:p>
        </w:tc>
        <w:tc>
          <w:tcPr>
            <w:tcW w:w="96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tcBorders>
              <w:bottom w:val="single" w:sz="8" w:color="112B19"/>
            </w:tcBorders>
            <w:shd w:val="clear" w:color="auto" w:fill="EDEDED"/>
          </w:tcPr>
          <w:p>
            <w:pPr>
              <w:ind w:left="100"/>
              <w:spacing w:after="0"/>
              <w:rPr>
                <w:sz w:val="20"/>
                <w:szCs w:val="20"/>
                <w:color w:val="auto"/>
              </w:rPr>
            </w:pPr>
            <w:r>
              <w:rPr>
                <w:rFonts w:ascii="Arial" w:cs="Arial" w:eastAsia="Arial" w:hAnsi="Arial"/>
                <w:sz w:val="14"/>
                <w:szCs w:val="14"/>
                <w:color w:val="auto"/>
              </w:rPr>
              <w:t>persons)</w:t>
            </w:r>
          </w:p>
        </w:tc>
        <w:tc>
          <w:tcPr>
            <w:tcW w:w="1040" w:type="dxa"/>
            <w:vAlign w:val="bottom"/>
            <w:tcBorders>
              <w:bottom w:val="single" w:sz="8" w:color="112B19"/>
            </w:tcBorders>
            <w:shd w:val="clear" w:color="auto" w:fill="EDEDED"/>
          </w:tcPr>
          <w:p>
            <w:pPr>
              <w:jc w:val="right"/>
              <w:ind w:right="28"/>
              <w:spacing w:after="0"/>
              <w:rPr>
                <w:sz w:val="20"/>
                <w:szCs w:val="20"/>
                <w:color w:val="auto"/>
              </w:rPr>
            </w:pPr>
            <w:r>
              <w:rPr>
                <w:rFonts w:ascii="Arial" w:cs="Arial" w:eastAsia="Arial" w:hAnsi="Arial"/>
                <w:sz w:val="14"/>
                <w:szCs w:val="14"/>
                <w:color w:val="auto"/>
              </w:rPr>
              <w:t>4,548,157</w:t>
            </w:r>
          </w:p>
        </w:tc>
        <w:tc>
          <w:tcPr>
            <w:tcW w:w="500" w:type="dxa"/>
            <w:vAlign w:val="bottom"/>
            <w:tcBorders>
              <w:bottom w:val="single" w:sz="8" w:color="112B19"/>
            </w:tcBorders>
            <w:vMerge w:val="continue"/>
            <w:shd w:val="clear" w:color="auto" w:fill="EDEDED"/>
          </w:tcPr>
          <w:p>
            <w:pPr>
              <w:spacing w:after="0"/>
              <w:rPr>
                <w:sz w:val="14"/>
                <w:szCs w:val="14"/>
                <w:color w:val="auto"/>
              </w:rPr>
            </w:pPr>
          </w:p>
        </w:tc>
        <w:tc>
          <w:tcPr>
            <w:tcW w:w="1000" w:type="dxa"/>
            <w:vAlign w:val="bottom"/>
            <w:tcBorders>
              <w:bottom w:val="single" w:sz="8" w:color="112B19"/>
            </w:tcBorders>
            <w:shd w:val="clear" w:color="auto" w:fill="EDEDED"/>
          </w:tcPr>
          <w:p>
            <w:pPr>
              <w:jc w:val="right"/>
              <w:ind w:right="188"/>
              <w:spacing w:after="0"/>
              <w:rPr>
                <w:sz w:val="20"/>
                <w:szCs w:val="20"/>
                <w:color w:val="auto"/>
              </w:rPr>
            </w:pPr>
            <w:r>
              <w:rPr>
                <w:rFonts w:ascii="Arial" w:cs="Arial" w:eastAsia="Arial" w:hAnsi="Arial"/>
                <w:sz w:val="14"/>
                <w:szCs w:val="14"/>
                <w:color w:val="auto"/>
              </w:rPr>
              <w:t>8,378,336</w:t>
            </w:r>
          </w:p>
        </w:tc>
        <w:tc>
          <w:tcPr>
            <w:tcW w:w="1100" w:type="dxa"/>
            <w:vAlign w:val="bottom"/>
            <w:tcBorders>
              <w:bottom w:val="single" w:sz="8" w:color="112B19"/>
            </w:tcBorders>
            <w:shd w:val="clear" w:color="auto" w:fill="EDEDED"/>
          </w:tcPr>
          <w:p>
            <w:pPr>
              <w:jc w:val="right"/>
              <w:ind w:right="28"/>
              <w:spacing w:after="0"/>
              <w:rPr>
                <w:sz w:val="20"/>
                <w:szCs w:val="20"/>
                <w:color w:val="auto"/>
              </w:rPr>
            </w:pPr>
            <w:r>
              <w:rPr>
                <w:rFonts w:ascii="Arial" w:cs="Arial" w:eastAsia="Arial" w:hAnsi="Arial"/>
                <w:sz w:val="14"/>
                <w:szCs w:val="14"/>
                <w:color w:val="auto"/>
              </w:rPr>
              <w:t>88,331,517</w:t>
            </w:r>
          </w:p>
        </w:tc>
        <w:tc>
          <w:tcPr>
            <w:tcW w:w="300" w:type="dxa"/>
            <w:vAlign w:val="bottom"/>
            <w:tcBorders>
              <w:bottom w:val="single" w:sz="8" w:color="112B19"/>
            </w:tcBorders>
            <w:shd w:val="clear" w:color="auto" w:fill="EDEDED"/>
          </w:tcPr>
          <w:p>
            <w:pPr>
              <w:spacing w:after="0"/>
              <w:rPr>
                <w:sz w:val="14"/>
                <w:szCs w:val="14"/>
                <w:color w:val="auto"/>
              </w:rPr>
            </w:pPr>
          </w:p>
        </w:tc>
        <w:tc>
          <w:tcPr>
            <w:tcW w:w="960" w:type="dxa"/>
            <w:vAlign w:val="bottom"/>
            <w:tcBorders>
              <w:bottom w:val="single" w:sz="8" w:color="112B19"/>
            </w:tcBorders>
            <w:shd w:val="clear" w:color="auto" w:fill="EDEDED"/>
          </w:tcPr>
          <w:p>
            <w:pPr>
              <w:jc w:val="right"/>
              <w:ind w:right="68"/>
              <w:spacing w:after="0"/>
              <w:rPr>
                <w:sz w:val="20"/>
                <w:szCs w:val="20"/>
                <w:color w:val="auto"/>
              </w:rPr>
            </w:pPr>
            <w:r>
              <w:rPr>
                <w:rFonts w:ascii="Arial" w:cs="Arial" w:eastAsia="Arial" w:hAnsi="Arial"/>
                <w:sz w:val="14"/>
                <w:szCs w:val="14"/>
                <w:color w:val="auto"/>
              </w:rPr>
              <w:t>6%</w:t>
            </w:r>
          </w:p>
        </w:tc>
        <w:tc>
          <w:tcPr>
            <w:tcW w:w="980" w:type="dxa"/>
            <w:vAlign w:val="bottom"/>
            <w:tcBorders>
              <w:bottom w:val="single" w:sz="8" w:color="112B19"/>
            </w:tcBorders>
            <w:shd w:val="clear" w:color="auto" w:fill="EDEDED"/>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112B19"/>
            </w:tcBorders>
            <w:shd w:val="clear" w:color="auto" w:fill="EDEDED"/>
          </w:tcPr>
          <w:p>
            <w:pPr>
              <w:jc w:val="right"/>
              <w:ind w:right="2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60"/>
        <w:spacing w:after="0"/>
        <w:rPr>
          <w:sz w:val="20"/>
          <w:szCs w:val="20"/>
          <w:color w:val="auto"/>
        </w:rPr>
      </w:pPr>
      <w:r>
        <w:rPr>
          <w:rFonts w:ascii="Arial" w:cs="Arial" w:eastAsia="Arial" w:hAnsi="Arial"/>
          <w:sz w:val="14"/>
          <w:szCs w:val="14"/>
          <w:color w:val="050A35"/>
        </w:rPr>
        <w:t>* Less than one percent (1%)</w:t>
      </w:r>
    </w:p>
    <w:p>
      <w:pPr>
        <w:spacing w:after="0" w:line="15" w:lineRule="exact"/>
        <w:rPr>
          <w:sz w:val="20"/>
          <w:szCs w:val="20"/>
          <w:color w:val="auto"/>
        </w:rPr>
      </w:pPr>
    </w:p>
    <w:p>
      <w:pPr>
        <w:ind w:left="980" w:right="780" w:hanging="314"/>
        <w:spacing w:after="0" w:line="241" w:lineRule="auto"/>
        <w:tabs>
          <w:tab w:leader="none" w:pos="980" w:val="left"/>
        </w:tabs>
        <w:numPr>
          <w:ilvl w:val="0"/>
          <w:numId w:val="62"/>
        </w:numPr>
        <w:rPr>
          <w:rFonts w:ascii="Times New Roman" w:cs="Times New Roman" w:eastAsia="Times New Roman" w:hAnsi="Times New Roman"/>
          <w:sz w:val="14"/>
          <w:szCs w:val="14"/>
          <w:color w:val="050A35"/>
        </w:rPr>
      </w:pPr>
      <w:r>
        <w:rPr>
          <w:rFonts w:ascii="Arial" w:cs="Arial" w:eastAsia="Arial" w:hAnsi="Arial"/>
          <w:sz w:val="14"/>
          <w:szCs w:val="14"/>
          <w:color w:val="050A35"/>
        </w:rPr>
        <w:t>The amounts reported in this column represent one vote per share of Class A common stock beneficially owned and ten votes per share of Class B common stock beneficially owned, irrespective of whether such beneficial owner reported having voting power over such shares. For details regarding the differences, if any, between the voting and dispositive power over any such shares, please refer to the footnotes accompanying the applicable beneficial owner.</w:t>
      </w:r>
    </w:p>
    <w:p>
      <w:pPr>
        <w:ind w:left="980" w:right="820" w:hanging="314"/>
        <w:spacing w:after="0" w:line="252" w:lineRule="auto"/>
        <w:tabs>
          <w:tab w:leader="none" w:pos="980" w:val="left"/>
        </w:tabs>
        <w:numPr>
          <w:ilvl w:val="0"/>
          <w:numId w:val="62"/>
        </w:numPr>
        <w:rPr>
          <w:rFonts w:ascii="Times New Roman" w:cs="Times New Roman" w:eastAsia="Times New Roman" w:hAnsi="Times New Roman"/>
          <w:sz w:val="14"/>
          <w:szCs w:val="14"/>
          <w:color w:val="050A35"/>
        </w:rPr>
      </w:pPr>
      <w:r>
        <w:rPr>
          <w:rFonts w:ascii="Arial" w:cs="Arial" w:eastAsia="Arial" w:hAnsi="Arial"/>
          <w:sz w:val="14"/>
          <w:szCs w:val="14"/>
          <w:color w:val="050A35"/>
        </w:rPr>
        <w:t>Information reported is based on the Schedule 13G/A filed with the SEC on November 14, 2025 by Nell M. Blatherwick, David M. McCoy, Alexander I. Abell, Andrew Rowan Nelson, the Thomas P. Danis Revocable Living Trust, Reserve 2, LLC, the Charles K. Huebner Trust and the Jon I. Madorsky Revocable Trust (collectively, the “RCP Group Holders”), which reported the respective holdings of each of the RCP</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40" w:type="dxa"/>
            <w:vAlign w:val="bottom"/>
          </w:tcPr>
          <w:p>
            <w:pPr>
              <w:ind w:left="6560"/>
              <w:spacing w:after="0"/>
              <w:rPr>
                <w:sz w:val="20"/>
                <w:szCs w:val="20"/>
                <w:color w:val="auto"/>
              </w:rPr>
            </w:pPr>
            <w:r>
              <w:rPr>
                <w:rFonts w:ascii="Arial" w:cs="Arial" w:eastAsia="Arial" w:hAnsi="Arial"/>
                <w:sz w:val="14"/>
                <w:szCs w:val="14"/>
                <w:color w:val="050A35"/>
              </w:rPr>
              <w:t>RIDGEPOST CAPITAL | 2026 Proxy Statement</w:t>
            </w:r>
          </w:p>
        </w:tc>
        <w:tc>
          <w:tcPr>
            <w:tcW w:w="980" w:type="dxa"/>
            <w:vAlign w:val="bottom"/>
          </w:tcPr>
          <w:p>
            <w:pPr>
              <w:jc w:val="right"/>
              <w:ind w:right="588"/>
              <w:spacing w:after="0"/>
              <w:rPr>
                <w:sz w:val="20"/>
                <w:szCs w:val="20"/>
                <w:color w:val="auto"/>
              </w:rPr>
            </w:pPr>
            <w:r>
              <w:rPr>
                <w:rFonts w:ascii="Arial" w:cs="Arial" w:eastAsia="Arial" w:hAnsi="Arial"/>
                <w:sz w:val="14"/>
                <w:szCs w:val="14"/>
                <w:b w:val="1"/>
                <w:bCs w:val="1"/>
                <w:color w:val="050A35"/>
              </w:rPr>
              <w:t>33</w:t>
            </w:r>
          </w:p>
        </w:tc>
      </w:tr>
      <w:tr>
        <w:trPr>
          <w:trHeight w:val="738"/>
        </w:trPr>
        <w:tc>
          <w:tcPr>
            <w:tcW w:w="97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sectPr>
      </w:pPr>
    </w:p>
    <w:bookmarkStart w:id="37" w:name="page38"/>
    <w:bookmarkEnd w:id="37"/>
    <w:p>
      <w:pPr>
        <w:spacing w:after="0"/>
        <w:rPr>
          <w:sz w:val="20"/>
          <w:szCs w:val="20"/>
          <w:color w:val="auto"/>
        </w:rPr>
      </w:pPr>
      <w:r>
        <w:rPr>
          <w:rFonts w:ascii="Arial" w:cs="Arial" w:eastAsia="Arial" w:hAnsi="Arial"/>
          <w:sz w:val="13"/>
          <w:szCs w:val="13"/>
          <w:color w:val="050A35"/>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9664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400"/>
          </w:cols>
          <w:pgMar w:left="1240" w:top="775" w:right="1259" w:bottom="1440" w:gutter="0" w:footer="0" w:header="0"/>
        </w:sectPr>
      </w:pPr>
    </w:p>
    <w:p>
      <w:pPr>
        <w:spacing w:after="0" w:line="218" w:lineRule="exact"/>
        <w:rPr>
          <w:sz w:val="20"/>
          <w:szCs w:val="20"/>
          <w:color w:val="auto"/>
        </w:rPr>
      </w:pPr>
    </w:p>
    <w:p>
      <w:pPr>
        <w:ind w:left="320" w:right="100"/>
        <w:spacing w:after="0" w:line="248" w:lineRule="auto"/>
        <w:rPr>
          <w:sz w:val="20"/>
          <w:szCs w:val="20"/>
          <w:color w:val="auto"/>
        </w:rPr>
      </w:pPr>
      <w:r>
        <w:rPr>
          <w:rFonts w:ascii="Arial" w:cs="Arial" w:eastAsia="Arial" w:hAnsi="Arial"/>
          <w:sz w:val="14"/>
          <w:szCs w:val="14"/>
          <w:color w:val="050A35"/>
        </w:rPr>
        <w:t>Group Holders as of September 30, 2025, and includes 514,813 options to purchase shares of Class A common stock that are currently exercisable or exercisable within 60 days. The Schedule 13G/A filed by the RCP Group Holders listed each reporting person’s address as c/o 2699 Howell St., Suite 1000, Dallas, Texas 75204.</w:t>
      </w:r>
    </w:p>
    <w:p>
      <w:pPr>
        <w:spacing w:after="0" w:line="1" w:lineRule="exact"/>
        <w:rPr>
          <w:sz w:val="20"/>
          <w:szCs w:val="20"/>
          <w:color w:val="auto"/>
        </w:rPr>
      </w:pPr>
    </w:p>
    <w:p>
      <w:pPr>
        <w:ind w:left="320" w:right="20" w:hanging="314"/>
        <w:spacing w:after="0" w:line="241" w:lineRule="auto"/>
        <w:tabs>
          <w:tab w:leader="none" w:pos="320" w:val="left"/>
        </w:tabs>
        <w:numPr>
          <w:ilvl w:val="0"/>
          <w:numId w:val="63"/>
        </w:numPr>
        <w:rPr>
          <w:rFonts w:ascii="Times New Roman" w:cs="Times New Roman" w:eastAsia="Times New Roman" w:hAnsi="Times New Roman"/>
          <w:sz w:val="14"/>
          <w:szCs w:val="14"/>
          <w:color w:val="050A35"/>
        </w:rPr>
      </w:pPr>
      <w:r>
        <w:rPr>
          <w:rFonts w:ascii="Arial" w:cs="Arial" w:eastAsia="Arial" w:hAnsi="Arial"/>
          <w:sz w:val="14"/>
          <w:szCs w:val="14"/>
          <w:color w:val="050A35"/>
        </w:rPr>
        <w:t>Information reported is based on the Schedule 13G/A as filed with the SEC on February 17, 2026 and subsequent Form 4 filings by Edwin Poston, Mel Williams, MAW Management Co. (of which Mel Williams is the President), TrueBridge Colonial Fund, u/A dated 11/15/2015 (“TrueBridge Colonial”), The Mel Williams Irrevocable Trust u/a/d August 12, 2015 (the “Williams Trust”), the Edwin A. Poston Revocable Trust (of which Mr. Poston is the sole trustee) (collectively, the “TrueBridge Group Holders”). First Republic Trust Company of Delaware, as trustee of TrueBridge Colonial, may be deemed to beneficially own the securities owned indirectly by TrueBridge Colonial. Alliance Trust Company, as trustee of the Williams Trust, may be deemed to beneficially own the securities owned directly by the Mel Trust. The Schedule 13G/A filed by the TrueBridge Group Holders listed each reporting person’s address as 2699 Howell Street, Suite 1000, Dallas, TX 75204.</w:t>
      </w:r>
    </w:p>
    <w:p>
      <w:pPr>
        <w:spacing w:after="0" w:line="1" w:lineRule="exact"/>
        <w:rPr>
          <w:rFonts w:ascii="Times New Roman" w:cs="Times New Roman" w:eastAsia="Times New Roman" w:hAnsi="Times New Roman"/>
          <w:sz w:val="14"/>
          <w:szCs w:val="14"/>
          <w:color w:val="050A35"/>
        </w:rPr>
      </w:pPr>
    </w:p>
    <w:p>
      <w:pPr>
        <w:ind w:left="320" w:right="40" w:hanging="314"/>
        <w:spacing w:after="0" w:line="241" w:lineRule="auto"/>
        <w:tabs>
          <w:tab w:leader="none" w:pos="320" w:val="left"/>
        </w:tabs>
        <w:numPr>
          <w:ilvl w:val="0"/>
          <w:numId w:val="63"/>
        </w:numPr>
        <w:rPr>
          <w:rFonts w:ascii="Times New Roman" w:cs="Times New Roman" w:eastAsia="Times New Roman" w:hAnsi="Times New Roman"/>
          <w:sz w:val="14"/>
          <w:szCs w:val="14"/>
          <w:color w:val="050A35"/>
        </w:rPr>
      </w:pPr>
      <w:r>
        <w:rPr>
          <w:rFonts w:ascii="Arial" w:cs="Arial" w:eastAsia="Arial" w:hAnsi="Arial"/>
          <w:sz w:val="14"/>
          <w:szCs w:val="14"/>
          <w:color w:val="050A35"/>
        </w:rPr>
        <w:t>Information reported is based on the Schedule 13G/A as filed with the SEC on February 12, 2025 by William F. Souder and the Souder Family LLC (of which Mr. Souder is the manager). The Schedule 13G listed the principal business address for the reporting persons as 520 Middle Road, Delray Beach, FL 33493. Includes 612,176 options to purchase shares of Class A common stock that are currently exercisable or exercisable within 60 days.</w:t>
      </w:r>
    </w:p>
    <w:p>
      <w:pPr>
        <w:ind w:left="320" w:hanging="314"/>
        <w:spacing w:after="0" w:line="241" w:lineRule="auto"/>
        <w:tabs>
          <w:tab w:leader="none" w:pos="320" w:val="left"/>
        </w:tabs>
        <w:numPr>
          <w:ilvl w:val="0"/>
          <w:numId w:val="63"/>
        </w:numPr>
        <w:rPr>
          <w:rFonts w:ascii="Times New Roman" w:cs="Times New Roman" w:eastAsia="Times New Roman" w:hAnsi="Times New Roman"/>
          <w:sz w:val="14"/>
          <w:szCs w:val="14"/>
          <w:color w:val="050A35"/>
        </w:rPr>
      </w:pPr>
      <w:r>
        <w:rPr>
          <w:rFonts w:ascii="Arial" w:cs="Arial" w:eastAsia="Arial" w:hAnsi="Arial"/>
          <w:sz w:val="14"/>
          <w:szCs w:val="14"/>
          <w:color w:val="050A35"/>
        </w:rPr>
        <w:t>Information reported is based on the Schedule 13G/A as filed with the SEC on November 6, 2023, on which Kent P. Dauten: (i) reported beneficially owning an aggregate of 6,583,090 shares of our Class A common stock as of October 25, 2023, of which the reporting person may be deemed to have (a) sole voting power over 6,274,938 shares held by a trust of which the reporting person is trustee, and (b) shared voting power over 308,152 shares held by certain trusts of which a member of the reporting person’s immediate family serves as trustee; and (ii) listed his address as 155 N. Wacker Drive, #4150, Chicago, Illinois 60606.</w:t>
      </w:r>
    </w:p>
    <w:p>
      <w:pPr>
        <w:spacing w:after="0" w:line="1" w:lineRule="exact"/>
        <w:rPr>
          <w:rFonts w:ascii="Times New Roman" w:cs="Times New Roman" w:eastAsia="Times New Roman" w:hAnsi="Times New Roman"/>
          <w:sz w:val="14"/>
          <w:szCs w:val="14"/>
          <w:color w:val="050A35"/>
        </w:rPr>
      </w:pPr>
    </w:p>
    <w:p>
      <w:pPr>
        <w:ind w:left="320" w:right="20" w:hanging="314"/>
        <w:spacing w:after="0" w:line="241" w:lineRule="auto"/>
        <w:tabs>
          <w:tab w:leader="none" w:pos="320" w:val="left"/>
        </w:tabs>
        <w:numPr>
          <w:ilvl w:val="0"/>
          <w:numId w:val="63"/>
        </w:numPr>
        <w:rPr>
          <w:rFonts w:ascii="Times New Roman" w:cs="Times New Roman" w:eastAsia="Times New Roman" w:hAnsi="Times New Roman"/>
          <w:sz w:val="14"/>
          <w:szCs w:val="14"/>
          <w:color w:val="050A35"/>
        </w:rPr>
      </w:pPr>
      <w:r>
        <w:rPr>
          <w:rFonts w:ascii="Arial" w:cs="Arial" w:eastAsia="Arial" w:hAnsi="Arial"/>
          <w:sz w:val="14"/>
          <w:szCs w:val="14"/>
          <w:color w:val="050A35"/>
        </w:rPr>
        <w:t>Information reported is based on Schedule 13G/A as filed with the SEC on May 12, 2025, on which FMR LLC and Abigail P. Johnson, the director, chairman and chief executive officer of FMR LLC: (i) reported beneficially owning an aggregate of 6,282,292.77 shares of our Class A common stock as of March 31, 2025, of which FMR LLC reported having sole voting power over 6,280,523 shares and each of the reporting persons reported having sole dispositive power over all of the shares; and (ii) listed an address of 245 Summer Street, Boston, MA 02210.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w:t>
      </w:r>
    </w:p>
    <w:p>
      <w:pPr>
        <w:spacing w:after="0" w:line="2" w:lineRule="exact"/>
        <w:rPr>
          <w:rFonts w:ascii="Times New Roman" w:cs="Times New Roman" w:eastAsia="Times New Roman" w:hAnsi="Times New Roman"/>
          <w:sz w:val="14"/>
          <w:szCs w:val="14"/>
          <w:color w:val="050A35"/>
        </w:rPr>
      </w:pPr>
    </w:p>
    <w:p>
      <w:pPr>
        <w:ind w:left="320" w:right="240" w:hanging="314"/>
        <w:spacing w:after="0" w:line="241" w:lineRule="auto"/>
        <w:tabs>
          <w:tab w:leader="none" w:pos="320" w:val="left"/>
        </w:tabs>
        <w:numPr>
          <w:ilvl w:val="0"/>
          <w:numId w:val="63"/>
        </w:numPr>
        <w:rPr>
          <w:rFonts w:ascii="Times New Roman" w:cs="Times New Roman" w:eastAsia="Times New Roman" w:hAnsi="Times New Roman"/>
          <w:sz w:val="14"/>
          <w:szCs w:val="14"/>
          <w:color w:val="050A35"/>
        </w:rPr>
      </w:pPr>
      <w:r>
        <w:rPr>
          <w:rFonts w:ascii="Arial" w:cs="Arial" w:eastAsia="Arial" w:hAnsi="Arial"/>
          <w:sz w:val="14"/>
          <w:szCs w:val="14"/>
          <w:color w:val="050A35"/>
        </w:rPr>
        <w:t>Information reported is based on Schedule 13G/A as filed with the SEC on July 29, 2025, on which The Vanguard Group: (i) reported beneficially owning an aggregate of 6,117,619 shares of our Class A common stock as of June 30, 2025, of which the reporting person reported having shared voting power over 72,148 shares, sole dispositive power over 5,989,667 shares, and shared dispositive power over 127,952; and (ii) listed its principal business address as 100 Vanguard Blvd., Malvern, PA 19355.</w:t>
      </w:r>
    </w:p>
    <w:p>
      <w:pPr>
        <w:ind w:left="320" w:right="200" w:hanging="314"/>
        <w:spacing w:after="0" w:line="241" w:lineRule="auto"/>
        <w:tabs>
          <w:tab w:leader="none" w:pos="320" w:val="left"/>
        </w:tabs>
        <w:numPr>
          <w:ilvl w:val="0"/>
          <w:numId w:val="63"/>
        </w:numPr>
        <w:rPr>
          <w:rFonts w:ascii="Times New Roman" w:cs="Times New Roman" w:eastAsia="Times New Roman" w:hAnsi="Times New Roman"/>
          <w:sz w:val="14"/>
          <w:szCs w:val="14"/>
          <w:color w:val="050A35"/>
        </w:rPr>
      </w:pPr>
      <w:r>
        <w:rPr>
          <w:rFonts w:ascii="Arial" w:cs="Arial" w:eastAsia="Arial" w:hAnsi="Arial"/>
          <w:sz w:val="14"/>
          <w:szCs w:val="14"/>
          <w:color w:val="050A35"/>
        </w:rPr>
        <w:t>Information reported is based on Schedule 13G/A as filed with the SEC on May 8, 2025, on which River Road Asset Management, LLC: (i) reported beneficially owning an aggregate of 4,725,477 shares of our Class A common stock as of March 31, 2025, of which the reporting person reported having sole voting power over 4,054,981 shares and sole dispositive power over all of the shares; and (ii) listed its principal business address as 462 South 4th Street, Suite 2000, Louisville, KY 40202.</w:t>
      </w:r>
    </w:p>
    <w:p>
      <w:pPr>
        <w:ind w:left="320" w:hanging="314"/>
        <w:spacing w:after="0" w:line="241" w:lineRule="auto"/>
        <w:tabs>
          <w:tab w:leader="none" w:pos="320" w:val="left"/>
        </w:tabs>
        <w:numPr>
          <w:ilvl w:val="0"/>
          <w:numId w:val="63"/>
        </w:numPr>
        <w:rPr>
          <w:rFonts w:ascii="Times New Roman" w:cs="Times New Roman" w:eastAsia="Times New Roman" w:hAnsi="Times New Roman"/>
          <w:sz w:val="14"/>
          <w:szCs w:val="14"/>
          <w:color w:val="050A35"/>
        </w:rPr>
      </w:pPr>
      <w:r>
        <w:rPr>
          <w:rFonts w:ascii="Arial" w:cs="Arial" w:eastAsia="Arial" w:hAnsi="Arial"/>
          <w:sz w:val="14"/>
          <w:szCs w:val="14"/>
          <w:color w:val="050A35"/>
        </w:rPr>
        <w:t>Information reported is based on Schedule 13G as filed with the SEC on March 31, 2026, on which CAZ Investments LP (i) reported beneficially owning shared voting power and shared dispositive power over an aggregate of 4,535,400 shares of our Class A common stock as of March 25, 2026, consisting of (i) 3,646,400 shares held directly by CAZ GP Ownership Fund, L.P. and (ii) 890,000 shares held directly by CAZ GP Stakes Fund. The reporting person listed its address as 1360 Post Oak Boulevard, Suite 2200, Houston, Texas 77056.</w:t>
      </w:r>
    </w:p>
    <w:p>
      <w:pPr>
        <w:ind w:left="320" w:right="60" w:hanging="314"/>
        <w:spacing w:after="0" w:line="241" w:lineRule="auto"/>
        <w:tabs>
          <w:tab w:leader="none" w:pos="320" w:val="left"/>
        </w:tabs>
        <w:numPr>
          <w:ilvl w:val="0"/>
          <w:numId w:val="63"/>
        </w:numPr>
        <w:rPr>
          <w:rFonts w:ascii="Times New Roman" w:cs="Times New Roman" w:eastAsia="Times New Roman" w:hAnsi="Times New Roman"/>
          <w:sz w:val="14"/>
          <w:szCs w:val="14"/>
          <w:color w:val="050A35"/>
        </w:rPr>
      </w:pPr>
      <w:r>
        <w:rPr>
          <w:rFonts w:ascii="Arial" w:cs="Arial" w:eastAsia="Arial" w:hAnsi="Arial"/>
          <w:sz w:val="14"/>
          <w:szCs w:val="14"/>
          <w:color w:val="050A35"/>
        </w:rPr>
        <w:t>Includes (i) 25,215 shares of Class A common stock held directly by Scott Gwilliam; and (ii) 300,233 shares of Class B common stock held directly by Mr. Gwilliam. Also includes 200,000 shares of Class A common stock held directly by Gwilliam Family Investments LLC, and (ii) 330,953 shares of Class B common stock that are held directly by Gwilliam Family Investments LLC. Mr. Gwilliam is the Managing Member of the Gwilliam Family Investments LLC.</w:t>
      </w:r>
    </w:p>
    <w:p>
      <w:pPr>
        <w:ind w:left="320" w:hanging="314"/>
        <w:spacing w:after="0"/>
        <w:tabs>
          <w:tab w:leader="none" w:pos="320" w:val="left"/>
        </w:tabs>
        <w:numPr>
          <w:ilvl w:val="0"/>
          <w:numId w:val="63"/>
        </w:numPr>
        <w:rPr>
          <w:rFonts w:ascii="Times New Roman" w:cs="Times New Roman" w:eastAsia="Times New Roman" w:hAnsi="Times New Roman"/>
          <w:sz w:val="14"/>
          <w:szCs w:val="14"/>
          <w:color w:val="050A35"/>
        </w:rPr>
      </w:pPr>
      <w:r>
        <w:rPr>
          <w:rFonts w:ascii="Arial" w:cs="Arial" w:eastAsia="Arial" w:hAnsi="Arial"/>
          <w:sz w:val="14"/>
          <w:szCs w:val="14"/>
          <w:color w:val="050A35"/>
        </w:rPr>
        <w:t>Includes 122,162 options to purchase shares of Class A common stock that are currently exercisable or exercisable within 60 days.</w:t>
      </w:r>
    </w:p>
    <w:p>
      <w:pPr>
        <w:ind w:left="320" w:right="20" w:hanging="314"/>
        <w:spacing w:after="0" w:line="241" w:lineRule="auto"/>
        <w:tabs>
          <w:tab w:leader="none" w:pos="320" w:val="left"/>
        </w:tabs>
        <w:numPr>
          <w:ilvl w:val="0"/>
          <w:numId w:val="63"/>
        </w:numPr>
        <w:rPr>
          <w:rFonts w:ascii="Times New Roman" w:cs="Times New Roman" w:eastAsia="Times New Roman" w:hAnsi="Times New Roman"/>
          <w:sz w:val="14"/>
          <w:szCs w:val="14"/>
          <w:color w:val="050A35"/>
        </w:rPr>
      </w:pPr>
      <w:r>
        <w:rPr>
          <w:rFonts w:ascii="Arial" w:cs="Arial" w:eastAsia="Arial" w:hAnsi="Arial"/>
          <w:sz w:val="14"/>
          <w:szCs w:val="14"/>
          <w:color w:val="050A35"/>
        </w:rPr>
        <w:t>Includes: (i) 65,648 shares of Class A common stock beneficially owned by Edwin Poston directly; (ii) 2,456,543 shares of Class A common stock and 5,216,646 shares of Class B common stock beneficially owned by TrueBridge Colonial; and (iii) 521,664 shares of Class A common stock owned by the Poston Trust, of which Mr. Poston is the sole trustee.</w:t>
      </w:r>
    </w:p>
    <w:p>
      <w:pPr>
        <w:ind w:left="320" w:hanging="314"/>
        <w:spacing w:after="0"/>
        <w:tabs>
          <w:tab w:leader="none" w:pos="320" w:val="left"/>
        </w:tabs>
        <w:numPr>
          <w:ilvl w:val="0"/>
          <w:numId w:val="63"/>
        </w:numPr>
        <w:rPr>
          <w:rFonts w:ascii="Times New Roman" w:cs="Times New Roman" w:eastAsia="Times New Roman" w:hAnsi="Times New Roman"/>
          <w:sz w:val="14"/>
          <w:szCs w:val="14"/>
          <w:color w:val="050A35"/>
        </w:rPr>
      </w:pPr>
      <w:r>
        <w:rPr>
          <w:rFonts w:ascii="Arial" w:cs="Arial" w:eastAsia="Arial" w:hAnsi="Arial"/>
          <w:sz w:val="14"/>
          <w:szCs w:val="14"/>
          <w:color w:val="050A35"/>
        </w:rPr>
        <w:t>Includes 11,650 options to purchase shares of Class A common stock that are currently exercisable or exercisable within 60 days.</w:t>
      </w:r>
    </w:p>
    <w:p>
      <w:pPr>
        <w:ind w:left="320" w:hanging="314"/>
        <w:spacing w:after="0"/>
        <w:tabs>
          <w:tab w:leader="none" w:pos="320" w:val="left"/>
        </w:tabs>
        <w:numPr>
          <w:ilvl w:val="0"/>
          <w:numId w:val="63"/>
        </w:numPr>
        <w:rPr>
          <w:rFonts w:ascii="Times New Roman" w:cs="Times New Roman" w:eastAsia="Times New Roman" w:hAnsi="Times New Roman"/>
          <w:sz w:val="14"/>
          <w:szCs w:val="14"/>
          <w:color w:val="050A35"/>
        </w:rPr>
      </w:pPr>
      <w:r>
        <w:rPr>
          <w:rFonts w:ascii="Arial" w:cs="Arial" w:eastAsia="Arial" w:hAnsi="Arial"/>
          <w:sz w:val="14"/>
          <w:szCs w:val="14"/>
          <w:color w:val="050A35"/>
        </w:rPr>
        <w:t>Includes 146,312 options to purchase shares of Class A common stock that are currently exercisable or exercisable within 60 days.</w:t>
      </w:r>
    </w:p>
    <w:p>
      <w:pPr>
        <w:spacing w:after="0" w:line="189" w:lineRule="exact"/>
        <w:rPr>
          <w:sz w:val="20"/>
          <w:szCs w:val="20"/>
          <w:color w:val="auto"/>
        </w:rPr>
      </w:pPr>
    </w:p>
    <w:p>
      <w:pPr>
        <w:ind w:left="480" w:hanging="474"/>
        <w:spacing w:after="0"/>
        <w:tabs>
          <w:tab w:leader="none" w:pos="480" w:val="left"/>
        </w:tabs>
        <w:numPr>
          <w:ilvl w:val="0"/>
          <w:numId w:val="64"/>
        </w:numPr>
        <w:rPr>
          <w:rFonts w:ascii="Arial" w:cs="Arial" w:eastAsia="Arial" w:hAnsi="Arial"/>
          <w:sz w:val="14"/>
          <w:szCs w:val="14"/>
          <w:b w:val="1"/>
          <w:bCs w:val="1"/>
          <w:color w:val="050A35"/>
        </w:rPr>
      </w:pPr>
      <w:r>
        <w:rPr>
          <w:rFonts w:ascii="Arial" w:cs="Arial" w:eastAsia="Arial" w:hAnsi="Arial"/>
          <w:sz w:val="14"/>
          <w:szCs w:val="14"/>
          <w:color w:val="050A35"/>
        </w:rPr>
        <w:t>RIDGEPOST CAPITAL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473710</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775" w:right="1259" w:bottom="1440" w:gutter="0" w:footer="0" w:header="0"/>
          <w:type w:val="continuous"/>
        </w:sectPr>
      </w:pPr>
    </w:p>
    <w:bookmarkStart w:id="38" w:name="page39"/>
    <w:bookmarkEnd w:id="38"/>
    <w:p>
      <w:pPr>
        <w:ind w:left="6800"/>
        <w:spacing w:after="0"/>
        <w:rPr>
          <w:sz w:val="20"/>
          <w:szCs w:val="20"/>
          <w:color w:val="auto"/>
        </w:rPr>
      </w:pPr>
      <w:r>
        <w:rPr>
          <w:rFonts w:ascii="Arial" w:cs="Arial" w:eastAsia="Arial" w:hAnsi="Arial"/>
          <w:sz w:val="13"/>
          <w:szCs w:val="13"/>
          <w:color w:val="050A35"/>
        </w:rPr>
        <w:t>Certain Relationships and Related Person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050A35"/>
        </w:rPr>
        <w:t>Certain Relationships and Related Person Transactions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050A35"/>
        </w:rPr>
        <w:t>Policies and Procedures Regarding Related Person Transactions</w:t>
      </w:r>
    </w:p>
    <w:p>
      <w:pPr>
        <w:spacing w:after="0" w:line="131" w:lineRule="exact"/>
        <w:rPr>
          <w:sz w:val="20"/>
          <w:szCs w:val="20"/>
          <w:color w:val="auto"/>
        </w:rPr>
      </w:pPr>
    </w:p>
    <w:p>
      <w:pPr>
        <w:ind w:left="660" w:right="780"/>
        <w:spacing w:after="0" w:line="264" w:lineRule="auto"/>
        <w:rPr>
          <w:sz w:val="20"/>
          <w:szCs w:val="20"/>
          <w:color w:val="auto"/>
        </w:rPr>
      </w:pPr>
      <w:r>
        <w:rPr>
          <w:rFonts w:ascii="Arial" w:cs="Arial" w:eastAsia="Arial" w:hAnsi="Arial"/>
          <w:sz w:val="15"/>
          <w:szCs w:val="15"/>
          <w:color w:val="050A35"/>
        </w:rPr>
        <w:t>Our Board of Directors has adopted written policies and procedures regarding related person transactions. For purposes of these policies and procedures:</w:t>
      </w:r>
    </w:p>
    <w:p>
      <w:pPr>
        <w:spacing w:after="0" w:line="53" w:lineRule="exact"/>
        <w:rPr>
          <w:sz w:val="20"/>
          <w:szCs w:val="20"/>
          <w:color w:val="auto"/>
        </w:rPr>
      </w:pPr>
    </w:p>
    <w:p>
      <w:pPr>
        <w:ind w:left="840" w:hanging="174"/>
        <w:spacing w:after="0"/>
        <w:tabs>
          <w:tab w:leader="none" w:pos="840" w:val="left"/>
        </w:tabs>
        <w:numPr>
          <w:ilvl w:val="0"/>
          <w:numId w:val="65"/>
        </w:numPr>
        <w:rPr>
          <w:rFonts w:ascii="Times New Roman" w:cs="Times New Roman" w:eastAsia="Times New Roman" w:hAnsi="Times New Roman"/>
          <w:sz w:val="15"/>
          <w:szCs w:val="15"/>
          <w:color w:val="112B19"/>
        </w:rPr>
      </w:pPr>
      <w:r>
        <w:rPr>
          <w:rFonts w:ascii="Arial" w:cs="Arial" w:eastAsia="Arial" w:hAnsi="Arial"/>
          <w:sz w:val="15"/>
          <w:szCs w:val="15"/>
          <w:color w:val="050A35"/>
        </w:rPr>
        <w:t>a “related person” means any of our directors, executive officers or nominees for director or any of their immediate family members; and</w:t>
      </w:r>
    </w:p>
    <w:p>
      <w:pPr>
        <w:spacing w:after="0" w:line="96" w:lineRule="exact"/>
        <w:rPr>
          <w:rFonts w:ascii="Times New Roman" w:cs="Times New Roman" w:eastAsia="Times New Roman" w:hAnsi="Times New Roman"/>
          <w:sz w:val="15"/>
          <w:szCs w:val="15"/>
          <w:color w:val="112B19"/>
        </w:rPr>
      </w:pPr>
    </w:p>
    <w:p>
      <w:pPr>
        <w:jc w:val="both"/>
        <w:ind w:left="840" w:right="780" w:hanging="174"/>
        <w:spacing w:after="0" w:line="244" w:lineRule="auto"/>
        <w:tabs>
          <w:tab w:leader="none" w:pos="840" w:val="left"/>
        </w:tabs>
        <w:numPr>
          <w:ilvl w:val="0"/>
          <w:numId w:val="65"/>
        </w:numPr>
        <w:rPr>
          <w:rFonts w:ascii="Times New Roman" w:cs="Times New Roman" w:eastAsia="Times New Roman" w:hAnsi="Times New Roman"/>
          <w:sz w:val="15"/>
          <w:szCs w:val="15"/>
          <w:color w:val="112B19"/>
        </w:rPr>
      </w:pPr>
      <w:r>
        <w:rPr>
          <w:rFonts w:ascii="Arial" w:cs="Arial" w:eastAsia="Arial" w:hAnsi="Arial"/>
          <w:sz w:val="15"/>
          <w:szCs w:val="15"/>
          <w:color w:val="050A35"/>
        </w:rPr>
        <w:t>a “related person transaction” generally is a transaction (including any indebtedness or a guarantee of indebtedness) in which we were or are to be a participant and the amount involved exceeds $120,000, and in which a related person had or will have a direct or indirect material interest.</w:t>
      </w:r>
    </w:p>
    <w:p>
      <w:pPr>
        <w:spacing w:after="0" w:line="67" w:lineRule="exact"/>
        <w:rPr>
          <w:sz w:val="20"/>
          <w:szCs w:val="20"/>
          <w:color w:val="auto"/>
        </w:rPr>
      </w:pPr>
    </w:p>
    <w:p>
      <w:pPr>
        <w:ind w:left="660" w:right="760"/>
        <w:spacing w:after="0" w:line="233" w:lineRule="auto"/>
        <w:rPr>
          <w:sz w:val="20"/>
          <w:szCs w:val="20"/>
          <w:color w:val="auto"/>
        </w:rPr>
      </w:pPr>
      <w:r>
        <w:rPr>
          <w:rFonts w:ascii="Arial" w:cs="Arial" w:eastAsia="Arial" w:hAnsi="Arial"/>
          <w:sz w:val="15"/>
          <w:szCs w:val="15"/>
          <w:color w:val="050A35"/>
        </w:rPr>
        <w:t>Each of our executive officers, directors or nominees for director is required to disclose to the Audit Committee certain information relating to related person transactions for review, approval or ratification by the Audit Committee. Disclosure to the Audit Committee should occur before, if possible, or as soon as practicable after the related person transaction is effected, but in any event as soon as practicable after the executive officer, director or nominee for director becomes aware of the related person transaction. The Audit Committee’s decision whether or not to approve or ratify a related person transaction is to be made in light of the Audit Committee’s determination that consummation of the transaction is not or was not contrary to our best interests. Any related person transaction must be disclosed to the full Board of Directors.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2"/>
          <w:szCs w:val="22"/>
          <w:color w:val="050A35"/>
        </w:rPr>
        <w:t>Related Person Transactions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Investment Manager to Funds</w:t>
      </w:r>
    </w:p>
    <w:p>
      <w:pPr>
        <w:spacing w:after="0" w:line="106" w:lineRule="exact"/>
        <w:rPr>
          <w:sz w:val="20"/>
          <w:szCs w:val="20"/>
          <w:color w:val="auto"/>
        </w:rPr>
      </w:pPr>
    </w:p>
    <w:p>
      <w:pPr>
        <w:ind w:left="660" w:right="700"/>
        <w:spacing w:after="0"/>
        <w:rPr>
          <w:sz w:val="20"/>
          <w:szCs w:val="20"/>
          <w:color w:val="auto"/>
        </w:rPr>
      </w:pPr>
      <w:r>
        <w:rPr>
          <w:rFonts w:ascii="Arial" w:cs="Arial" w:eastAsia="Arial" w:hAnsi="Arial"/>
          <w:sz w:val="15"/>
          <w:szCs w:val="15"/>
          <w:color w:val="050A35"/>
        </w:rPr>
        <w:t>Through its subsidiaries, the Company serves as the investment manager to our existing portfolio of solutions across private equity, venture capital, private credit and impact investing (collectively, "the Funds"). Certain expenses incurred by the Funds are paid upfront and are reimbursed from the Funds as permissible per fund agreements. As of December 31, 2025, the total accounts receivable from the Funds totaled $38.8 million, of which $14.1 million related to reimbursable expenses and $24.7 million related to fees earned but not yet received.</w:t>
      </w: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Keystone Capital Arrangements</w:t>
      </w:r>
    </w:p>
    <w:p>
      <w:pPr>
        <w:spacing w:after="0" w:line="106" w:lineRule="exact"/>
        <w:rPr>
          <w:sz w:val="20"/>
          <w:szCs w:val="20"/>
          <w:color w:val="auto"/>
        </w:rPr>
      </w:pPr>
    </w:p>
    <w:p>
      <w:pPr>
        <w:ind w:left="660" w:right="660"/>
        <w:spacing w:after="0" w:line="234" w:lineRule="auto"/>
        <w:rPr>
          <w:sz w:val="20"/>
          <w:szCs w:val="20"/>
          <w:color w:val="auto"/>
        </w:rPr>
      </w:pPr>
      <w:r>
        <w:rPr>
          <w:rFonts w:ascii="Arial" w:cs="Arial" w:eastAsia="Arial" w:hAnsi="Arial"/>
          <w:sz w:val="15"/>
          <w:szCs w:val="15"/>
          <w:color w:val="050A35"/>
        </w:rPr>
        <w:t>Scott Gwilliam, one of our directors, is the managing partner of Keystone Capital Management (“Keystone Capital"), affiliates of which have the right, pursuant to prior contractual agreements with certain subsidiaries of the Company, to invest in the Company’s funds on certain preferential terms. In the past, Mr. Gwilliam, individually and certain investment funds managed by Keystone Capital (the “KCI Funds”), have invested in certain of the Company’s funds on the same terms and conditions as other unaffiliated clients and investors, except that these investments are generally not subject to management fees or carried interests. Mr. Gwilliam and the KCI Funds may continue to make similar investments in the future. See “—Director and Officer Investments” and “—Bonaccord Capital Fund III Arrangements” below.</w:t>
      </w:r>
    </w:p>
    <w:p>
      <w:pPr>
        <w:spacing w:after="0" w:line="71" w:lineRule="exact"/>
        <w:rPr>
          <w:sz w:val="20"/>
          <w:szCs w:val="20"/>
          <w:color w:val="auto"/>
        </w:rPr>
      </w:pPr>
    </w:p>
    <w:p>
      <w:pPr>
        <w:ind w:left="660" w:right="700"/>
        <w:spacing w:after="0" w:line="233" w:lineRule="auto"/>
        <w:rPr>
          <w:sz w:val="20"/>
          <w:szCs w:val="20"/>
          <w:color w:val="auto"/>
        </w:rPr>
      </w:pPr>
      <w:r>
        <w:rPr>
          <w:rFonts w:ascii="Arial" w:cs="Arial" w:eastAsia="Arial" w:hAnsi="Arial"/>
          <w:sz w:val="15"/>
          <w:szCs w:val="15"/>
          <w:color w:val="050A35"/>
        </w:rPr>
        <w:t>Certain funds managed by or separate managed accounts of RCP Advisors (the "RCP Funds") have invested $100 million in capital with two investment funds managed by Keystone Capital and may continue to do so in the future. The RCP Funds have also, on behalf of their clients, partnered with Keystone Capital in the acquisition of certain businesses on a direct basis. The RCP Funds invest, on behalf of their clients, on substantially the same terms and conditions as other clients in these funds, including being subject to management fees and carried interest payable to affiliates of Keystone Capital, which approximated $0.4 million (net of fee offsets and fee waivers) for the year ended December 31, 2025. These fees are not included in the Consolidated Statements of Operations as they are fees paid to Keystone Capital on behalf of clients of the RCP Funds.</w:t>
      </w:r>
    </w:p>
    <w:p>
      <w:pPr>
        <w:spacing w:after="0" w:line="70" w:lineRule="exact"/>
        <w:rPr>
          <w:sz w:val="20"/>
          <w:szCs w:val="20"/>
          <w:color w:val="auto"/>
        </w:rPr>
      </w:pPr>
    </w:p>
    <w:p>
      <w:pPr>
        <w:ind w:left="660" w:right="900"/>
        <w:spacing w:after="0" w:line="264" w:lineRule="auto"/>
        <w:rPr>
          <w:sz w:val="20"/>
          <w:szCs w:val="20"/>
          <w:color w:val="auto"/>
        </w:rPr>
      </w:pPr>
      <w:r>
        <w:rPr>
          <w:rFonts w:ascii="Arial" w:cs="Arial" w:eastAsia="Arial" w:hAnsi="Arial"/>
          <w:sz w:val="15"/>
          <w:szCs w:val="15"/>
          <w:color w:val="050A35"/>
        </w:rPr>
        <w:t>Certain employees of subsidiaries of the Company in the past have invested in investment funds managed by Keystone Capital and are not subject to management fees or carried interests, and may continue to do so in the future.</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Director and Officer Investments</w:t>
      </w:r>
    </w:p>
    <w:p>
      <w:pPr>
        <w:spacing w:after="0" w:line="106" w:lineRule="exact"/>
        <w:rPr>
          <w:sz w:val="20"/>
          <w:szCs w:val="20"/>
          <w:color w:val="auto"/>
        </w:rPr>
      </w:pPr>
    </w:p>
    <w:p>
      <w:pPr>
        <w:ind w:left="660" w:right="720"/>
        <w:spacing w:after="0" w:line="234" w:lineRule="auto"/>
        <w:rPr>
          <w:sz w:val="20"/>
          <w:szCs w:val="20"/>
          <w:color w:val="auto"/>
        </w:rPr>
      </w:pPr>
      <w:r>
        <w:rPr>
          <w:rFonts w:ascii="Arial" w:cs="Arial" w:eastAsia="Arial" w:hAnsi="Arial"/>
          <w:sz w:val="15"/>
          <w:szCs w:val="15"/>
          <w:color w:val="050A35"/>
        </w:rPr>
        <w:t>The Company’s executive officers and directors have also invested, and may continue to invest in and alongside certain of the Company’s funds on substantially the same terms and conditions as other unaffiliated clients and investors, except that these investments are sometimes not subject to management fees or carried interest. We believe that these investments further align the interests of our executive officers and directors with those of the limited partners of our funds and our firm. In addition, our independent directors are permitted to participate in such investments up to a certain threshold, which the Board has determined will not compromise their independence. During the year ended December 31, 2025, the aggregate commitments by the Company's executive officers and directors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40" w:type="dxa"/>
            <w:vAlign w:val="bottom"/>
          </w:tcPr>
          <w:p>
            <w:pPr>
              <w:ind w:left="6560"/>
              <w:spacing w:after="0"/>
              <w:rPr>
                <w:sz w:val="20"/>
                <w:szCs w:val="20"/>
                <w:color w:val="auto"/>
              </w:rPr>
            </w:pPr>
            <w:r>
              <w:rPr>
                <w:rFonts w:ascii="Arial" w:cs="Arial" w:eastAsia="Arial" w:hAnsi="Arial"/>
                <w:sz w:val="14"/>
                <w:szCs w:val="14"/>
                <w:color w:val="050A35"/>
              </w:rPr>
              <w:t>RIDGEPOST CAPITAL | 2026 Proxy Statement</w:t>
            </w:r>
          </w:p>
        </w:tc>
        <w:tc>
          <w:tcPr>
            <w:tcW w:w="980" w:type="dxa"/>
            <w:vAlign w:val="bottom"/>
          </w:tcPr>
          <w:p>
            <w:pPr>
              <w:jc w:val="right"/>
              <w:ind w:right="588"/>
              <w:spacing w:after="0"/>
              <w:rPr>
                <w:sz w:val="20"/>
                <w:szCs w:val="20"/>
                <w:color w:val="auto"/>
              </w:rPr>
            </w:pPr>
            <w:r>
              <w:rPr>
                <w:rFonts w:ascii="Arial" w:cs="Arial" w:eastAsia="Arial" w:hAnsi="Arial"/>
                <w:sz w:val="14"/>
                <w:szCs w:val="14"/>
                <w:b w:val="1"/>
                <w:bCs w:val="1"/>
                <w:color w:val="050A35"/>
              </w:rPr>
              <w:t>35</w:t>
            </w:r>
          </w:p>
        </w:tc>
      </w:tr>
      <w:tr>
        <w:trPr>
          <w:trHeight w:val="738"/>
        </w:trPr>
        <w:tc>
          <w:tcPr>
            <w:tcW w:w="97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sectPr>
      </w:pPr>
    </w:p>
    <w:bookmarkStart w:id="39" w:name="page40"/>
    <w:bookmarkEnd w:id="39"/>
    <w:p>
      <w:pPr>
        <w:spacing w:after="0"/>
        <w:rPr>
          <w:sz w:val="20"/>
          <w:szCs w:val="20"/>
          <w:color w:val="auto"/>
        </w:rPr>
      </w:pPr>
      <w:r>
        <w:rPr>
          <w:rFonts w:ascii="Arial" w:cs="Arial" w:eastAsia="Arial" w:hAnsi="Arial"/>
          <w:sz w:val="13"/>
          <w:szCs w:val="13"/>
          <w:color w:val="050A35"/>
        </w:rPr>
        <w:t>Certain Relationships and Related Person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9664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400"/>
          </w:cols>
          <w:pgMar w:left="1240" w:top="775" w:right="1259" w:bottom="1440" w:gutter="0" w:footer="0" w:header="0"/>
        </w:sectPr>
      </w:pPr>
    </w:p>
    <w:p>
      <w:pPr>
        <w:spacing w:after="0" w:line="359" w:lineRule="exact"/>
        <w:rPr>
          <w:sz w:val="20"/>
          <w:szCs w:val="20"/>
          <w:color w:val="auto"/>
        </w:rPr>
      </w:pPr>
    </w:p>
    <w:p>
      <w:pPr>
        <w:spacing w:after="0" w:line="264" w:lineRule="auto"/>
        <w:rPr>
          <w:sz w:val="20"/>
          <w:szCs w:val="20"/>
          <w:color w:val="auto"/>
        </w:rPr>
      </w:pPr>
      <w:r>
        <w:rPr>
          <w:rFonts w:ascii="Arial" w:cs="Arial" w:eastAsia="Arial" w:hAnsi="Arial"/>
          <w:sz w:val="15"/>
          <w:szCs w:val="15"/>
          <w:color w:val="050A35"/>
        </w:rPr>
        <w:t>and their family members and estate planning vehicles (including amounts related to indirect investments made through pooled vehicles) in and alongside the Company's funds was approximately $5.0 million.</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Bonaccord Capital Fund III Arrangements</w:t>
      </w:r>
    </w:p>
    <w:p>
      <w:pPr>
        <w:spacing w:after="0" w:line="106" w:lineRule="exact"/>
        <w:rPr>
          <w:sz w:val="20"/>
          <w:szCs w:val="20"/>
          <w:color w:val="auto"/>
        </w:rPr>
      </w:pPr>
    </w:p>
    <w:p>
      <w:pPr>
        <w:ind w:right="100"/>
        <w:spacing w:after="0" w:line="238" w:lineRule="auto"/>
        <w:rPr>
          <w:sz w:val="20"/>
          <w:szCs w:val="20"/>
          <w:color w:val="auto"/>
        </w:rPr>
      </w:pPr>
      <w:r>
        <w:rPr>
          <w:rFonts w:ascii="Arial" w:cs="Arial" w:eastAsia="Arial" w:hAnsi="Arial"/>
          <w:sz w:val="15"/>
          <w:szCs w:val="15"/>
          <w:color w:val="050A35"/>
        </w:rPr>
        <w:t>In 2025, certain of the Company’s executive officers and directors invested directly in the general partner entity for Bonaccord Capital Partners III and are entitled to a proportionate share in the carried interest for such fund. The amounts committed to be invested in the general partner in excess of $ 120,000 are as follows: Mr. Sarsfield—$1.0 million; Mr. Gwilliam—$0.8 million; Mr. Blewitt—$0.3 million; Mr. McCoy—$0.3 million; and Mr. Jensen—$0.2 million.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112B19"/>
        </w:rPr>
        <w:t>Controlled Company Agreement</w:t>
      </w:r>
    </w:p>
    <w:p>
      <w:pPr>
        <w:spacing w:after="0" w:line="106" w:lineRule="exact"/>
        <w:rPr>
          <w:sz w:val="20"/>
          <w:szCs w:val="20"/>
          <w:color w:val="auto"/>
        </w:rPr>
      </w:pPr>
    </w:p>
    <w:p>
      <w:pPr>
        <w:ind w:right="60"/>
        <w:spacing w:after="0" w:line="230" w:lineRule="auto"/>
        <w:rPr>
          <w:sz w:val="20"/>
          <w:szCs w:val="20"/>
          <w:color w:val="auto"/>
        </w:rPr>
      </w:pPr>
      <w:r>
        <w:rPr>
          <w:rFonts w:ascii="Arial" w:cs="Arial" w:eastAsia="Arial" w:hAnsi="Arial"/>
          <w:sz w:val="15"/>
          <w:szCs w:val="15"/>
          <w:color w:val="050A35"/>
        </w:rPr>
        <w:t>The Company entered into the Controlled Company Agreement on October 20, 2021, with the 210 Group, RCP Group and TrueBridge Group, granting each party certain board designation rights. On December 19, 2024, the Company entered into an amendment to the Controlled Company Agreement to, among other things: (i) remove 210/P10 Acquisition Partners, LLC and certain members of the RCP Group thereunder, and (ii) remove the board nomination and other rights of 210/P10 Acquisition Partners, LLC. Under the Controlled Company Agreement, as amended, subject to certain limitations and exceptions set forth therein, (i) so long as the RCP Group and any of its permitted transferees who hold shares of common stock as of the applicable time continue to collectively hold a combined voting power of at least 5% of the shares of common stock outstanding immediately following the Company's initial public offering, the Company will include in its slate of nominees one director designated by the RCP Group and (ii) so long as TrueBridge Group and any of its permitted transferees who hold shares of common stock as of the applicable time continue to collectively hold a combined voting power of at least 5% of the shares of common stock outstanding immediately following the Company's initial public offering, the Company will include in its slate of nominees one director designated by the TrueBridge Group.</w:t>
      </w:r>
    </w:p>
    <w:p>
      <w:pPr>
        <w:spacing w:after="0" w:line="174" w:lineRule="exact"/>
        <w:rPr>
          <w:sz w:val="20"/>
          <w:szCs w:val="20"/>
          <w:color w:val="auto"/>
        </w:rPr>
      </w:pPr>
    </w:p>
    <w:p>
      <w:pPr>
        <w:ind w:left="480" w:hanging="474"/>
        <w:spacing w:after="0"/>
        <w:tabs>
          <w:tab w:leader="none" w:pos="480" w:val="left"/>
        </w:tabs>
        <w:numPr>
          <w:ilvl w:val="0"/>
          <w:numId w:val="66"/>
        </w:numPr>
        <w:rPr>
          <w:rFonts w:ascii="Arial" w:cs="Arial" w:eastAsia="Arial" w:hAnsi="Arial"/>
          <w:sz w:val="14"/>
          <w:szCs w:val="14"/>
          <w:b w:val="1"/>
          <w:bCs w:val="1"/>
          <w:color w:val="050A35"/>
        </w:rPr>
      </w:pPr>
      <w:r>
        <w:rPr>
          <w:rFonts w:ascii="Arial" w:cs="Arial" w:eastAsia="Arial" w:hAnsi="Arial"/>
          <w:sz w:val="14"/>
          <w:szCs w:val="14"/>
          <w:color w:val="050A35"/>
        </w:rPr>
        <w:t>RIDGEPOST CAPITAL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473710</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775" w:right="125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3"/>
          <w:szCs w:val="13"/>
          <w:color w:val="050A35"/>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9664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400"/>
          </w:cols>
          <w:pgMar w:left="1240" w:top="775" w:right="125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b w:val="1"/>
          <w:bCs w:val="1"/>
          <w:color w:val="050A35"/>
        </w:rPr>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050A35"/>
        </w:rPr>
        <w:t>Stockholder Proposals</w:t>
      </w:r>
    </w:p>
    <w:p>
      <w:pPr>
        <w:spacing w:after="0" w:line="131" w:lineRule="exact"/>
        <w:rPr>
          <w:sz w:val="20"/>
          <w:szCs w:val="20"/>
          <w:color w:val="auto"/>
        </w:rPr>
      </w:pPr>
    </w:p>
    <w:p>
      <w:pPr>
        <w:ind w:right="60"/>
        <w:spacing w:after="0" w:line="234" w:lineRule="auto"/>
        <w:rPr>
          <w:sz w:val="20"/>
          <w:szCs w:val="20"/>
          <w:color w:val="auto"/>
        </w:rPr>
      </w:pPr>
      <w:r>
        <w:rPr>
          <w:rFonts w:ascii="Arial" w:cs="Arial" w:eastAsia="Arial" w:hAnsi="Arial"/>
          <w:sz w:val="15"/>
          <w:szCs w:val="15"/>
          <w:color w:val="050A35"/>
        </w:rPr>
        <w:t>Stockholders wishing to include proposals in the proxy materials in relation to our 2027 Annual Meeting of Stockholders must submit the same in writing, by mail, first-class postage pre-paid, to Ridgepost Capital, Inc., 2699 Howell Street, Suite 1000, Dallas, Texas 75204, Attention: Corporate Secretary, which must be received at our executive office on or before December 31, 2026, unless the date of the 2027 Annual Meeting is changed by more than 30 days from the date of the last annual meeting, in which case the proposal must be received no later than a reasonable time before the Company begins to print and send its proxy materials. Such proposals must also meet the other requirements and procedures prescribed by Rule 14a-8 under the Exchange Act relating to stockholders’ proposals.</w:t>
      </w:r>
    </w:p>
    <w:p>
      <w:pPr>
        <w:spacing w:after="0" w:line="71" w:lineRule="exact"/>
        <w:rPr>
          <w:sz w:val="20"/>
          <w:szCs w:val="20"/>
          <w:color w:val="auto"/>
        </w:rPr>
      </w:pPr>
    </w:p>
    <w:p>
      <w:pPr>
        <w:spacing w:after="0" w:line="233" w:lineRule="auto"/>
        <w:rPr>
          <w:sz w:val="20"/>
          <w:szCs w:val="20"/>
          <w:color w:val="auto"/>
        </w:rPr>
      </w:pPr>
      <w:r>
        <w:rPr>
          <w:rFonts w:ascii="Arial" w:cs="Arial" w:eastAsia="Arial" w:hAnsi="Arial"/>
          <w:sz w:val="15"/>
          <w:szCs w:val="15"/>
          <w:color w:val="050A35"/>
        </w:rPr>
        <w:t>Stockholders who intend to present a proposal at the 2027 Annual Meeting, without including such proposal in our proxy statement, must provide our Corporate Secretary with written notice of such proposal not later than March 14, 2027 and not earlier than February 12, 2027, unless the date of the 2027 Annual Meeting is more than 30 days before or after the anniversary of the last annual meeting, in which case the proposal must be delivered between 90 to 120 days prior to the date of the 2027 Annual Meeting or within 10 calendar days after the date of the 2027 Annual Meeting is first publicly announced. If the stockholder does not also comply with the requirements of Rule 14a-4(c) under the Exchange Act, we may exercise discretionary voting authority under proxies we solicit to vote in accordance with our best judgment on any such stockholder proposal or nomination.</w:t>
      </w:r>
    </w:p>
    <w:p>
      <w:pPr>
        <w:spacing w:after="0" w:line="70" w:lineRule="exact"/>
        <w:rPr>
          <w:sz w:val="20"/>
          <w:szCs w:val="20"/>
          <w:color w:val="auto"/>
        </w:rPr>
      </w:pPr>
    </w:p>
    <w:p>
      <w:pPr>
        <w:spacing w:after="0" w:line="236" w:lineRule="auto"/>
        <w:rPr>
          <w:sz w:val="20"/>
          <w:szCs w:val="20"/>
          <w:color w:val="auto"/>
        </w:rPr>
      </w:pPr>
      <w:r>
        <w:rPr>
          <w:rFonts w:ascii="Arial" w:cs="Arial" w:eastAsia="Arial" w:hAnsi="Arial"/>
          <w:sz w:val="15"/>
          <w:szCs w:val="15"/>
          <w:color w:val="050A35"/>
        </w:rPr>
        <w:t>Finally, the deadline for providing notice to the Company under Rule 14a-19, the SEC’s universal proxy rule, of a stockholder’s intent to solicit proxies in support of nominees submitted under the company’s advance notice bylaws for our 2027 annual meeting is April 13, 2027, unless the date of the 2027 Annual Meeting has changed by more than 30 calendar days from the previous year, in which case the notice must be postmarked or transmitted electronically by the later of 60 days prior to the date of the 2027 annual meeting or the 10th calendar day following the date the 2027 Annual Meeting is first publicly announced.</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050A35"/>
        </w:rPr>
        <w:t>Delivery of Documents to Stockholders Sharing an Address</w:t>
      </w:r>
    </w:p>
    <w:p>
      <w:pPr>
        <w:spacing w:after="0" w:line="131" w:lineRule="exact"/>
        <w:rPr>
          <w:sz w:val="20"/>
          <w:szCs w:val="20"/>
          <w:color w:val="auto"/>
        </w:rPr>
      </w:pPr>
    </w:p>
    <w:p>
      <w:pPr>
        <w:ind w:right="400"/>
        <w:spacing w:after="0" w:line="264" w:lineRule="auto"/>
        <w:rPr>
          <w:sz w:val="20"/>
          <w:szCs w:val="20"/>
          <w:color w:val="auto"/>
        </w:rPr>
      </w:pPr>
      <w:r>
        <w:rPr>
          <w:rFonts w:ascii="Arial" w:cs="Arial" w:eastAsia="Arial" w:hAnsi="Arial"/>
          <w:sz w:val="15"/>
          <w:szCs w:val="15"/>
          <w:color w:val="050A35"/>
        </w:rPr>
        <w:t>To the extent we deliver a paper copy of the proxy materials to stockholders, the SEC rules allow us to deliver a single copy of proxy materials to any household at which two or more stockholders reside, if we believe the stockholders are members of the same family.</w:t>
      </w:r>
    </w:p>
    <w:p>
      <w:pPr>
        <w:spacing w:after="0" w:line="53" w:lineRule="exact"/>
        <w:rPr>
          <w:sz w:val="20"/>
          <w:szCs w:val="20"/>
          <w:color w:val="auto"/>
        </w:rPr>
      </w:pPr>
    </w:p>
    <w:p>
      <w:pPr>
        <w:ind w:right="240"/>
        <w:spacing w:after="0" w:line="238" w:lineRule="auto"/>
        <w:rPr>
          <w:sz w:val="20"/>
          <w:szCs w:val="20"/>
          <w:color w:val="auto"/>
        </w:rPr>
      </w:pPr>
      <w:r>
        <w:rPr>
          <w:rFonts w:ascii="Arial" w:cs="Arial" w:eastAsia="Arial" w:hAnsi="Arial"/>
          <w:sz w:val="15"/>
          <w:szCs w:val="15"/>
          <w:color w:val="050A35"/>
        </w:rPr>
        <w:t>We will promptly deliver, upon oral or written request, a separate copy of the proxy materials to any stockholder residing at the same address as another stockholder and currently receiving only one copy of the proxy materials who wishes to receive his or her own copy. Requests should be directed to our Corporate Secretary by phone at (214) 997-1956 or by mail to Ridgepost Capital, Inc., 2699 Howell Street, Suite 1000, Dallas, Texas 75204.</w:t>
      </w:r>
    </w:p>
    <w:p>
      <w:pPr>
        <w:spacing w:after="0" w:line="72" w:lineRule="exact"/>
        <w:rPr>
          <w:sz w:val="20"/>
          <w:szCs w:val="20"/>
          <w:color w:val="auto"/>
        </w:rPr>
      </w:pPr>
    </w:p>
    <w:p>
      <w:pPr>
        <w:ind w:right="420"/>
        <w:spacing w:after="0" w:line="264" w:lineRule="auto"/>
        <w:rPr>
          <w:sz w:val="20"/>
          <w:szCs w:val="20"/>
          <w:color w:val="auto"/>
        </w:rPr>
      </w:pPr>
      <w:r>
        <w:rPr>
          <w:rFonts w:ascii="Arial" w:cs="Arial" w:eastAsia="Arial" w:hAnsi="Arial"/>
          <w:sz w:val="15"/>
          <w:szCs w:val="15"/>
          <w:color w:val="050A35"/>
        </w:rPr>
        <w:t>Upon written request addressed to our Corporate Secretary at 2699 Howell Street, Suite 1000, Dallas, Texas 75204 from any person solicited herein, we will provide, at no cost, a copy of our fiscal 2025 Annual Report on Form 10-K filed with the SEC.</w:t>
      </w:r>
    </w:p>
    <w:p>
      <w:pPr>
        <w:spacing w:after="0" w:line="53" w:lineRule="exact"/>
        <w:rPr>
          <w:sz w:val="20"/>
          <w:szCs w:val="20"/>
          <w:color w:val="auto"/>
        </w:rPr>
      </w:pPr>
    </w:p>
    <w:p>
      <w:pPr>
        <w:ind w:right="100"/>
        <w:spacing w:after="0" w:line="238" w:lineRule="auto"/>
        <w:rPr>
          <w:sz w:val="20"/>
          <w:szCs w:val="20"/>
          <w:color w:val="auto"/>
        </w:rPr>
      </w:pPr>
      <w:r>
        <w:rPr>
          <w:rFonts w:ascii="Arial" w:cs="Arial" w:eastAsia="Arial" w:hAnsi="Arial"/>
          <w:sz w:val="15"/>
          <w:szCs w:val="15"/>
          <w:color w:val="050A35"/>
        </w:rPr>
        <w:t>Our Board of Directors does not know of any matter to be brought before the Annual Meeting other than the matters set forth in the Notice of Annual Meeting of Stockholders and matters incident to the conduct of the Annual Meeting. If any other matter should properly come before the Annual Meeting, the persons named in the enclosed proxy card will have discretionary authority to vote all proxies with respect thereto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0" w:hanging="474"/>
        <w:spacing w:after="0"/>
        <w:tabs>
          <w:tab w:leader="none" w:pos="480" w:val="left"/>
        </w:tabs>
        <w:numPr>
          <w:ilvl w:val="0"/>
          <w:numId w:val="67"/>
        </w:numPr>
        <w:rPr>
          <w:rFonts w:ascii="Arial" w:cs="Arial" w:eastAsia="Arial" w:hAnsi="Arial"/>
          <w:sz w:val="14"/>
          <w:szCs w:val="14"/>
          <w:b w:val="1"/>
          <w:bCs w:val="1"/>
          <w:color w:val="050A35"/>
        </w:rPr>
      </w:pPr>
      <w:r>
        <w:rPr>
          <w:rFonts w:ascii="Arial" w:cs="Arial" w:eastAsia="Arial" w:hAnsi="Arial"/>
          <w:sz w:val="14"/>
          <w:szCs w:val="14"/>
          <w:color w:val="050A35"/>
        </w:rPr>
        <w:t>RIDGEPOST CAPITAL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473710</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775" w:right="1259" w:bottom="1440" w:gutter="0" w:footer="0" w:header="0"/>
          <w:type w:val="continuous"/>
        </w:sectPr>
      </w:pPr>
    </w:p>
    <w:bookmarkStart w:id="41" w:name="page42"/>
    <w:bookmarkEnd w:id="41"/>
    <w:p>
      <w:pPr>
        <w:jc w:val="right"/>
        <w:ind w:right="660"/>
        <w:spacing w:after="0"/>
        <w:rPr>
          <w:sz w:val="20"/>
          <w:szCs w:val="20"/>
          <w:color w:val="auto"/>
        </w:rPr>
      </w:pPr>
      <w:r>
        <w:rPr>
          <w:rFonts w:ascii="Arial" w:cs="Arial" w:eastAsia="Arial" w:hAnsi="Arial"/>
          <w:sz w:val="13"/>
          <w:szCs w:val="13"/>
          <w:color w:val="050A35"/>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15875</wp:posOffset>
            </wp:positionV>
            <wp:extent cx="59664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050A35"/>
        </w:rPr>
        <w:t>Appendix A</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050A35"/>
        </w:rPr>
        <w:t>NON-GAAP MEASURES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Fee-Related Earnings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5"/>
          <w:szCs w:val="15"/>
          <w:color w:val="050A35"/>
        </w:rPr>
        <w:t>In order to compute Fee-Related Earnings, we adjust our GAAP Net Income for certain items, including:</w:t>
      </w:r>
    </w:p>
    <w:p>
      <w:pPr>
        <w:spacing w:after="0" w:line="98" w:lineRule="exact"/>
        <w:rPr>
          <w:sz w:val="20"/>
          <w:szCs w:val="20"/>
          <w:color w:val="auto"/>
        </w:rPr>
      </w:pPr>
    </w:p>
    <w:p>
      <w:pPr>
        <w:ind w:left="920" w:right="720" w:hanging="254"/>
        <w:spacing w:after="0" w:line="263" w:lineRule="auto"/>
        <w:tabs>
          <w:tab w:leader="none" w:pos="920" w:val="left"/>
        </w:tabs>
        <w:numPr>
          <w:ilvl w:val="0"/>
          <w:numId w:val="68"/>
        </w:numPr>
        <w:rPr>
          <w:rFonts w:ascii="Times New Roman" w:cs="Times New Roman" w:eastAsia="Times New Roman" w:hAnsi="Times New Roman"/>
          <w:sz w:val="15"/>
          <w:szCs w:val="15"/>
          <w:color w:val="112B19"/>
        </w:rPr>
      </w:pPr>
      <w:r>
        <w:rPr>
          <w:rFonts w:ascii="Arial" w:cs="Arial" w:eastAsia="Arial" w:hAnsi="Arial"/>
          <w:sz w:val="15"/>
          <w:szCs w:val="15"/>
          <w:color w:val="050A35"/>
        </w:rPr>
        <w:t>Expenses that typically do not require us to pay them in cash in the current period (such as depreciation, amortization and stock-based compensation);</w:t>
      </w:r>
    </w:p>
    <w:p>
      <w:pPr>
        <w:spacing w:after="0" w:line="53" w:lineRule="exact"/>
        <w:rPr>
          <w:rFonts w:ascii="Times New Roman" w:cs="Times New Roman" w:eastAsia="Times New Roman" w:hAnsi="Times New Roman"/>
          <w:sz w:val="15"/>
          <w:szCs w:val="15"/>
          <w:color w:val="112B19"/>
        </w:rPr>
      </w:pPr>
    </w:p>
    <w:p>
      <w:pPr>
        <w:ind w:left="920" w:hanging="254"/>
        <w:spacing w:after="0"/>
        <w:tabs>
          <w:tab w:leader="none" w:pos="920" w:val="left"/>
        </w:tabs>
        <w:numPr>
          <w:ilvl w:val="0"/>
          <w:numId w:val="68"/>
        </w:numPr>
        <w:rPr>
          <w:rFonts w:ascii="Times New Roman" w:cs="Times New Roman" w:eastAsia="Times New Roman" w:hAnsi="Times New Roman"/>
          <w:sz w:val="15"/>
          <w:szCs w:val="15"/>
          <w:color w:val="112B19"/>
        </w:rPr>
      </w:pPr>
      <w:r>
        <w:rPr>
          <w:rFonts w:ascii="Arial" w:cs="Arial" w:eastAsia="Arial" w:hAnsi="Arial"/>
          <w:sz w:val="15"/>
          <w:szCs w:val="15"/>
          <w:color w:val="050A35"/>
        </w:rPr>
        <w:t>Earn out related compensation;</w:t>
      </w:r>
    </w:p>
    <w:p>
      <w:pPr>
        <w:spacing w:after="0" w:line="96" w:lineRule="exact"/>
        <w:rPr>
          <w:rFonts w:ascii="Times New Roman" w:cs="Times New Roman" w:eastAsia="Times New Roman" w:hAnsi="Times New Roman"/>
          <w:sz w:val="15"/>
          <w:szCs w:val="15"/>
          <w:color w:val="112B19"/>
        </w:rPr>
      </w:pPr>
    </w:p>
    <w:p>
      <w:pPr>
        <w:ind w:left="920" w:hanging="254"/>
        <w:spacing w:after="0"/>
        <w:tabs>
          <w:tab w:leader="none" w:pos="920" w:val="left"/>
        </w:tabs>
        <w:numPr>
          <w:ilvl w:val="0"/>
          <w:numId w:val="68"/>
        </w:numPr>
        <w:rPr>
          <w:rFonts w:ascii="Times New Roman" w:cs="Times New Roman" w:eastAsia="Times New Roman" w:hAnsi="Times New Roman"/>
          <w:sz w:val="15"/>
          <w:szCs w:val="15"/>
          <w:color w:val="112B19"/>
        </w:rPr>
      </w:pPr>
      <w:r>
        <w:rPr>
          <w:rFonts w:ascii="Arial" w:cs="Arial" w:eastAsia="Arial" w:hAnsi="Arial"/>
          <w:sz w:val="15"/>
          <w:szCs w:val="15"/>
          <w:color w:val="050A35"/>
        </w:rPr>
        <w:t>The cost of financing our business;</w:t>
      </w:r>
    </w:p>
    <w:p>
      <w:pPr>
        <w:spacing w:after="0" w:line="96" w:lineRule="exact"/>
        <w:rPr>
          <w:rFonts w:ascii="Times New Roman" w:cs="Times New Roman" w:eastAsia="Times New Roman" w:hAnsi="Times New Roman"/>
          <w:sz w:val="15"/>
          <w:szCs w:val="15"/>
          <w:color w:val="112B19"/>
        </w:rPr>
      </w:pPr>
    </w:p>
    <w:p>
      <w:pPr>
        <w:ind w:left="920" w:hanging="254"/>
        <w:spacing w:after="0"/>
        <w:tabs>
          <w:tab w:leader="none" w:pos="920" w:val="left"/>
        </w:tabs>
        <w:numPr>
          <w:ilvl w:val="0"/>
          <w:numId w:val="68"/>
        </w:numPr>
        <w:rPr>
          <w:rFonts w:ascii="Times New Roman" w:cs="Times New Roman" w:eastAsia="Times New Roman" w:hAnsi="Times New Roman"/>
          <w:sz w:val="15"/>
          <w:szCs w:val="15"/>
          <w:color w:val="112B19"/>
        </w:rPr>
      </w:pPr>
      <w:r>
        <w:rPr>
          <w:rFonts w:ascii="Arial" w:cs="Arial" w:eastAsia="Arial" w:hAnsi="Arial"/>
          <w:sz w:val="15"/>
          <w:szCs w:val="15"/>
          <w:color w:val="050A35"/>
        </w:rPr>
        <w:t>One-time expenses related to restructuring of the management team including placement/search fees;</w:t>
      </w:r>
    </w:p>
    <w:p>
      <w:pPr>
        <w:spacing w:after="0" w:line="96" w:lineRule="exact"/>
        <w:rPr>
          <w:rFonts w:ascii="Times New Roman" w:cs="Times New Roman" w:eastAsia="Times New Roman" w:hAnsi="Times New Roman"/>
          <w:sz w:val="15"/>
          <w:szCs w:val="15"/>
          <w:color w:val="112B19"/>
        </w:rPr>
      </w:pPr>
    </w:p>
    <w:p>
      <w:pPr>
        <w:ind w:left="920" w:hanging="254"/>
        <w:spacing w:after="0"/>
        <w:tabs>
          <w:tab w:leader="none" w:pos="920" w:val="left"/>
        </w:tabs>
        <w:numPr>
          <w:ilvl w:val="0"/>
          <w:numId w:val="68"/>
        </w:numPr>
        <w:rPr>
          <w:rFonts w:ascii="Times New Roman" w:cs="Times New Roman" w:eastAsia="Times New Roman" w:hAnsi="Times New Roman"/>
          <w:sz w:val="15"/>
          <w:szCs w:val="15"/>
          <w:color w:val="112B19"/>
        </w:rPr>
      </w:pPr>
      <w:r>
        <w:rPr>
          <w:rFonts w:ascii="Arial" w:cs="Arial" w:eastAsia="Arial" w:hAnsi="Arial"/>
          <w:sz w:val="15"/>
          <w:szCs w:val="15"/>
          <w:color w:val="050A35"/>
        </w:rPr>
        <w:t>Expenses related to one-time technical accounting matters;</w:t>
      </w:r>
    </w:p>
    <w:p>
      <w:pPr>
        <w:spacing w:after="0" w:line="96" w:lineRule="exact"/>
        <w:rPr>
          <w:rFonts w:ascii="Times New Roman" w:cs="Times New Roman" w:eastAsia="Times New Roman" w:hAnsi="Times New Roman"/>
          <w:sz w:val="15"/>
          <w:szCs w:val="15"/>
          <w:color w:val="112B19"/>
        </w:rPr>
      </w:pPr>
    </w:p>
    <w:p>
      <w:pPr>
        <w:ind w:left="920" w:right="1000" w:hanging="254"/>
        <w:spacing w:after="0" w:line="244" w:lineRule="auto"/>
        <w:tabs>
          <w:tab w:leader="none" w:pos="920" w:val="left"/>
        </w:tabs>
        <w:numPr>
          <w:ilvl w:val="0"/>
          <w:numId w:val="68"/>
        </w:numPr>
        <w:rPr>
          <w:rFonts w:ascii="Times New Roman" w:cs="Times New Roman" w:eastAsia="Times New Roman" w:hAnsi="Times New Roman"/>
          <w:sz w:val="15"/>
          <w:szCs w:val="15"/>
          <w:color w:val="112B19"/>
        </w:rPr>
      </w:pPr>
      <w:r>
        <w:rPr>
          <w:rFonts w:ascii="Arial" w:cs="Arial" w:eastAsia="Arial" w:hAnsi="Arial"/>
          <w:sz w:val="15"/>
          <w:szCs w:val="15"/>
          <w:color w:val="050A35"/>
        </w:rPr>
        <w:t>Acquisition-related expenses which reflect the actual costs incurred during the period for the acquisition of new businesses, which primarily consists of fees for professional services including legal, accounting, and advisory, as well as bonuses paid to employees directly related to the acquisition;</w:t>
      </w:r>
    </w:p>
    <w:p>
      <w:pPr>
        <w:spacing w:after="0" w:line="67" w:lineRule="exact"/>
        <w:rPr>
          <w:rFonts w:ascii="Times New Roman" w:cs="Times New Roman" w:eastAsia="Times New Roman" w:hAnsi="Times New Roman"/>
          <w:sz w:val="15"/>
          <w:szCs w:val="15"/>
          <w:color w:val="112B19"/>
        </w:rPr>
      </w:pPr>
    </w:p>
    <w:p>
      <w:pPr>
        <w:ind w:left="920" w:hanging="254"/>
        <w:spacing w:after="0"/>
        <w:tabs>
          <w:tab w:leader="none" w:pos="920" w:val="left"/>
        </w:tabs>
        <w:numPr>
          <w:ilvl w:val="0"/>
          <w:numId w:val="68"/>
        </w:numPr>
        <w:rPr>
          <w:rFonts w:ascii="Times New Roman" w:cs="Times New Roman" w:eastAsia="Times New Roman" w:hAnsi="Times New Roman"/>
          <w:sz w:val="15"/>
          <w:szCs w:val="15"/>
          <w:color w:val="112B19"/>
        </w:rPr>
      </w:pPr>
      <w:r>
        <w:rPr>
          <w:rFonts w:ascii="Arial" w:cs="Arial" w:eastAsia="Arial" w:hAnsi="Arial"/>
          <w:sz w:val="15"/>
          <w:szCs w:val="15"/>
          <w:color w:val="050A35"/>
        </w:rPr>
        <w:t>The effects of income taxes; and</w:t>
      </w:r>
    </w:p>
    <w:p>
      <w:pPr>
        <w:spacing w:after="0" w:line="96" w:lineRule="exact"/>
        <w:rPr>
          <w:rFonts w:ascii="Times New Roman" w:cs="Times New Roman" w:eastAsia="Times New Roman" w:hAnsi="Times New Roman"/>
          <w:sz w:val="15"/>
          <w:szCs w:val="15"/>
          <w:color w:val="112B19"/>
        </w:rPr>
      </w:pPr>
    </w:p>
    <w:p>
      <w:pPr>
        <w:ind w:left="920" w:hanging="254"/>
        <w:spacing w:after="0"/>
        <w:tabs>
          <w:tab w:leader="none" w:pos="920" w:val="left"/>
        </w:tabs>
        <w:numPr>
          <w:ilvl w:val="0"/>
          <w:numId w:val="68"/>
        </w:numPr>
        <w:rPr>
          <w:rFonts w:ascii="Times New Roman" w:cs="Times New Roman" w:eastAsia="Times New Roman" w:hAnsi="Times New Roman"/>
          <w:sz w:val="15"/>
          <w:szCs w:val="15"/>
          <w:color w:val="112B19"/>
        </w:rPr>
      </w:pPr>
      <w:r>
        <w:rPr>
          <w:rFonts w:ascii="Arial" w:cs="Arial" w:eastAsia="Arial" w:hAnsi="Arial"/>
          <w:sz w:val="15"/>
          <w:szCs w:val="15"/>
          <w:color w:val="050A35"/>
        </w:rPr>
        <w:t>Non-Fee Related Income.</w:t>
      </w:r>
    </w:p>
    <w:p>
      <w:pPr>
        <w:spacing w:after="0" w:line="97" w:lineRule="exact"/>
        <w:rPr>
          <w:sz w:val="20"/>
          <w:szCs w:val="20"/>
          <w:color w:val="auto"/>
        </w:rPr>
      </w:pPr>
    </w:p>
    <w:p>
      <w:pPr>
        <w:ind w:left="660" w:right="980"/>
        <w:spacing w:after="0" w:line="264" w:lineRule="auto"/>
        <w:rPr>
          <w:sz w:val="20"/>
          <w:szCs w:val="20"/>
          <w:color w:val="auto"/>
        </w:rPr>
      </w:pPr>
      <w:r>
        <w:rPr>
          <w:rFonts w:ascii="Arial" w:cs="Arial" w:eastAsia="Arial" w:hAnsi="Arial"/>
          <w:sz w:val="15"/>
          <w:szCs w:val="15"/>
          <w:color w:val="050A35"/>
        </w:rPr>
        <w:t>Fee-Related Earnings is a non-GAAP performance measure used to monitor our baseline earnings less any incentive fee revenue and excluding any incentive fee-related expenses.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Fee-Related Revenue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5"/>
          <w:szCs w:val="15"/>
          <w:color w:val="050A35"/>
        </w:rPr>
        <w:t>Fee-Related Revenue is calculated as total revenues less non-Fee Related Revenue.</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112B19"/>
        </w:rPr>
        <w:t>ANI per Share</w:t>
      </w:r>
    </w:p>
    <w:p>
      <w:pPr>
        <w:spacing w:after="0" w:line="106" w:lineRule="exact"/>
        <w:rPr>
          <w:sz w:val="20"/>
          <w:szCs w:val="20"/>
          <w:color w:val="auto"/>
        </w:rPr>
      </w:pPr>
    </w:p>
    <w:p>
      <w:pPr>
        <w:ind w:left="660" w:right="720"/>
        <w:spacing w:after="0" w:line="244" w:lineRule="auto"/>
        <w:rPr>
          <w:sz w:val="20"/>
          <w:szCs w:val="20"/>
          <w:color w:val="auto"/>
        </w:rPr>
      </w:pPr>
      <w:r>
        <w:rPr>
          <w:rFonts w:ascii="Arial" w:cs="Arial" w:eastAsia="Arial" w:hAnsi="Arial"/>
          <w:sz w:val="15"/>
          <w:szCs w:val="15"/>
          <w:color w:val="050A35"/>
        </w:rPr>
        <w:t>ANI is calculated as, FRE plus Non-Fee Related Income, less Strategic alliance noncontrolling interests expense, less actual cash paid for interest and federal, state, and foreign income taxes. ANI per share is calculated as ANI dividend by the weighted average shares outstanding, basic attributable to RPC.</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80" w:type="dxa"/>
            <w:vAlign w:val="bottom"/>
          </w:tcPr>
          <w:p>
            <w:pPr>
              <w:ind w:left="6480"/>
              <w:spacing w:after="0"/>
              <w:rPr>
                <w:sz w:val="20"/>
                <w:szCs w:val="20"/>
                <w:color w:val="auto"/>
              </w:rPr>
            </w:pPr>
            <w:r>
              <w:rPr>
                <w:rFonts w:ascii="Arial" w:cs="Arial" w:eastAsia="Arial" w:hAnsi="Arial"/>
                <w:sz w:val="14"/>
                <w:szCs w:val="14"/>
                <w:color w:val="050A35"/>
              </w:rPr>
              <w:t>RIDGEPOST CAPITAL | 2026 Proxy Statement</w:t>
            </w:r>
          </w:p>
        </w:tc>
        <w:tc>
          <w:tcPr>
            <w:tcW w:w="1040" w:type="dxa"/>
            <w:vAlign w:val="bottom"/>
          </w:tcPr>
          <w:p>
            <w:pPr>
              <w:ind w:left="160"/>
              <w:spacing w:after="0"/>
              <w:rPr>
                <w:sz w:val="20"/>
                <w:szCs w:val="20"/>
                <w:color w:val="auto"/>
              </w:rPr>
            </w:pPr>
            <w:r>
              <w:rPr>
                <w:rFonts w:ascii="Arial" w:cs="Arial" w:eastAsia="Arial" w:hAnsi="Arial"/>
                <w:sz w:val="14"/>
                <w:szCs w:val="14"/>
                <w:b w:val="1"/>
                <w:bCs w:val="1"/>
                <w:color w:val="050A35"/>
              </w:rPr>
              <w:t>A-1</w:t>
            </w:r>
          </w:p>
        </w:tc>
      </w:tr>
      <w:tr>
        <w:trPr>
          <w:trHeight w:val="738"/>
        </w:trPr>
        <w:tc>
          <w:tcPr>
            <w:tcW w:w="96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775" w:right="599" w:bottom="1440"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774700</wp:posOffset>
            </wp:positionV>
            <wp:extent cx="6831965" cy="82594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8259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706120</wp:posOffset>
            </wp:positionV>
            <wp:extent cx="6831965" cy="84308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8430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2"/>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4"/>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6"/>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8"/>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1"/>
      <w:numFmt w:val="decimal"/>
      <w:start w:val="10"/>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1"/>
      <w:numFmt w:val="decimal"/>
      <w:start w:val="12"/>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1"/>
      <w:numFmt w:val="decimal"/>
      <w:start w:val="14"/>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1"/>
      <w:numFmt w:val="decimal"/>
      <w:start w:val="16"/>
    </w:lvl>
  </w:abstractNum>
  <w:abstractNum w:abstractNumId="36">
    <w:nsid w:val="12E685FB"/>
    <w:multiLevelType w:val="hybridMultilevel"/>
    <w:lvl w:ilvl="0">
      <w:lvlJc w:val="left"/>
      <w:lvlText w:val="%1"/>
      <w:numFmt w:val="decimal"/>
      <w:start w:val="18"/>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1)"/>
      <w:numFmt w:val="decimal"/>
      <w:start w:val="2"/>
    </w:lvl>
  </w:abstractNum>
  <w:abstractNum w:abstractNumId="39">
    <w:nsid w:val="374A3FE6"/>
    <w:multiLevelType w:val="hybridMultilevel"/>
    <w:lvl w:ilvl="0">
      <w:lvlJc w:val="left"/>
      <w:lvlText w:val="%1"/>
      <w:numFmt w:val="decimal"/>
      <w:start w:val="20"/>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22"/>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1)"/>
      <w:numFmt w:val="decimal"/>
      <w:start w:val="1"/>
    </w:lvl>
  </w:abstractNum>
  <w:abstractNum w:abstractNumId="46">
    <w:nsid w:val="180115BE"/>
    <w:multiLevelType w:val="hybridMultilevel"/>
    <w:lvl w:ilvl="0">
      <w:lvlJc w:val="left"/>
      <w:lvlText w:val="%1"/>
      <w:numFmt w:val="decimal"/>
      <w:start w:val="24"/>
    </w:lvl>
  </w:abstractNum>
  <w:abstractNum w:abstractNumId="47">
    <w:nsid w:val="235BA861"/>
    <w:multiLevelType w:val="hybridMultilevel"/>
    <w:lvl w:ilvl="0">
      <w:lvlJc w:val="left"/>
      <w:lvlText w:val="(%1)"/>
      <w:numFmt w:val="decimal"/>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1)"/>
      <w:numFmt w:val="decimal"/>
      <w:start w:val="2"/>
    </w:lvl>
  </w:abstractNum>
  <w:abstractNum w:abstractNumId="53">
    <w:nsid w:val="10233C99"/>
    <w:multiLevelType w:val="hybridMultilevel"/>
    <w:lvl w:ilvl="0">
      <w:lvlJc w:val="left"/>
      <w:lvlText w:val="(%1)"/>
      <w:numFmt w:val="decimal"/>
      <w:start w:val="4"/>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1"/>
      <w:numFmt w:val="decimal"/>
      <w:start w:val="26"/>
    </w:lvl>
  </w:abstractNum>
  <w:abstractNum w:abstractNumId="56">
    <w:nsid w:val="7E0C57B1"/>
    <w:multiLevelType w:val="hybridMultilevel"/>
    <w:lvl w:ilvl="0">
      <w:lvlJc w:val="left"/>
      <w:lvlText w:val="%1"/>
      <w:numFmt w:val="decimal"/>
      <w:start w:val="30"/>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decimal"/>
      <w:start w:val="32"/>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1)"/>
      <w:numFmt w:val="decimal"/>
      <w:start w:val="1"/>
    </w:lvl>
  </w:abstractNum>
  <w:abstractNum w:abstractNumId="62">
    <w:nsid w:val="25A70BF7"/>
    <w:multiLevelType w:val="hybridMultilevel"/>
    <w:lvl w:ilvl="0">
      <w:lvlJc w:val="left"/>
      <w:lvlText w:val="(%1)"/>
      <w:numFmt w:val="decimal"/>
      <w:start w:val="3"/>
    </w:lvl>
  </w:abstractNum>
  <w:abstractNum w:abstractNumId="63">
    <w:nsid w:val="1DBABF00"/>
    <w:multiLevelType w:val="hybridMultilevel"/>
    <w:lvl w:ilvl="0">
      <w:lvlJc w:val="left"/>
      <w:lvlText w:val="%1"/>
      <w:numFmt w:val="decimal"/>
      <w:start w:val="34"/>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1"/>
      <w:numFmt w:val="decimal"/>
      <w:start w:val="36"/>
    </w:lvl>
  </w:abstractNum>
  <w:abstractNum w:abstractNumId="66">
    <w:nsid w:val="1381823A"/>
    <w:multiLevelType w:val="hybridMultilevel"/>
    <w:lvl w:ilvl="0">
      <w:lvlJc w:val="left"/>
      <w:lvlText w:val="%1"/>
      <w:numFmt w:val="decimal"/>
      <w:start w:val="37"/>
    </w:lvl>
  </w:abstractNum>
  <w:abstractNum w:abstractNumId="67">
    <w:nsid w:val="5DB70A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2026-04-30T06:33:42Z</dcterms:created>
  <dcterms:modified xsi:type="dcterms:W3CDTF">2026-04-30T06:33:42Z</dcterms:modified>
</cp:coreProperties>
</file>