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29, 2006</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204470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980" w:type="dxa"/>
        <w:tblCellMar>
          <w:top w:w="0" w:type="dxa"/>
          <w:left w:w="0" w:type="dxa"/>
          <w:bottom w:w="0" w:type="dxa"/>
          <w:right w:w="0" w:type="dxa"/>
        </w:tblCellMar>
      </w:tblPr>
      <w:tr>
        <w:trPr>
          <w:trHeight w:val="218"/>
        </w:trPr>
        <w:tc>
          <w:tcPr>
            <w:tcW w:w="1900" w:type="dxa"/>
            <w:vAlign w:val="bottom"/>
          </w:tcPr>
          <w:p>
            <w:pPr>
              <w:jc w:val="center"/>
              <w:ind w:right="46"/>
              <w:spacing w:after="0"/>
              <w:rPr>
                <w:sz w:val="20"/>
                <w:szCs w:val="20"/>
                <w:color w:val="auto"/>
              </w:rPr>
            </w:pPr>
            <w:r>
              <w:rPr>
                <w:rFonts w:ascii="Arial" w:cs="Arial" w:eastAsia="Arial" w:hAnsi="Arial"/>
                <w:sz w:val="18"/>
                <w:szCs w:val="18"/>
                <w:b w:val="1"/>
                <w:bCs w:val="1"/>
                <w:color w:val="auto"/>
                <w:w w:val="88"/>
              </w:rPr>
              <w:t>Delaware</w:t>
            </w:r>
          </w:p>
        </w:tc>
        <w:tc>
          <w:tcPr>
            <w:tcW w:w="5340" w:type="dxa"/>
            <w:vAlign w:val="bottom"/>
            <w:gridSpan w:val="3"/>
          </w:tcPr>
          <w:p>
            <w:pPr>
              <w:jc w:val="center"/>
              <w:ind w:left="4178"/>
              <w:spacing w:after="0"/>
              <w:rPr>
                <w:sz w:val="20"/>
                <w:szCs w:val="20"/>
                <w:color w:val="auto"/>
              </w:rPr>
            </w:pPr>
            <w:r>
              <w:rPr>
                <w:rFonts w:ascii="Arial" w:cs="Arial" w:eastAsia="Arial" w:hAnsi="Arial"/>
                <w:sz w:val="18"/>
                <w:szCs w:val="18"/>
                <w:b w:val="1"/>
                <w:bCs w:val="1"/>
                <w:color w:val="auto"/>
                <w:w w:val="87"/>
              </w:rPr>
              <w:t>74-2961657</w:t>
            </w:r>
          </w:p>
        </w:tc>
      </w:tr>
      <w:tr>
        <w:trPr>
          <w:trHeight w:val="149"/>
        </w:trPr>
        <w:tc>
          <w:tcPr>
            <w:tcW w:w="190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520" w:type="dxa"/>
            <w:vAlign w:val="bottom"/>
          </w:tcPr>
          <w:p>
            <w:pPr>
              <w:jc w:val="center"/>
              <w:ind w:left="137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900" w:type="dxa"/>
            <w:vAlign w:val="bottom"/>
          </w:tcPr>
          <w:p>
            <w:pPr>
              <w:jc w:val="center"/>
              <w:ind w:right="66"/>
              <w:spacing w:after="0"/>
              <w:rPr>
                <w:sz w:val="20"/>
                <w:szCs w:val="20"/>
                <w:color w:val="auto"/>
              </w:rPr>
            </w:pPr>
            <w:r>
              <w:rPr>
                <w:rFonts w:ascii="Arial" w:cs="Arial" w:eastAsia="Arial" w:hAnsi="Arial"/>
                <w:sz w:val="14"/>
                <w:szCs w:val="14"/>
                <w:b w:val="1"/>
                <w:bCs w:val="1"/>
                <w:color w:val="auto"/>
                <w:w w:val="88"/>
              </w:rPr>
              <w:t>incorporation or organization)</w:t>
            </w:r>
          </w:p>
        </w:tc>
        <w:tc>
          <w:tcPr>
            <w:tcW w:w="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520" w:type="dxa"/>
            <w:vAlign w:val="bottom"/>
          </w:tcPr>
          <w:p>
            <w:pPr>
              <w:jc w:val="center"/>
              <w:ind w:left="1392"/>
              <w:spacing w:after="0"/>
              <w:rPr>
                <w:sz w:val="20"/>
                <w:szCs w:val="20"/>
                <w:color w:val="auto"/>
              </w:rPr>
            </w:pPr>
            <w:r>
              <w:rPr>
                <w:rFonts w:ascii="Arial" w:cs="Arial" w:eastAsia="Arial" w:hAnsi="Arial"/>
                <w:sz w:val="14"/>
                <w:szCs w:val="14"/>
                <w:b w:val="1"/>
                <w:bCs w:val="1"/>
                <w:color w:val="auto"/>
                <w:w w:val="89"/>
              </w:rPr>
              <w:t>Identification No.)</w:t>
            </w:r>
          </w:p>
        </w:tc>
      </w:tr>
      <w:tr>
        <w:trPr>
          <w:trHeight w:val="364"/>
        </w:trPr>
        <w:tc>
          <w:tcPr>
            <w:tcW w:w="1900" w:type="dxa"/>
            <w:vAlign w:val="bottom"/>
          </w:tcPr>
          <w:p>
            <w:pPr>
              <w:spacing w:after="0"/>
              <w:rPr>
                <w:sz w:val="24"/>
                <w:szCs w:val="24"/>
                <w:color w:val="auto"/>
              </w:rPr>
            </w:pPr>
          </w:p>
        </w:tc>
        <w:tc>
          <w:tcPr>
            <w:tcW w:w="5340" w:type="dxa"/>
            <w:vAlign w:val="bottom"/>
            <w:gridSpan w:val="3"/>
          </w:tcPr>
          <w:p>
            <w:pPr>
              <w:jc w:val="center"/>
              <w:ind w:right="1592"/>
              <w:spacing w:after="0"/>
              <w:rPr>
                <w:sz w:val="20"/>
                <w:szCs w:val="20"/>
                <w:color w:val="auto"/>
              </w:rPr>
            </w:pPr>
            <w:r>
              <w:rPr>
                <w:rFonts w:ascii="Arial" w:cs="Arial" w:eastAsia="Arial" w:hAnsi="Arial"/>
                <w:sz w:val="18"/>
                <w:szCs w:val="18"/>
                <w:b w:val="1"/>
                <w:bCs w:val="1"/>
                <w:color w:val="auto"/>
                <w:w w:val="91"/>
              </w:rPr>
              <w:t>2128 W. Braker Lane, BK12</w:t>
            </w:r>
          </w:p>
        </w:tc>
      </w:tr>
      <w:tr>
        <w:trPr>
          <w:trHeight w:val="218"/>
        </w:trPr>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80" w:type="dxa"/>
            <w:vAlign w:val="bottom"/>
            <w:gridSpan w:val="2"/>
          </w:tcPr>
          <w:p>
            <w:pPr>
              <w:jc w:val="center"/>
              <w:ind w:right="2472"/>
              <w:spacing w:after="0"/>
              <w:rPr>
                <w:sz w:val="20"/>
                <w:szCs w:val="20"/>
                <w:color w:val="auto"/>
              </w:rPr>
            </w:pPr>
            <w:r>
              <w:rPr>
                <w:rFonts w:ascii="Arial" w:cs="Arial" w:eastAsia="Arial" w:hAnsi="Arial"/>
                <w:sz w:val="18"/>
                <w:szCs w:val="18"/>
                <w:b w:val="1"/>
                <w:bCs w:val="1"/>
                <w:color w:val="auto"/>
                <w:w w:val="87"/>
              </w:rPr>
              <w:t>Austin, Texas 78758</w:t>
            </w:r>
          </w:p>
        </w:tc>
      </w:tr>
      <w:tr>
        <w:trPr>
          <w:trHeight w:val="174"/>
        </w:trPr>
        <w:tc>
          <w:tcPr>
            <w:tcW w:w="1900" w:type="dxa"/>
            <w:vAlign w:val="bottom"/>
          </w:tcPr>
          <w:p>
            <w:pPr>
              <w:spacing w:after="0"/>
              <w:rPr>
                <w:sz w:val="15"/>
                <w:szCs w:val="15"/>
                <w:color w:val="auto"/>
              </w:rPr>
            </w:pPr>
          </w:p>
        </w:tc>
        <w:tc>
          <w:tcPr>
            <w:tcW w:w="5340" w:type="dxa"/>
            <w:vAlign w:val="bottom"/>
            <w:gridSpan w:val="3"/>
          </w:tcPr>
          <w:p>
            <w:pPr>
              <w:jc w:val="center"/>
              <w:ind w:right="1612"/>
              <w:spacing w:after="0"/>
              <w:rPr>
                <w:sz w:val="20"/>
                <w:szCs w:val="20"/>
                <w:color w:val="auto"/>
              </w:rPr>
            </w:pPr>
            <w:r>
              <w:rPr>
                <w:rFonts w:ascii="Arial" w:cs="Arial" w:eastAsia="Arial" w:hAnsi="Arial"/>
                <w:sz w:val="14"/>
                <w:szCs w:val="14"/>
                <w:b w:val="1"/>
                <w:bCs w:val="1"/>
                <w:color w:val="auto"/>
                <w:w w:val="86"/>
              </w:rPr>
              <w:t>(Address of principal executive offices) (Zip Code)</w:t>
            </w:r>
          </w:p>
        </w:tc>
      </w:tr>
      <w:tr>
        <w:trPr>
          <w:trHeight w:val="298"/>
        </w:trPr>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r>
      <w:tr>
        <w:trPr>
          <w:trHeight w:val="359"/>
        </w:trPr>
        <w:tc>
          <w:tcPr>
            <w:tcW w:w="1900" w:type="dxa"/>
            <w:vAlign w:val="bottom"/>
          </w:tcPr>
          <w:p>
            <w:pPr>
              <w:spacing w:after="0"/>
              <w:rPr>
                <w:sz w:val="24"/>
                <w:szCs w:val="24"/>
                <w:color w:val="auto"/>
              </w:rPr>
            </w:pPr>
          </w:p>
        </w:tc>
        <w:tc>
          <w:tcPr>
            <w:tcW w:w="5340" w:type="dxa"/>
            <w:vAlign w:val="bottom"/>
            <w:gridSpan w:val="3"/>
          </w:tcPr>
          <w:p>
            <w:pPr>
              <w:jc w:val="center"/>
              <w:ind w:right="1592"/>
              <w:spacing w:after="0"/>
              <w:rPr>
                <w:sz w:val="20"/>
                <w:szCs w:val="20"/>
                <w:color w:val="auto"/>
              </w:rPr>
            </w:pPr>
            <w:r>
              <w:rPr>
                <w:rFonts w:ascii="Arial" w:cs="Arial" w:eastAsia="Arial" w:hAnsi="Arial"/>
                <w:sz w:val="18"/>
                <w:szCs w:val="18"/>
                <w:b w:val="1"/>
                <w:bCs w:val="1"/>
                <w:color w:val="auto"/>
                <w:w w:val="97"/>
              </w:rPr>
              <w:t>2000 STOCK INCENTIVE PLAN</w:t>
            </w:r>
          </w:p>
        </w:tc>
      </w:tr>
      <w:tr>
        <w:trPr>
          <w:trHeight w:val="174"/>
        </w:trPr>
        <w:tc>
          <w:tcPr>
            <w:tcW w:w="1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80" w:type="dxa"/>
            <w:vAlign w:val="bottom"/>
            <w:gridSpan w:val="2"/>
          </w:tcPr>
          <w:p>
            <w:pPr>
              <w:jc w:val="center"/>
              <w:ind w:right="2452"/>
              <w:spacing w:after="0"/>
              <w:rPr>
                <w:sz w:val="20"/>
                <w:szCs w:val="20"/>
                <w:color w:val="auto"/>
              </w:rPr>
            </w:pPr>
            <w:r>
              <w:rPr>
                <w:rFonts w:ascii="Arial" w:cs="Arial" w:eastAsia="Arial" w:hAnsi="Arial"/>
                <w:sz w:val="14"/>
                <w:szCs w:val="14"/>
                <w:b w:val="1"/>
                <w:bCs w:val="1"/>
                <w:color w:val="auto"/>
                <w:w w:val="89"/>
              </w:rPr>
              <w:t>(Full title of the Plan)</w:t>
            </w:r>
          </w:p>
        </w:tc>
      </w:tr>
      <w:tr>
        <w:trPr>
          <w:trHeight w:val="298"/>
        </w:trPr>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r>
      <w:tr>
        <w:trPr>
          <w:trHeight w:val="357"/>
        </w:trPr>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80" w:type="dxa"/>
            <w:vAlign w:val="bottom"/>
            <w:gridSpan w:val="2"/>
          </w:tcPr>
          <w:p>
            <w:pPr>
              <w:jc w:val="center"/>
              <w:ind w:right="2472"/>
              <w:spacing w:after="0"/>
              <w:rPr>
                <w:sz w:val="20"/>
                <w:szCs w:val="20"/>
                <w:color w:val="auto"/>
              </w:rPr>
            </w:pPr>
            <w:r>
              <w:rPr>
                <w:rFonts w:ascii="Arial" w:cs="Arial" w:eastAsia="Arial" w:hAnsi="Arial"/>
                <w:sz w:val="18"/>
                <w:szCs w:val="18"/>
                <w:b w:val="1"/>
                <w:bCs w:val="1"/>
                <w:color w:val="auto"/>
                <w:w w:val="90"/>
              </w:rPr>
              <w:t>Joseph F. Pinkerton, III</w:t>
            </w:r>
          </w:p>
        </w:tc>
      </w:tr>
      <w:tr>
        <w:trPr>
          <w:trHeight w:val="216"/>
        </w:trPr>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80" w:type="dxa"/>
            <w:vAlign w:val="bottom"/>
            <w:gridSpan w:val="2"/>
          </w:tcPr>
          <w:p>
            <w:pPr>
              <w:jc w:val="center"/>
              <w:ind w:right="2452"/>
              <w:spacing w:after="0"/>
              <w:rPr>
                <w:sz w:val="20"/>
                <w:szCs w:val="20"/>
                <w:color w:val="auto"/>
              </w:rPr>
            </w:pPr>
            <w:r>
              <w:rPr>
                <w:rFonts w:ascii="Arial" w:cs="Arial" w:eastAsia="Arial" w:hAnsi="Arial"/>
                <w:sz w:val="18"/>
                <w:szCs w:val="18"/>
                <w:b w:val="1"/>
                <w:bCs w:val="1"/>
                <w:color w:val="auto"/>
                <w:w w:val="89"/>
              </w:rPr>
              <w:t>Chief Executive Officer</w:t>
            </w:r>
          </w:p>
        </w:tc>
      </w:tr>
      <w:tr>
        <w:trPr>
          <w:trHeight w:val="216"/>
        </w:trPr>
        <w:tc>
          <w:tcPr>
            <w:tcW w:w="1900" w:type="dxa"/>
            <w:vAlign w:val="bottom"/>
          </w:tcPr>
          <w:p>
            <w:pPr>
              <w:spacing w:after="0"/>
              <w:rPr>
                <w:sz w:val="18"/>
                <w:szCs w:val="18"/>
                <w:color w:val="auto"/>
              </w:rPr>
            </w:pPr>
          </w:p>
        </w:tc>
        <w:tc>
          <w:tcPr>
            <w:tcW w:w="5340" w:type="dxa"/>
            <w:vAlign w:val="bottom"/>
            <w:gridSpan w:val="3"/>
          </w:tcPr>
          <w:p>
            <w:pPr>
              <w:jc w:val="center"/>
              <w:ind w:right="1592"/>
              <w:spacing w:after="0"/>
              <w:rPr>
                <w:sz w:val="20"/>
                <w:szCs w:val="20"/>
                <w:color w:val="auto"/>
              </w:rPr>
            </w:pPr>
            <w:r>
              <w:rPr>
                <w:rFonts w:ascii="Arial" w:cs="Arial" w:eastAsia="Arial" w:hAnsi="Arial"/>
                <w:sz w:val="18"/>
                <w:szCs w:val="18"/>
                <w:b w:val="1"/>
                <w:bCs w:val="1"/>
                <w:color w:val="auto"/>
                <w:w w:val="91"/>
              </w:rPr>
              <w:t>2128 W. Braker Lane, BK12</w:t>
            </w:r>
          </w:p>
        </w:tc>
      </w:tr>
      <w:tr>
        <w:trPr>
          <w:trHeight w:val="216"/>
        </w:trPr>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80" w:type="dxa"/>
            <w:vAlign w:val="bottom"/>
            <w:gridSpan w:val="2"/>
          </w:tcPr>
          <w:p>
            <w:pPr>
              <w:jc w:val="center"/>
              <w:ind w:right="2472"/>
              <w:spacing w:after="0"/>
              <w:rPr>
                <w:sz w:val="20"/>
                <w:szCs w:val="20"/>
                <w:color w:val="auto"/>
              </w:rPr>
            </w:pPr>
            <w:r>
              <w:rPr>
                <w:rFonts w:ascii="Arial" w:cs="Arial" w:eastAsia="Arial" w:hAnsi="Arial"/>
                <w:sz w:val="18"/>
                <w:szCs w:val="18"/>
                <w:b w:val="1"/>
                <w:bCs w:val="1"/>
                <w:color w:val="auto"/>
                <w:w w:val="87"/>
              </w:rPr>
              <w:t>Austin, Texas 78758</w:t>
            </w:r>
          </w:p>
        </w:tc>
      </w:tr>
      <w:tr>
        <w:trPr>
          <w:trHeight w:val="218"/>
        </w:trPr>
        <w:tc>
          <w:tcPr>
            <w:tcW w:w="1900" w:type="dxa"/>
            <w:vAlign w:val="bottom"/>
          </w:tcPr>
          <w:p>
            <w:pPr>
              <w:spacing w:after="0"/>
              <w:rPr>
                <w:sz w:val="18"/>
                <w:szCs w:val="18"/>
                <w:color w:val="auto"/>
              </w:rPr>
            </w:pPr>
          </w:p>
        </w:tc>
        <w:tc>
          <w:tcPr>
            <w:tcW w:w="2820" w:type="dxa"/>
            <w:vAlign w:val="bottom"/>
            <w:gridSpan w:val="2"/>
          </w:tcPr>
          <w:p>
            <w:pPr>
              <w:jc w:val="center"/>
              <w:ind w:left="758"/>
              <w:spacing w:after="0"/>
              <w:rPr>
                <w:sz w:val="20"/>
                <w:szCs w:val="20"/>
                <w:color w:val="auto"/>
              </w:rPr>
            </w:pPr>
            <w:r>
              <w:rPr>
                <w:rFonts w:ascii="Arial" w:cs="Arial" w:eastAsia="Arial" w:hAnsi="Arial"/>
                <w:sz w:val="18"/>
                <w:szCs w:val="18"/>
                <w:b w:val="1"/>
                <w:bCs w:val="1"/>
                <w:color w:val="auto"/>
                <w:w w:val="89"/>
              </w:rPr>
              <w:t>(512) 836-6464</w:t>
            </w:r>
          </w:p>
        </w:tc>
        <w:tc>
          <w:tcPr>
            <w:tcW w:w="2520" w:type="dxa"/>
            <w:vAlign w:val="bottom"/>
          </w:tcPr>
          <w:p>
            <w:pPr>
              <w:spacing w:after="0"/>
              <w:rPr>
                <w:sz w:val="18"/>
                <w:szCs w:val="18"/>
                <w:color w:val="auto"/>
              </w:rPr>
            </w:pPr>
          </w:p>
        </w:tc>
      </w:tr>
      <w:tr>
        <w:trPr>
          <w:trHeight w:val="149"/>
        </w:trPr>
        <w:tc>
          <w:tcPr>
            <w:tcW w:w="1900" w:type="dxa"/>
            <w:vAlign w:val="bottom"/>
          </w:tcPr>
          <w:p>
            <w:pPr>
              <w:spacing w:after="0"/>
              <w:rPr>
                <w:sz w:val="12"/>
                <w:szCs w:val="12"/>
                <w:color w:val="auto"/>
              </w:rPr>
            </w:pPr>
          </w:p>
        </w:tc>
        <w:tc>
          <w:tcPr>
            <w:tcW w:w="5340" w:type="dxa"/>
            <w:vAlign w:val="bottom"/>
            <w:gridSpan w:val="3"/>
          </w:tcPr>
          <w:p>
            <w:pPr>
              <w:jc w:val="center"/>
              <w:ind w:right="1612"/>
              <w:spacing w:after="0" w:line="149" w:lineRule="exact"/>
              <w:rPr>
                <w:sz w:val="20"/>
                <w:szCs w:val="20"/>
                <w:color w:val="auto"/>
              </w:rPr>
            </w:pPr>
            <w:r>
              <w:rPr>
                <w:rFonts w:ascii="Arial" w:cs="Arial" w:eastAsia="Arial" w:hAnsi="Arial"/>
                <w:sz w:val="14"/>
                <w:szCs w:val="14"/>
                <w:b w:val="1"/>
                <w:bCs w:val="1"/>
                <w:color w:val="auto"/>
                <w:w w:val="85"/>
              </w:rPr>
              <w:t>(Name, address, including zip code, and telephone number,</w:t>
            </w:r>
          </w:p>
        </w:tc>
      </w:tr>
      <w:tr>
        <w:trPr>
          <w:trHeight w:val="174"/>
        </w:trPr>
        <w:tc>
          <w:tcPr>
            <w:tcW w:w="1900" w:type="dxa"/>
            <w:vAlign w:val="bottom"/>
          </w:tcPr>
          <w:p>
            <w:pPr>
              <w:spacing w:after="0"/>
              <w:rPr>
                <w:sz w:val="15"/>
                <w:szCs w:val="15"/>
                <w:color w:val="auto"/>
              </w:rPr>
            </w:pPr>
          </w:p>
        </w:tc>
        <w:tc>
          <w:tcPr>
            <w:tcW w:w="5340" w:type="dxa"/>
            <w:vAlign w:val="bottom"/>
            <w:gridSpan w:val="3"/>
          </w:tcPr>
          <w:p>
            <w:pPr>
              <w:jc w:val="center"/>
              <w:ind w:right="1612"/>
              <w:spacing w:after="0"/>
              <w:rPr>
                <w:sz w:val="20"/>
                <w:szCs w:val="20"/>
                <w:color w:val="auto"/>
              </w:rPr>
            </w:pPr>
            <w:r>
              <w:rPr>
                <w:rFonts w:ascii="Arial" w:cs="Arial" w:eastAsia="Arial" w:hAnsi="Arial"/>
                <w:sz w:val="14"/>
                <w:szCs w:val="14"/>
                <w:b w:val="1"/>
                <w:bCs w:val="1"/>
                <w:color w:val="auto"/>
                <w:w w:val="85"/>
              </w:rPr>
              <w:t>including area code, of agent for service)</w:t>
            </w:r>
          </w:p>
        </w:tc>
      </w:tr>
      <w:tr>
        <w:trPr>
          <w:trHeight w:val="298"/>
        </w:trPr>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r>
      <w:tr>
        <w:trPr>
          <w:trHeight w:val="357"/>
        </w:trPr>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80" w:type="dxa"/>
            <w:vAlign w:val="bottom"/>
            <w:gridSpan w:val="2"/>
          </w:tcPr>
          <w:p>
            <w:pPr>
              <w:jc w:val="center"/>
              <w:ind w:right="2472"/>
              <w:spacing w:after="0"/>
              <w:rPr>
                <w:sz w:val="20"/>
                <w:szCs w:val="20"/>
                <w:color w:val="auto"/>
              </w:rPr>
            </w:pPr>
            <w:r>
              <w:rPr>
                <w:rFonts w:ascii="Arial" w:cs="Arial" w:eastAsia="Arial" w:hAnsi="Arial"/>
                <w:sz w:val="18"/>
                <w:szCs w:val="18"/>
                <w:b w:val="1"/>
                <w:bCs w:val="1"/>
                <w:i w:val="1"/>
                <w:iCs w:val="1"/>
                <w:color w:val="auto"/>
                <w:w w:val="84"/>
              </w:rPr>
              <w:t>Copy to:</w:t>
            </w:r>
          </w:p>
        </w:tc>
      </w:tr>
      <w:tr>
        <w:trPr>
          <w:trHeight w:val="216"/>
        </w:trPr>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80" w:type="dxa"/>
            <w:vAlign w:val="bottom"/>
            <w:gridSpan w:val="2"/>
          </w:tcPr>
          <w:p>
            <w:pPr>
              <w:jc w:val="center"/>
              <w:ind w:right="2472"/>
              <w:spacing w:after="0"/>
              <w:rPr>
                <w:sz w:val="20"/>
                <w:szCs w:val="20"/>
                <w:color w:val="auto"/>
              </w:rPr>
            </w:pPr>
            <w:r>
              <w:rPr>
                <w:rFonts w:ascii="Arial" w:cs="Arial" w:eastAsia="Arial" w:hAnsi="Arial"/>
                <w:sz w:val="18"/>
                <w:szCs w:val="18"/>
                <w:b w:val="1"/>
                <w:bCs w:val="1"/>
                <w:color w:val="auto"/>
                <w:w w:val="89"/>
              </w:rPr>
              <w:t>J. Matthew Lyons</w:t>
            </w:r>
          </w:p>
        </w:tc>
      </w:tr>
      <w:tr>
        <w:trPr>
          <w:trHeight w:val="216"/>
        </w:trPr>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80" w:type="dxa"/>
            <w:vAlign w:val="bottom"/>
            <w:gridSpan w:val="2"/>
          </w:tcPr>
          <w:p>
            <w:pPr>
              <w:jc w:val="center"/>
              <w:ind w:right="2452"/>
              <w:spacing w:after="0"/>
              <w:rPr>
                <w:sz w:val="20"/>
                <w:szCs w:val="20"/>
                <w:color w:val="auto"/>
              </w:rPr>
            </w:pPr>
            <w:r>
              <w:rPr>
                <w:rFonts w:ascii="Arial" w:cs="Arial" w:eastAsia="Arial" w:hAnsi="Arial"/>
                <w:sz w:val="18"/>
                <w:szCs w:val="18"/>
                <w:b w:val="1"/>
                <w:bCs w:val="1"/>
                <w:color w:val="auto"/>
                <w:w w:val="92"/>
              </w:rPr>
              <w:t>Andrews Kurth LLP</w:t>
            </w:r>
          </w:p>
        </w:tc>
      </w:tr>
      <w:tr>
        <w:trPr>
          <w:trHeight w:val="216"/>
        </w:trPr>
        <w:tc>
          <w:tcPr>
            <w:tcW w:w="1900" w:type="dxa"/>
            <w:vAlign w:val="bottom"/>
          </w:tcPr>
          <w:p>
            <w:pPr>
              <w:spacing w:after="0"/>
              <w:rPr>
                <w:sz w:val="18"/>
                <w:szCs w:val="18"/>
                <w:color w:val="auto"/>
              </w:rPr>
            </w:pPr>
          </w:p>
        </w:tc>
        <w:tc>
          <w:tcPr>
            <w:tcW w:w="5340" w:type="dxa"/>
            <w:vAlign w:val="bottom"/>
            <w:gridSpan w:val="3"/>
          </w:tcPr>
          <w:p>
            <w:pPr>
              <w:jc w:val="center"/>
              <w:ind w:right="1592"/>
              <w:spacing w:after="0"/>
              <w:rPr>
                <w:sz w:val="20"/>
                <w:szCs w:val="20"/>
                <w:color w:val="auto"/>
              </w:rPr>
            </w:pPr>
            <w:r>
              <w:rPr>
                <w:rFonts w:ascii="Arial" w:cs="Arial" w:eastAsia="Arial" w:hAnsi="Arial"/>
                <w:sz w:val="18"/>
                <w:szCs w:val="18"/>
                <w:b w:val="1"/>
                <w:bCs w:val="1"/>
                <w:color w:val="auto"/>
                <w:w w:val="84"/>
              </w:rPr>
              <w:t>111 Congress Avenue, Suite 1700</w:t>
            </w:r>
          </w:p>
        </w:tc>
      </w:tr>
      <w:tr>
        <w:trPr>
          <w:trHeight w:val="216"/>
        </w:trPr>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80" w:type="dxa"/>
            <w:vAlign w:val="bottom"/>
            <w:gridSpan w:val="2"/>
          </w:tcPr>
          <w:p>
            <w:pPr>
              <w:jc w:val="center"/>
              <w:ind w:right="2472"/>
              <w:spacing w:after="0"/>
              <w:rPr>
                <w:sz w:val="20"/>
                <w:szCs w:val="20"/>
                <w:color w:val="auto"/>
              </w:rPr>
            </w:pPr>
            <w:r>
              <w:rPr>
                <w:rFonts w:ascii="Arial" w:cs="Arial" w:eastAsia="Arial" w:hAnsi="Arial"/>
                <w:sz w:val="18"/>
                <w:szCs w:val="18"/>
                <w:b w:val="1"/>
                <w:bCs w:val="1"/>
                <w:color w:val="auto"/>
                <w:w w:val="87"/>
              </w:rPr>
              <w:t>Austin, Texas 78701</w:t>
            </w:r>
          </w:p>
        </w:tc>
      </w:tr>
      <w:tr>
        <w:trPr>
          <w:trHeight w:val="228"/>
        </w:trPr>
        <w:tc>
          <w:tcPr>
            <w:tcW w:w="1900" w:type="dxa"/>
            <w:vAlign w:val="bottom"/>
          </w:tcPr>
          <w:p>
            <w:pPr>
              <w:spacing w:after="0"/>
              <w:rPr>
                <w:sz w:val="19"/>
                <w:szCs w:val="19"/>
                <w:color w:val="auto"/>
              </w:rPr>
            </w:pPr>
          </w:p>
        </w:tc>
        <w:tc>
          <w:tcPr>
            <w:tcW w:w="2820" w:type="dxa"/>
            <w:vAlign w:val="bottom"/>
            <w:gridSpan w:val="2"/>
          </w:tcPr>
          <w:p>
            <w:pPr>
              <w:jc w:val="center"/>
              <w:ind w:left="758"/>
              <w:spacing w:after="0"/>
              <w:rPr>
                <w:sz w:val="20"/>
                <w:szCs w:val="20"/>
                <w:color w:val="auto"/>
              </w:rPr>
            </w:pPr>
            <w:r>
              <w:rPr>
                <w:rFonts w:ascii="Arial" w:cs="Arial" w:eastAsia="Arial" w:hAnsi="Arial"/>
                <w:sz w:val="18"/>
                <w:szCs w:val="18"/>
                <w:b w:val="1"/>
                <w:bCs w:val="1"/>
                <w:color w:val="auto"/>
                <w:w w:val="89"/>
              </w:rPr>
              <w:t>(512) 320-9200</w:t>
            </w:r>
          </w:p>
        </w:tc>
        <w:tc>
          <w:tcPr>
            <w:tcW w:w="2520" w:type="dxa"/>
            <w:vAlign w:val="bottom"/>
          </w:tcPr>
          <w:p>
            <w:pPr>
              <w:spacing w:after="0"/>
              <w:rPr>
                <w:sz w:val="19"/>
                <w:szCs w:val="19"/>
                <w:color w:val="auto"/>
              </w:rPr>
            </w:pPr>
          </w:p>
        </w:tc>
      </w:tr>
      <w:tr>
        <w:trPr>
          <w:trHeight w:val="313"/>
        </w:trPr>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r>
      <w:tr>
        <w:trPr>
          <w:trHeight w:val="370"/>
        </w:trPr>
        <w:tc>
          <w:tcPr>
            <w:tcW w:w="1900" w:type="dxa"/>
            <w:vAlign w:val="bottom"/>
          </w:tcPr>
          <w:p>
            <w:pPr>
              <w:spacing w:after="0"/>
              <w:rPr>
                <w:sz w:val="24"/>
                <w:szCs w:val="24"/>
                <w:color w:val="auto"/>
              </w:rPr>
            </w:pPr>
          </w:p>
        </w:tc>
        <w:tc>
          <w:tcPr>
            <w:tcW w:w="5340" w:type="dxa"/>
            <w:vAlign w:val="bottom"/>
            <w:gridSpan w:val="3"/>
          </w:tcPr>
          <w:p>
            <w:pPr>
              <w:jc w:val="center"/>
              <w:ind w:right="1612"/>
              <w:spacing w:after="0"/>
              <w:rPr>
                <w:sz w:val="20"/>
                <w:szCs w:val="20"/>
                <w:color w:val="auto"/>
              </w:rPr>
            </w:pPr>
            <w:r>
              <w:rPr>
                <w:rFonts w:ascii="Arial" w:cs="Arial" w:eastAsia="Arial" w:hAnsi="Arial"/>
                <w:sz w:val="18"/>
                <w:szCs w:val="18"/>
                <w:b w:val="1"/>
                <w:bCs w:val="1"/>
                <w:color w:val="auto"/>
                <w:w w:val="99"/>
              </w:rPr>
              <w:t>CALCULATION OF REGISTRATION FEE</w:t>
            </w:r>
          </w:p>
        </w:tc>
      </w:tr>
    </w:tbl>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3"/>
              </w:rPr>
              <w:t>Proposed</w:t>
            </w: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0"/>
              </w:rPr>
              <w:t>Proposed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49"/>
        </w:trPr>
        <w:tc>
          <w:tcPr>
            <w:tcW w:w="5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Maximum</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Maximum</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Amount</w:t>
            </w: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Offering</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Aggregate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to be</w:t>
            </w: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Price</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Offering</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auto"/>
                <w:w w:val="94"/>
              </w:rPr>
              <w:t>Amount of</w:t>
            </w:r>
          </w:p>
        </w:tc>
      </w:tr>
      <w:tr>
        <w:trPr>
          <w:trHeight w:val="181"/>
        </w:trPr>
        <w:tc>
          <w:tcPr>
            <w:tcW w:w="510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Title of Securities to be Registered</w:t>
            </w:r>
          </w:p>
        </w:tc>
        <w:tc>
          <w:tcPr>
            <w:tcW w:w="660" w:type="dxa"/>
            <w:vAlign w:val="bottom"/>
          </w:tcPr>
          <w:p>
            <w:pPr>
              <w:spacing w:after="0"/>
              <w:rPr>
                <w:sz w:val="15"/>
                <w:szCs w:val="15"/>
                <w:color w:val="auto"/>
              </w:rPr>
            </w:pPr>
          </w:p>
        </w:tc>
        <w:tc>
          <w:tcPr>
            <w:tcW w:w="17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Registered(1)</w:t>
            </w:r>
          </w:p>
        </w:tc>
        <w:tc>
          <w:tcPr>
            <w:tcW w:w="14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6"/>
              </w:rPr>
              <w:t>per Share</w:t>
            </w: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Price</w:t>
            </w:r>
          </w:p>
        </w:tc>
        <w:tc>
          <w:tcPr>
            <w:tcW w:w="28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85"/>
              </w:rPr>
              <w:t>Registration Fee</w:t>
            </w:r>
          </w:p>
        </w:tc>
      </w:tr>
      <w:tr>
        <w:trPr>
          <w:trHeight w:val="195"/>
        </w:trPr>
        <w:tc>
          <w:tcPr>
            <w:tcW w:w="5100" w:type="dxa"/>
            <w:vAlign w:val="bottom"/>
          </w:tcPr>
          <w:p>
            <w:pPr>
              <w:spacing w:after="0" w:line="195" w:lineRule="exact"/>
              <w:rPr>
                <w:sz w:val="20"/>
                <w:szCs w:val="20"/>
                <w:color w:val="auto"/>
              </w:rPr>
            </w:pPr>
            <w:r>
              <w:rPr>
                <w:rFonts w:ascii="Arial" w:cs="Arial" w:eastAsia="Arial" w:hAnsi="Arial"/>
                <w:sz w:val="18"/>
                <w:szCs w:val="18"/>
                <w:color w:val="auto"/>
              </w:rPr>
              <w:t>2000 Stock Incentive Plan</w:t>
            </w:r>
          </w:p>
        </w:tc>
        <w:tc>
          <w:tcPr>
            <w:tcW w:w="66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r>
      <w:tr>
        <w:trPr>
          <w:trHeight w:val="236"/>
        </w:trPr>
        <w:tc>
          <w:tcPr>
            <w:tcW w:w="5100" w:type="dxa"/>
            <w:vAlign w:val="bottom"/>
          </w:tcPr>
          <w:p>
            <w:pPr>
              <w:spacing w:after="0"/>
              <w:rPr>
                <w:sz w:val="20"/>
                <w:szCs w:val="20"/>
                <w:color w:val="auto"/>
              </w:rPr>
            </w:pPr>
            <w:r>
              <w:rPr>
                <w:rFonts w:ascii="Arial" w:cs="Arial" w:eastAsia="Arial" w:hAnsi="Arial"/>
                <w:sz w:val="18"/>
                <w:szCs w:val="18"/>
                <w:color w:val="auto"/>
              </w:rPr>
              <w:t>Common Stock, $0.001 par value</w:t>
            </w:r>
          </w:p>
        </w:tc>
        <w:tc>
          <w:tcPr>
            <w:tcW w:w="660" w:type="dxa"/>
            <w:vAlign w:val="bottom"/>
          </w:tcPr>
          <w:p>
            <w:pPr>
              <w:spacing w:after="0"/>
              <w:rPr>
                <w:sz w:val="20"/>
                <w:szCs w:val="20"/>
                <w:color w:val="auto"/>
              </w:rPr>
            </w:pPr>
          </w:p>
        </w:tc>
        <w:tc>
          <w:tcPr>
            <w:tcW w:w="1720" w:type="dxa"/>
            <w:vAlign w:val="bottom"/>
            <w:gridSpan w:val="2"/>
          </w:tcPr>
          <w:p>
            <w:pPr>
              <w:jc w:val="center"/>
              <w:ind w:right="660"/>
              <w:spacing w:after="0"/>
              <w:rPr>
                <w:sz w:val="20"/>
                <w:szCs w:val="20"/>
                <w:color w:val="auto"/>
              </w:rPr>
            </w:pPr>
            <w:r>
              <w:rPr>
                <w:rFonts w:ascii="Arial" w:cs="Arial" w:eastAsia="Arial" w:hAnsi="Arial"/>
                <w:sz w:val="18"/>
                <w:szCs w:val="18"/>
                <w:color w:val="auto"/>
                <w:w w:val="85"/>
              </w:rPr>
              <w:t>976,789 shares</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   4.07(2)</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$3,975,532(2)</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425.39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0" w:lineRule="exact"/>
        <w:rPr>
          <w:sz w:val="24"/>
          <w:szCs w:val="24"/>
          <w:color w:val="auto"/>
        </w:rPr>
      </w:pPr>
    </w:p>
    <w:p>
      <w:pPr>
        <w:ind w:left="460" w:right="20" w:hanging="452"/>
        <w:spacing w:after="0" w:line="253"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shall also cover any additional shares of Common Stock which become issuable under the 2000 Stock Incentive Plan by reason of any stock dividend, stock split, recapitalization or other similar transaction effected without the Registrant’s receipt of consideration which results in an increase in the number of the outstanding shares of Registrant’s Common Stock.</w:t>
      </w:r>
    </w:p>
    <w:p>
      <w:pPr>
        <w:ind w:left="460" w:right="60" w:hanging="452"/>
        <w:spacing w:after="0" w:line="323"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solely for purposes of this offering under Rule 457(h) of the Securities Act of 1933, as amended, on the basis of the average of the high and low selling prices per share of Registrant’s Common Stock on March 27, 2006, as reported by The NASDAQ National Market.</w:t>
      </w:r>
    </w:p>
    <w:p>
      <w:pPr>
        <w:spacing w:after="0" w:line="93" w:lineRule="exact"/>
        <w:rPr>
          <w:sz w:val="24"/>
          <w:szCs w:val="24"/>
          <w:color w:val="auto"/>
        </w:rPr>
      </w:pPr>
    </w:p>
    <w:p>
      <w:pPr>
        <w:jc w:val="both"/>
        <w:ind w:right="160"/>
        <w:spacing w:after="0" w:line="306" w:lineRule="auto"/>
        <w:rPr>
          <w:sz w:val="20"/>
          <w:szCs w:val="20"/>
          <w:color w:val="auto"/>
        </w:rPr>
      </w:pPr>
      <w:r>
        <w:rPr>
          <w:rFonts w:ascii="Arial" w:cs="Arial" w:eastAsia="Arial" w:hAnsi="Arial"/>
          <w:sz w:val="16"/>
          <w:szCs w:val="16"/>
          <w:color w:val="auto"/>
        </w:rPr>
        <w:t>Pursuant to General Instruction E to Form S-8, this Registration Statement on Form S-8 registers the offer and sale of an additional 976,789 shares of Common Stock of the Registrant for issuance under the 2000 Stock Incentive Plan (the “Plan”). The contents of the prior Registration Statements relating to the Plan, File Nos. 333-43248, 333-56122, 333-104725, 333-115039 and 333-123587 are incorporated herein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3" w:right="239" w:bottom="115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Incorporation of Documents by Reference</w:t>
      </w:r>
      <w:r>
        <w:rPr>
          <w:rFonts w:ascii="Arial" w:cs="Arial" w:eastAsia="Arial" w:hAnsi="Arial"/>
          <w:sz w:val="18"/>
          <w:szCs w:val="18"/>
          <w:color w:val="auto"/>
        </w:rPr>
        <w:t>.</w:t>
      </w:r>
    </w:p>
    <w:p>
      <w:pPr>
        <w:spacing w:after="0" w:line="90" w:lineRule="exact"/>
        <w:rPr>
          <w:sz w:val="20"/>
          <w:szCs w:val="20"/>
          <w:color w:val="auto"/>
        </w:rPr>
      </w:pPr>
    </w:p>
    <w:p>
      <w:pPr>
        <w:ind w:right="140" w:firstLine="1484"/>
        <w:spacing w:after="0" w:line="268" w:lineRule="auto"/>
        <w:rPr>
          <w:sz w:val="20"/>
          <w:szCs w:val="20"/>
          <w:color w:val="auto"/>
        </w:rPr>
      </w:pPr>
      <w:r>
        <w:rPr>
          <w:rFonts w:ascii="Arial" w:cs="Arial" w:eastAsia="Arial" w:hAnsi="Arial"/>
          <w:sz w:val="18"/>
          <w:szCs w:val="18"/>
          <w:color w:val="auto"/>
        </w:rPr>
        <w:t>Active Power, Inc. (the “Registrant”) hereby incorporates by reference into this Registration Statement the following documents previously filed with the Securities and Exchange Commission (the “Commission”):</w:t>
      </w:r>
    </w:p>
    <w:p>
      <w:pPr>
        <w:spacing w:after="0" w:line="51" w:lineRule="exact"/>
        <w:rPr>
          <w:sz w:val="20"/>
          <w:szCs w:val="20"/>
          <w:color w:val="auto"/>
        </w:rPr>
      </w:pPr>
    </w:p>
    <w:p>
      <w:pPr>
        <w:ind w:left="1480" w:right="420" w:hanging="567"/>
        <w:spacing w:after="0" w:line="268"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December 31, 2005 filed with the Commission on February 27, 2006;</w:t>
      </w:r>
    </w:p>
    <w:p>
      <w:pPr>
        <w:spacing w:after="0" w:line="50" w:lineRule="exact"/>
        <w:rPr>
          <w:rFonts w:ascii="Arial" w:cs="Arial" w:eastAsia="Arial" w:hAnsi="Arial"/>
          <w:sz w:val="18"/>
          <w:szCs w:val="18"/>
          <w:color w:val="auto"/>
        </w:rPr>
      </w:pPr>
    </w:p>
    <w:p>
      <w:pPr>
        <w:ind w:left="1480" w:right="80" w:hanging="567"/>
        <w:spacing w:after="0" w:line="268"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Securities Exchange Act of 1934, as amended (the “1934 Act”) since the end of the fiscal year covered by the Registrant’s Annual Report referred to in (a) above;</w:t>
      </w:r>
    </w:p>
    <w:p>
      <w:pPr>
        <w:spacing w:after="0" w:line="50" w:lineRule="exact"/>
        <w:rPr>
          <w:rFonts w:ascii="Arial" w:cs="Arial" w:eastAsia="Arial" w:hAnsi="Arial"/>
          <w:sz w:val="18"/>
          <w:szCs w:val="18"/>
          <w:color w:val="auto"/>
        </w:rPr>
      </w:pPr>
    </w:p>
    <w:p>
      <w:pPr>
        <w:ind w:left="1480" w:right="660" w:hanging="567"/>
        <w:spacing w:after="0" w:line="268"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Registration Statement No. 000-30939 on Form 8-A12G filed with the Commission on June 30, 2000, in which are described the terms, rights and provisions applicable to the Registrant’s Common Stock; and</w:t>
      </w:r>
    </w:p>
    <w:p>
      <w:pPr>
        <w:spacing w:after="0" w:line="50" w:lineRule="exact"/>
        <w:rPr>
          <w:rFonts w:ascii="Arial" w:cs="Arial" w:eastAsia="Arial" w:hAnsi="Arial"/>
          <w:sz w:val="18"/>
          <w:szCs w:val="18"/>
          <w:color w:val="auto"/>
        </w:rPr>
      </w:pPr>
    </w:p>
    <w:p>
      <w:pPr>
        <w:ind w:left="1480" w:right="260" w:hanging="567"/>
        <w:spacing w:after="0" w:line="332" w:lineRule="auto"/>
        <w:tabs>
          <w:tab w:leader="none" w:pos="1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Registration Statement No. 000-30939 on Form 8-A12G filed with the Commission on December 14, 2001, in which are described the terms, rights and provisions applicable to the Registrant’s Preferred Share Purchase Rights.</w:t>
      </w:r>
    </w:p>
    <w:p>
      <w:pPr>
        <w:spacing w:after="0" w:line="85" w:lineRule="exact"/>
        <w:rPr>
          <w:sz w:val="20"/>
          <w:szCs w:val="20"/>
          <w:color w:val="auto"/>
        </w:rPr>
      </w:pPr>
    </w:p>
    <w:p>
      <w:pPr>
        <w:ind w:firstLine="1484"/>
        <w:spacing w:after="0" w:line="290" w:lineRule="auto"/>
        <w:rPr>
          <w:sz w:val="20"/>
          <w:szCs w:val="20"/>
          <w:color w:val="auto"/>
        </w:rPr>
      </w:pPr>
      <w:r>
        <w:rPr>
          <w:rFonts w:ascii="Arial" w:cs="Arial" w:eastAsia="Arial" w:hAnsi="Arial"/>
          <w:sz w:val="16"/>
          <w:szCs w:val="16"/>
          <w:color w:val="auto"/>
        </w:rPr>
        <w:t>All reports and definitive proxy or information statements filed pursuant to Section 13(a), 13(c), 14 or 15(d) of the 1934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Description of Securities</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Interests of Named Experts and Counsel</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90" w:lineRule="exact"/>
        <w:rPr>
          <w:sz w:val="20"/>
          <w:szCs w:val="20"/>
          <w:color w:val="auto"/>
        </w:rPr>
      </w:pPr>
    </w:p>
    <w:p>
      <w:pPr>
        <w:ind w:right="20" w:firstLine="1484"/>
        <w:spacing w:after="0" w:line="289" w:lineRule="auto"/>
        <w:rPr>
          <w:sz w:val="20"/>
          <w:szCs w:val="20"/>
          <w:color w:val="auto"/>
        </w:rPr>
      </w:pPr>
      <w:r>
        <w:rPr>
          <w:rFonts w:ascii="Arial" w:cs="Arial" w:eastAsia="Arial" w:hAnsi="Arial"/>
          <w:sz w:val="16"/>
          <w:szCs w:val="16"/>
          <w:color w:val="auto"/>
        </w:rPr>
        <w:t>Section 145 of the Delaware General Corporation Law (the “DGCL”) provides, in effect, that any person made a party to any action by reason of the fact that he is or was a director, officer, employee or agent of the Registrant may and, in some cases, must be indemnified by the Registrant against, in the case of a non-derivative action, judgments, fines, amounts paid in settlement and reasonable expenses (including attorneys’ fees) incurred by him as a result of such action, and in the case of a derivative action, against expenses (including attorneys’ fees), if in either type of action he acted in good faith and in a manner he reasonably believed to be in or not opposed to the best interests of the Registrant. This indemnification does not apply, in a derivative action, to matters as to which it is adjudged that the director, officer, employee or agent is liable to the Registrant, unless upon court order it is determined that, despite such adjudication of liability, but in view of all the circumstances of the case, he is fairly and reasonably entitled to indemnity for expenses, and, in a non-derivative action, to any criminal proceeding in which such person had no reasonable cause to believe his conduct was unlawful.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274" w:right="239" w:bottom="1440" w:gutter="0" w:footer="0" w:header="0"/>
        </w:sectPr>
      </w:pPr>
    </w:p>
    <w:bookmarkStart w:id="2" w:name="page3"/>
    <w:bookmarkEnd w:id="2"/>
    <w:p>
      <w:pPr>
        <w:ind w:right="140" w:firstLine="1484"/>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Registrant’s certificate of incorporation provides that no director shall be liable to the Registrant or its stockholders for monetary damages for breach of fiduciary duty as a director to the fullest extent permitted by the DGCL. The Registrant’s bylaws require it to indemnify its directors and executive officers to the fullest extent permitted by Delaware law. The Registrant has entered into indemnification agreements with all of its directors and executive officers and has purchased directors’ and officers’ liability insurance.</w:t>
      </w:r>
    </w:p>
    <w:p>
      <w:pPr>
        <w:spacing w:after="0" w:line="143" w:lineRule="exact"/>
        <w:rPr>
          <w:sz w:val="20"/>
          <w:szCs w:val="20"/>
          <w:color w:val="auto"/>
        </w:rPr>
      </w:pPr>
    </w:p>
    <w:p>
      <w:pPr>
        <w:ind w:right="320" w:firstLine="1484"/>
        <w:spacing w:after="0" w:line="332" w:lineRule="auto"/>
        <w:rPr>
          <w:sz w:val="20"/>
          <w:szCs w:val="20"/>
          <w:color w:val="auto"/>
        </w:rPr>
      </w:pPr>
      <w:r>
        <w:rPr>
          <w:rFonts w:ascii="Arial" w:cs="Arial" w:eastAsia="Arial" w:hAnsi="Arial"/>
          <w:sz w:val="16"/>
          <w:szCs w:val="16"/>
          <w:color w:val="auto"/>
        </w:rPr>
        <w:t>Reference is made to the underwriting agreement filed as Exhibit 1.1 to Registrant’s Registration Statement No. 333-36946, pursuant to which the underwriters have agreed to indemnify the Registrant’s officers and directors against certain liabilities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7. </w:t>
      </w:r>
      <w:r>
        <w:rPr>
          <w:rFonts w:ascii="Arial" w:cs="Arial" w:eastAsia="Arial" w:hAnsi="Arial"/>
          <w:sz w:val="18"/>
          <w:szCs w:val="18"/>
          <w:u w:val="single" w:color="auto"/>
          <w:color w:val="auto"/>
        </w:rPr>
        <w:t>Exemption from Registration Claimed</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8. </w:t>
      </w:r>
      <w:r>
        <w:rPr>
          <w:rFonts w:ascii="Arial" w:cs="Arial" w:eastAsia="Arial" w:hAnsi="Arial"/>
          <w:sz w:val="18"/>
          <w:szCs w:val="18"/>
          <w:u w:val="single" w:color="auto"/>
          <w:color w:val="auto"/>
        </w:rPr>
        <w:t>Exhibits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Exhibit</w:t>
      </w:r>
    </w:p>
    <w:p>
      <w:pPr>
        <w:spacing w:after="0"/>
        <w:tabs>
          <w:tab w:leader="none" w:pos="680" w:val="left"/>
        </w:tabs>
        <w:rPr>
          <w:sz w:val="20"/>
          <w:szCs w:val="20"/>
          <w:color w:val="auto"/>
        </w:rPr>
      </w:pPr>
      <w:r>
        <w:rPr>
          <w:rFonts w:ascii="Arial" w:cs="Arial" w:eastAsia="Arial" w:hAnsi="Arial"/>
          <w:sz w:val="14"/>
          <w:szCs w:val="14"/>
          <w:b w:val="1"/>
          <w:bCs w:val="1"/>
          <w:i w:val="1"/>
          <w:iCs w:val="1"/>
          <w:u w:val="single" w:color="auto"/>
          <w:color w:val="auto"/>
        </w:rPr>
        <w:t>Number</w:t>
      </w:r>
      <w:r>
        <w:rPr>
          <w:sz w:val="20"/>
          <w:szCs w:val="20"/>
          <w:color w:val="auto"/>
        </w:rPr>
        <w:tab/>
      </w:r>
      <w:r>
        <w:rPr>
          <w:rFonts w:ascii="Arial" w:cs="Arial" w:eastAsia="Arial" w:hAnsi="Arial"/>
          <w:sz w:val="14"/>
          <w:szCs w:val="14"/>
          <w:b w:val="1"/>
          <w:bCs w:val="1"/>
          <w:i w:val="1"/>
          <w:i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0</wp:posOffset>
            </wp:positionV>
            <wp:extent cx="68091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ind w:left="700" w:right="40" w:hanging="604"/>
        <w:spacing w:after="0" w:line="254"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Instruments Defining Rights of Stockholders. Reference is made to Registrant’s Registration Statement No. 000-30939 on Form 8-A12G filed with the Commission on June 30, 2000 and Registration Statement No. 000-30939 on Form 8-A12G filed with the Commission on December 14, 2001 which are incorporated herein by reference pursuant to Items 3(c) and (d).</w:t>
      </w:r>
    </w:p>
    <w:p>
      <w:pPr>
        <w:spacing w:after="0" w:line="91" w:lineRule="exact"/>
        <w:rPr>
          <w:sz w:val="20"/>
          <w:szCs w:val="20"/>
          <w:color w:val="auto"/>
        </w:rPr>
      </w:pPr>
    </w:p>
    <w:p>
      <w:pPr>
        <w:ind w:left="700" w:hanging="60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Opinion and Consent of Andrews Kurth LLP.</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Independent Auditors.</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Andrews Kurth LLP is contained in Exhibit 5.</w:t>
      </w:r>
    </w:p>
    <w:p>
      <w:pPr>
        <w:spacing w:after="0" w:line="117" w:lineRule="exact"/>
        <w:rPr>
          <w:sz w:val="20"/>
          <w:szCs w:val="20"/>
          <w:color w:val="auto"/>
        </w:rPr>
      </w:pPr>
    </w:p>
    <w:p>
      <w:pPr>
        <w:ind w:right="4240" w:firstLine="8"/>
        <w:spacing w:after="0" w:line="393" w:lineRule="auto"/>
        <w:tabs>
          <w:tab w:leader="none" w:pos="689" w:val="left"/>
        </w:tabs>
        <w:numPr>
          <w:ilvl w:val="0"/>
          <w:numId w:val="5"/>
        </w:numPr>
        <w:rPr>
          <w:rFonts w:ascii="Arial" w:cs="Arial" w:eastAsia="Arial" w:hAnsi="Arial"/>
          <w:sz w:val="18"/>
          <w:szCs w:val="18"/>
          <w:color w:val="auto"/>
        </w:rPr>
      </w:pPr>
      <w:r>
        <w:rPr>
          <w:rFonts w:ascii="Arial" w:cs="Arial" w:eastAsia="Arial" w:hAnsi="Arial"/>
          <w:sz w:val="18"/>
          <w:szCs w:val="18"/>
          <w:color w:val="auto"/>
        </w:rPr>
        <w:t>Power of Attorney. Reference is made to the Signature Page of this Registration Statement. 99.1* Active Power, Inc. 2000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6000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72" w:lineRule="exact"/>
        <w:rPr>
          <w:sz w:val="20"/>
          <w:szCs w:val="20"/>
          <w:color w:val="auto"/>
        </w:rPr>
      </w:pPr>
    </w:p>
    <w:p>
      <w:pPr>
        <w:ind w:left="220" w:right="340" w:hanging="212"/>
        <w:spacing w:after="0" w:line="268"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 99.1 is incorporated herein by reference to Exhibit 99.1 to Registrant’s Registration Statement No. 333-43248 on Form S-8 filed with the SEC on August 8, 2000.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9. </w:t>
      </w:r>
      <w:r>
        <w:rPr>
          <w:rFonts w:ascii="Arial" w:cs="Arial" w:eastAsia="Arial" w:hAnsi="Arial"/>
          <w:sz w:val="18"/>
          <w:szCs w:val="18"/>
          <w:u w:val="single" w:color="auto"/>
          <w:color w:val="auto"/>
        </w:rPr>
        <w:t>Undertakings</w:t>
      </w:r>
      <w:r>
        <w:rPr>
          <w:rFonts w:ascii="Arial" w:cs="Arial" w:eastAsia="Arial" w:hAnsi="Arial"/>
          <w:sz w:val="18"/>
          <w:szCs w:val="18"/>
          <w:color w:val="auto"/>
        </w:rPr>
        <w:t>.</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The undersigned Registrant hereby undertakes: (1) to file, during any period in which offers or sales are being made, a post-effective amendment to this Registration Statement (i) to include any prospectus required by Section 10(a)(3) of the Securities Act of 1933 Act, as amended (the “1933 Act”), (ii)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 (iii) to include any material information with respect to the plan of distribution not previously disclosed in this Registration Statement or any material change to such information in this Registration Statement; provided, however, that clauses (1)(i) and (1)(ii) shall not apply if the information required to be included in a post-effective amendment by those clauses is contained in periodic reports filed with or furnished to the Commission by the Registrant pursuant to Section 13 or Section 15(d) of the 1934 Act that are incorporated by reference into this Registration Statement; (2) that for the purpose of determining any liability under the 1933 Act each such post-effective amendment shall be deemed to be a new registration statement relating to the securities offered therein and the offering of such securities at that time shall be deemed to be the initial bona fide offering thereof; and (3) to remove from registration by means of a post-effective amendment any of the securities being registered which remain unsold at the termination of the Registrant’s 2000 Stock Incentive Plan.</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 The undersigned Registrant hereby undertakes that, for purposes of determining any liability under the 1933 Act, each filing of the Registrant’s annual report pursuant to Section 13(a) or Section 15(d) of the 1934 Act that is incorporated by reference into this Registration Statement shall be deemed to be a new registration statement relating to the securities offered therein, and the offering of such securities at that time shall be deemed to be the initial bona fide offering thereof.</w:t>
      </w:r>
    </w:p>
    <w:p>
      <w:pPr>
        <w:spacing w:after="0" w:line="14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 Insofar as indemnification for liabilities arising under the 1933 Act may be permitted to directors, officers, or controlling persons of the Registrant pursuant to the indemnification provisions summarized in Item 6 or otherwise, the Registrant has been advised that, in the opinion of the Commission, such indemnification is against public policy</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40"/>
          </w:cols>
          <w:pgMar w:left="240" w:top="280" w:right="319" w:bottom="1440" w:gutter="0" w:footer="0" w:header="0"/>
        </w:sectPr>
      </w:pPr>
    </w:p>
    <w:bookmarkStart w:id="3" w:name="page4"/>
    <w:bookmarkEnd w:id="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expressed in the 1933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1933 Act and will be governed by the final adjudication of such issue.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280"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60" w:firstLine="1484"/>
        <w:spacing w:after="0" w:line="27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Austin, state of Texas on this 28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March, 2006.</w:t>
      </w:r>
    </w:p>
    <w:p>
      <w:pPr>
        <w:spacing w:after="0" w:line="8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of the Board and Chief Executive Officer</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hereby severally constitutes and appoints, Joseph F. Pinkerton, III and John Penver, and each or any of them, his true and lawful attorney-in-fact and agent, each with the power of substitution and resubstitution, for him in any and all capacities, to sign any and all amendments to this registration statement and to file the same, with exhibits thereto and other documents in connection therewith, with the Securities and Exchange Commission, hereby ratifying and confirming all that each said attorney-in-fact and agent, or his substitute or substitutes, may lawfully do or cause to be done by virtue hereof.</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report has been signed below by the following persons on behalf of the registrant in the capacities set forth below on March 28,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00" w:type="dxa"/>
            <w:vAlign w:val="bottom"/>
            <w:tcBorders>
              <w:bottom w:val="single" w:sz="8" w:color="auto"/>
            </w:tcBorders>
          </w:tcPr>
          <w:p>
            <w:pPr>
              <w:ind w:left="2640"/>
              <w:spacing w:after="0"/>
              <w:rPr>
                <w:sz w:val="20"/>
                <w:szCs w:val="20"/>
                <w:color w:val="auto"/>
              </w:rPr>
            </w:pPr>
            <w:r>
              <w:rPr>
                <w:rFonts w:ascii="Arial" w:cs="Arial" w:eastAsia="Arial" w:hAnsi="Arial"/>
                <w:sz w:val="14"/>
                <w:szCs w:val="14"/>
                <w:b w:val="1"/>
                <w:bCs w:val="1"/>
                <w:color w:val="auto"/>
              </w:rPr>
              <w:t>Signature</w:t>
            </w:r>
          </w:p>
        </w:tc>
        <w:tc>
          <w:tcPr>
            <w:tcW w:w="14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Title</w:t>
            </w:r>
          </w:p>
        </w:tc>
      </w:tr>
      <w:tr>
        <w:trPr>
          <w:trHeight w:val="28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F. Pinkerton, III</w:t>
            </w:r>
          </w:p>
        </w:tc>
        <w:tc>
          <w:tcPr>
            <w:tcW w:w="14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0"/>
              </w:rPr>
              <w:t>Chairman of the Board and Chief Executive Officer</w:t>
            </w:r>
          </w:p>
        </w:tc>
      </w:tr>
      <w:tr>
        <w:trPr>
          <w:trHeight w:val="218"/>
        </w:trPr>
        <w:tc>
          <w:tcPr>
            <w:tcW w:w="4400" w:type="dxa"/>
            <w:vAlign w:val="bottom"/>
          </w:tcPr>
          <w:p>
            <w:pPr>
              <w:spacing w:after="0"/>
              <w:rPr>
                <w:sz w:val="20"/>
                <w:szCs w:val="20"/>
                <w:color w:val="auto"/>
              </w:rPr>
            </w:pPr>
            <w:r>
              <w:rPr>
                <w:rFonts w:ascii="Arial" w:cs="Arial" w:eastAsia="Arial" w:hAnsi="Arial"/>
                <w:sz w:val="18"/>
                <w:szCs w:val="18"/>
                <w:color w:val="auto"/>
              </w:rPr>
              <w:t>Joseph F. Pinkerton, III</w:t>
            </w: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jc w:val="center"/>
              <w:spacing w:after="0" w:line="202" w:lineRule="exact"/>
              <w:rPr>
                <w:sz w:val="20"/>
                <w:szCs w:val="20"/>
                <w:color w:val="auto"/>
              </w:rPr>
            </w:pPr>
            <w:r>
              <w:rPr>
                <w:rFonts w:ascii="Arial" w:cs="Arial" w:eastAsia="Arial" w:hAnsi="Arial"/>
                <w:sz w:val="18"/>
                <w:szCs w:val="18"/>
                <w:color w:val="auto"/>
                <w:w w:val="91"/>
              </w:rPr>
              <w:t>(principal executive officer)</w:t>
            </w:r>
          </w:p>
        </w:tc>
      </w:tr>
      <w:tr>
        <w:trPr>
          <w:trHeight w:val="437"/>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Penver</w:t>
            </w:r>
          </w:p>
        </w:tc>
        <w:tc>
          <w:tcPr>
            <w:tcW w:w="14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0"/>
              </w:rPr>
              <w:t>Vice President and Chief Financial Officer (principal</w:t>
            </w:r>
          </w:p>
        </w:tc>
      </w:tr>
      <w:tr>
        <w:trPr>
          <w:trHeight w:val="218"/>
        </w:trPr>
        <w:tc>
          <w:tcPr>
            <w:tcW w:w="4400" w:type="dxa"/>
            <w:vAlign w:val="bottom"/>
          </w:tcPr>
          <w:p>
            <w:pPr>
              <w:spacing w:after="0"/>
              <w:rPr>
                <w:sz w:val="20"/>
                <w:szCs w:val="20"/>
                <w:color w:val="auto"/>
              </w:rPr>
            </w:pPr>
            <w:r>
              <w:rPr>
                <w:rFonts w:ascii="Arial" w:cs="Arial" w:eastAsia="Arial" w:hAnsi="Arial"/>
                <w:sz w:val="18"/>
                <w:szCs w:val="18"/>
                <w:color w:val="auto"/>
              </w:rPr>
              <w:t>John Penver</w:t>
            </w: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jc w:val="center"/>
              <w:spacing w:after="0" w:line="202" w:lineRule="exact"/>
              <w:rPr>
                <w:sz w:val="20"/>
                <w:szCs w:val="20"/>
                <w:color w:val="auto"/>
              </w:rPr>
            </w:pPr>
            <w:r>
              <w:rPr>
                <w:rFonts w:ascii="Arial" w:cs="Arial" w:eastAsia="Arial" w:hAnsi="Arial"/>
                <w:sz w:val="18"/>
                <w:szCs w:val="18"/>
                <w:color w:val="auto"/>
                <w:w w:val="90"/>
              </w:rPr>
              <w:t>financial and accounting officer)</w:t>
            </w:r>
          </w:p>
        </w:tc>
      </w:tr>
      <w:tr>
        <w:trPr>
          <w:trHeight w:val="43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Ake Almgren</w:t>
            </w:r>
          </w:p>
        </w:tc>
        <w:tc>
          <w:tcPr>
            <w:tcW w:w="14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7"/>
        </w:trPr>
        <w:tc>
          <w:tcPr>
            <w:tcW w:w="4400" w:type="dxa"/>
            <w:vAlign w:val="bottom"/>
          </w:tcPr>
          <w:p>
            <w:pPr>
              <w:spacing w:after="0"/>
              <w:rPr>
                <w:sz w:val="20"/>
                <w:szCs w:val="20"/>
                <w:color w:val="auto"/>
              </w:rPr>
            </w:pPr>
            <w:r>
              <w:rPr>
                <w:rFonts w:ascii="Arial" w:cs="Arial" w:eastAsia="Arial" w:hAnsi="Arial"/>
                <w:sz w:val="18"/>
                <w:szCs w:val="18"/>
                <w:color w:val="auto"/>
              </w:rPr>
              <w:t>Ake Almgren</w:t>
            </w: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43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E. Anderson</w:t>
            </w:r>
          </w:p>
        </w:tc>
        <w:tc>
          <w:tcPr>
            <w:tcW w:w="14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7"/>
        </w:trPr>
        <w:tc>
          <w:tcPr>
            <w:tcW w:w="4400" w:type="dxa"/>
            <w:vAlign w:val="bottom"/>
          </w:tcPr>
          <w:p>
            <w:pPr>
              <w:spacing w:after="0"/>
              <w:rPr>
                <w:sz w:val="20"/>
                <w:szCs w:val="20"/>
                <w:color w:val="auto"/>
              </w:rPr>
            </w:pPr>
            <w:r>
              <w:rPr>
                <w:rFonts w:ascii="Arial" w:cs="Arial" w:eastAsia="Arial" w:hAnsi="Arial"/>
                <w:sz w:val="18"/>
                <w:szCs w:val="18"/>
                <w:color w:val="auto"/>
              </w:rPr>
              <w:t>Richard E. Anderson</w:t>
            </w: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43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Rodney S. Bond</w:t>
            </w:r>
          </w:p>
        </w:tc>
        <w:tc>
          <w:tcPr>
            <w:tcW w:w="14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7"/>
        </w:trPr>
        <w:tc>
          <w:tcPr>
            <w:tcW w:w="4400" w:type="dxa"/>
            <w:vAlign w:val="bottom"/>
          </w:tcPr>
          <w:p>
            <w:pPr>
              <w:spacing w:after="0"/>
              <w:rPr>
                <w:sz w:val="20"/>
                <w:szCs w:val="20"/>
                <w:color w:val="auto"/>
              </w:rPr>
            </w:pPr>
            <w:r>
              <w:rPr>
                <w:rFonts w:ascii="Arial" w:cs="Arial" w:eastAsia="Arial" w:hAnsi="Arial"/>
                <w:sz w:val="18"/>
                <w:szCs w:val="18"/>
                <w:color w:val="auto"/>
              </w:rPr>
              <w:t>Rodney S. Bond</w:t>
            </w: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43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 Boston</w:t>
            </w:r>
          </w:p>
        </w:tc>
        <w:tc>
          <w:tcPr>
            <w:tcW w:w="14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7"/>
        </w:trPr>
        <w:tc>
          <w:tcPr>
            <w:tcW w:w="4400" w:type="dxa"/>
            <w:vAlign w:val="bottom"/>
          </w:tcPr>
          <w:p>
            <w:pPr>
              <w:spacing w:after="0"/>
              <w:rPr>
                <w:sz w:val="20"/>
                <w:szCs w:val="20"/>
                <w:color w:val="auto"/>
              </w:rPr>
            </w:pPr>
            <w:r>
              <w:rPr>
                <w:rFonts w:ascii="Arial" w:cs="Arial" w:eastAsia="Arial" w:hAnsi="Arial"/>
                <w:sz w:val="18"/>
                <w:szCs w:val="18"/>
                <w:color w:val="auto"/>
              </w:rPr>
              <w:t>Brad Boston</w:t>
            </w: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43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Benjamin L. Scott</w:t>
            </w:r>
          </w:p>
        </w:tc>
        <w:tc>
          <w:tcPr>
            <w:tcW w:w="14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7"/>
        </w:trPr>
        <w:tc>
          <w:tcPr>
            <w:tcW w:w="4400" w:type="dxa"/>
            <w:vAlign w:val="bottom"/>
          </w:tcPr>
          <w:p>
            <w:pPr>
              <w:spacing w:after="0"/>
              <w:rPr>
                <w:sz w:val="20"/>
                <w:szCs w:val="20"/>
                <w:color w:val="auto"/>
              </w:rPr>
            </w:pPr>
            <w:r>
              <w:rPr>
                <w:rFonts w:ascii="Arial" w:cs="Arial" w:eastAsia="Arial" w:hAnsi="Arial"/>
                <w:sz w:val="18"/>
                <w:szCs w:val="18"/>
                <w:color w:val="auto"/>
              </w:rPr>
              <w:t>Benjamin L. Scott</w:t>
            </w: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43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H. Lindelow</w:t>
            </w:r>
          </w:p>
        </w:tc>
        <w:tc>
          <w:tcPr>
            <w:tcW w:w="14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7"/>
        </w:trPr>
        <w:tc>
          <w:tcPr>
            <w:tcW w:w="4400" w:type="dxa"/>
            <w:vAlign w:val="bottom"/>
          </w:tcPr>
          <w:p>
            <w:pPr>
              <w:spacing w:after="0"/>
              <w:rPr>
                <w:sz w:val="20"/>
                <w:szCs w:val="20"/>
                <w:color w:val="auto"/>
              </w:rPr>
            </w:pPr>
            <w:r>
              <w:rPr>
                <w:rFonts w:ascii="Arial" w:cs="Arial" w:eastAsia="Arial" w:hAnsi="Arial"/>
                <w:sz w:val="18"/>
                <w:szCs w:val="18"/>
                <w:color w:val="auto"/>
              </w:rPr>
              <w:t>Jan H. Lindelow</w:t>
            </w: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438"/>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Terrence L. Rock</w:t>
            </w:r>
          </w:p>
        </w:tc>
        <w:tc>
          <w:tcPr>
            <w:tcW w:w="14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17"/>
        </w:trPr>
        <w:tc>
          <w:tcPr>
            <w:tcW w:w="4400" w:type="dxa"/>
            <w:vAlign w:val="bottom"/>
          </w:tcPr>
          <w:p>
            <w:pPr>
              <w:spacing w:after="0"/>
              <w:rPr>
                <w:sz w:val="20"/>
                <w:szCs w:val="20"/>
                <w:color w:val="auto"/>
              </w:rPr>
            </w:pPr>
            <w:r>
              <w:rPr>
                <w:rFonts w:ascii="Arial" w:cs="Arial" w:eastAsia="Arial" w:hAnsi="Arial"/>
                <w:sz w:val="18"/>
                <w:szCs w:val="18"/>
                <w:color w:val="auto"/>
              </w:rPr>
              <w:t>Terrence L. Rock</w:t>
            </w: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370"/>
        </w:trPr>
        <w:tc>
          <w:tcPr>
            <w:tcW w:w="4400" w:type="dxa"/>
            <w:vAlign w:val="bottom"/>
          </w:tcPr>
          <w:p>
            <w:pPr>
              <w:spacing w:after="0"/>
              <w:rPr>
                <w:sz w:val="24"/>
                <w:szCs w:val="24"/>
                <w:color w:val="auto"/>
              </w:rPr>
            </w:pPr>
          </w:p>
        </w:tc>
        <w:tc>
          <w:tcPr>
            <w:tcW w:w="7020" w:type="dxa"/>
            <w:vAlign w:val="bottom"/>
            <w:gridSpan w:val="3"/>
          </w:tcPr>
          <w:p>
            <w:pPr>
              <w:ind w:left="1180"/>
              <w:spacing w:after="0"/>
              <w:rPr>
                <w:sz w:val="20"/>
                <w:szCs w:val="20"/>
                <w:color w:val="auto"/>
              </w:rPr>
            </w:pPr>
            <w:r>
              <w:rPr>
                <w:rFonts w:ascii="Arial" w:cs="Arial" w:eastAsia="Arial" w:hAnsi="Arial"/>
                <w:sz w:val="18"/>
                <w:szCs w:val="18"/>
                <w:color w:val="auto"/>
              </w:rPr>
              <w:t>II-4</w:t>
            </w:r>
          </w:p>
        </w:tc>
      </w:tr>
    </w:tbl>
    <w:p>
      <w:pPr>
        <w:sectPr>
          <w:pgSz w:w="11900" w:h="16838" w:orient="portrait"/>
          <w:cols w:equalWidth="0" w:num="1">
            <w:col w:w="11420"/>
          </w:cols>
          <w:pgMar w:left="240" w:top="274"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p>
    <w:p>
      <w:pPr>
        <w:sectPr>
          <w:pgSz w:w="11900" w:h="16838" w:orient="portrait"/>
          <w:cols w:equalWidth="0" w:num="1">
            <w:col w:w="9019"/>
          </w:cols>
          <w:pgMar w:left="1440" w:top="280" w:right="1440"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SECURITIES ACT OF 1933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ectPr>
          <w:pgSz w:w="11900" w:h="16838" w:orient="portrait"/>
          <w:cols w:equalWidth="0" w:num="1">
            <w:col w:w="9019"/>
          </w:cols>
          <w:pgMar w:left="1440" w:top="280" w:right="1440" w:bottom="1440" w:gutter="0" w:footer="0" w:header="0"/>
          <w:type w:val="continuous"/>
        </w:sectPr>
      </w:pPr>
    </w:p>
    <w:bookmarkStart w:id="6" w:name="page7"/>
    <w:bookmarkEnd w:id="6"/>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Exhibit</w:t>
      </w:r>
    </w:p>
    <w:p>
      <w:pPr>
        <w:spacing w:after="0"/>
        <w:tabs>
          <w:tab w:leader="none" w:pos="680" w:val="left"/>
        </w:tabs>
        <w:rPr>
          <w:sz w:val="20"/>
          <w:szCs w:val="20"/>
          <w:color w:val="auto"/>
        </w:rPr>
      </w:pPr>
      <w:r>
        <w:rPr>
          <w:rFonts w:ascii="Arial" w:cs="Arial" w:eastAsia="Arial" w:hAnsi="Arial"/>
          <w:sz w:val="14"/>
          <w:szCs w:val="14"/>
          <w:b w:val="1"/>
          <w:bCs w:val="1"/>
          <w:i w:val="1"/>
          <w:iCs w:val="1"/>
          <w:u w:val="single" w:color="auto"/>
          <w:color w:val="auto"/>
        </w:rPr>
        <w:t>Number</w:t>
      </w:r>
      <w:r>
        <w:rPr>
          <w:sz w:val="20"/>
          <w:szCs w:val="20"/>
          <w:color w:val="auto"/>
        </w:rPr>
        <w:tab/>
      </w:r>
      <w:r>
        <w:rPr>
          <w:rFonts w:ascii="Arial" w:cs="Arial" w:eastAsia="Arial" w:hAnsi="Arial"/>
          <w:sz w:val="14"/>
          <w:szCs w:val="14"/>
          <w:b w:val="1"/>
          <w:bCs w:val="1"/>
          <w:i w:val="1"/>
          <w:i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0</wp:posOffset>
            </wp:positionV>
            <wp:extent cx="68091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jc w:val="both"/>
        <w:ind w:left="700" w:hanging="604"/>
        <w:spacing w:after="0" w:line="254"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Instruments Defining Rights of Stockholders. Reference is made to Registrant’s Registration Statement No. 000-30939 on Form 8-A12G filed with the SEC June 30, 2000 and Registration Statement No. 000-30939 on Form 8-A12G filed with the SEC December 14, 2001 which are incorporated herein by reference pursuant to Items 3(c) and (d).</w:t>
      </w:r>
    </w:p>
    <w:p>
      <w:pPr>
        <w:spacing w:after="0" w:line="91" w:lineRule="exact"/>
        <w:rPr>
          <w:sz w:val="20"/>
          <w:szCs w:val="20"/>
          <w:color w:val="auto"/>
        </w:rPr>
      </w:pPr>
    </w:p>
    <w:p>
      <w:pPr>
        <w:ind w:left="700" w:hanging="60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Opinion and Consent of Andrews Kurth LLP</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Independent Auditors.</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Andrews Kurth LLP is contained in Exhibit 5.</w:t>
      </w:r>
    </w:p>
    <w:p>
      <w:pPr>
        <w:spacing w:after="0" w:line="117" w:lineRule="exact"/>
        <w:rPr>
          <w:sz w:val="20"/>
          <w:szCs w:val="20"/>
          <w:color w:val="auto"/>
        </w:rPr>
      </w:pPr>
    </w:p>
    <w:p>
      <w:pPr>
        <w:ind w:right="4200" w:firstLine="8"/>
        <w:spacing w:after="0" w:line="393" w:lineRule="auto"/>
        <w:tabs>
          <w:tab w:leader="none" w:pos="689" w:val="left"/>
        </w:tabs>
        <w:numPr>
          <w:ilvl w:val="0"/>
          <w:numId w:val="9"/>
        </w:numPr>
        <w:rPr>
          <w:rFonts w:ascii="Arial" w:cs="Arial" w:eastAsia="Arial" w:hAnsi="Arial"/>
          <w:sz w:val="18"/>
          <w:szCs w:val="18"/>
          <w:color w:val="auto"/>
        </w:rPr>
      </w:pPr>
      <w:r>
        <w:rPr>
          <w:rFonts w:ascii="Arial" w:cs="Arial" w:eastAsia="Arial" w:hAnsi="Arial"/>
          <w:sz w:val="18"/>
          <w:szCs w:val="18"/>
          <w:color w:val="auto"/>
        </w:rPr>
        <w:t>Power of Attorney. Reference is made to the Signature Page of this Registration Statement. 99.1* Active Power, Inc. 2000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6000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75" w:lineRule="exact"/>
        <w:rPr>
          <w:sz w:val="20"/>
          <w:szCs w:val="20"/>
          <w:color w:val="auto"/>
        </w:rPr>
      </w:pPr>
    </w:p>
    <w:p>
      <w:pPr>
        <w:ind w:left="220" w:right="300" w:hanging="212"/>
        <w:spacing w:after="0" w:line="268"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Exhibit 99.1 is incorporated herein by reference to Exhibit 99.1 to Registrant’s Registration Statement No. 333-43248 on Form S-8 filed with the SEC on August 8, 2000.</w:t>
      </w:r>
    </w:p>
    <w:p>
      <w:pPr>
        <w:sectPr>
          <w:pgSz w:w="11900" w:h="16838" w:orient="portrait"/>
          <w:cols w:equalWidth="0" w:num="1">
            <w:col w:w="11300"/>
          </w:cols>
          <w:pgMar w:left="240" w:top="274" w:right="35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AND CONSENT OF ANDREWS KURTH LLP</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29, 2006</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2128 W. Braker, B12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Austin, TX 78758</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Active Power, Inc.- Registration Statement on Form S-8 for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Offering of an Aggregate of 976,789 Shares of Common Stock</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We have acted as counsel to Active Power, Inc., a Delaware corporation (the “Company”), in connection with the registration on Form S-8 (the “Registration Statement”) under the Securities Act of 1933, as amended, of an additional 976,789 shares of Common Stock (the “Shares”) under the Company’s 2000 Stock Incentive Plan (the “Plan”).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being furnished in accordance with the requirements of Item 8 of Form S-8 and Item 601(b)(5)(i) of Regulation S-K.</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connection with this opinion, we have examined originals or copies, certified or otherwise identified to our satisfaction, of (i) the Amended and Restated Certificate of Incorporation of the Company as certified by the Secretary of State of the State of Delaware (the “Certificate of Incorporation”), (ii) the Amended and Restated Bylaws of the Company as in effect on the date hereof and at the time of the adoption of the resolutions by the Board of Directors approving the issuance of the Shares, as certified to us by a Company officer, (iii) certain resolutions of the Board of Directors of the Company, as certified to us by a Company officer, (iv) a specimen certificate representing the Common Stock, and (v) such other documents and records as we have deemed necessary and relevant for purposes hereof. Based on such review, we are of the opinion that, if, as and when the Shares are issued and sold (and the consideration therefor received) pursuant to the provisions of option agreements duly authorized under the Plan and in accordance with the Registration Statement, such Shares will be duly authorized, validly issued, fully paid and nonassessable.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consent to the filing of this opinion letter as Exhibit 5 to the Registration Statement.</w:t>
      </w:r>
    </w:p>
    <w:p>
      <w:pPr>
        <w:spacing w:after="0" w:line="171" w:lineRule="exact"/>
        <w:rPr>
          <w:sz w:val="20"/>
          <w:szCs w:val="20"/>
          <w:color w:val="auto"/>
        </w:rPr>
      </w:pPr>
    </w:p>
    <w:p>
      <w:pPr>
        <w:ind w:right="260"/>
        <w:spacing w:after="0" w:line="335" w:lineRule="auto"/>
        <w:rPr>
          <w:sz w:val="20"/>
          <w:szCs w:val="20"/>
          <w:color w:val="auto"/>
        </w:rPr>
      </w:pPr>
      <w:r>
        <w:rPr>
          <w:rFonts w:ascii="Arial" w:cs="Arial" w:eastAsia="Arial" w:hAnsi="Arial"/>
          <w:sz w:val="15"/>
          <w:szCs w:val="15"/>
          <w:color w:val="auto"/>
        </w:rPr>
        <w:t>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the Plan or the Shares.</w:t>
      </w:r>
    </w:p>
    <w:p>
      <w:pPr>
        <w:spacing w:after="0" w:line="1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ANDREWS KURTH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ANDREWS KURTH LLP</w:t>
      </w:r>
    </w:p>
    <w:p>
      <w:pPr>
        <w:sectPr>
          <w:pgSz w:w="11900" w:h="16838" w:orient="portrait"/>
          <w:cols w:equalWidth="0" w:num="1">
            <w:col w:w="11420"/>
          </w:cols>
          <w:pgMar w:left="240" w:top="12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2000 Stock Incentive Plan of Active Power, Inc. of our reports dated February 24, 2006, with respect to the financial statements of Active Power, Inc., Active Power, Inc. management’s assessment of the effectiveness of internal control over financial reporting, and the effectiveness of internal control over financial reporting of Active Power, Inc. included in the Annual Report on Form 10-K for the year ended December 31, 2005.</w:t>
      </w:r>
    </w:p>
    <w:p>
      <w:pPr>
        <w:spacing w:after="0" w:line="14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Austin, TX</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28,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4"/>
      <w:numFmt w:val="bullet"/>
      <w:start w:val="1"/>
    </w:lvl>
  </w:abstractNum>
  <w:abstractNum w:abstractNumId="3">
    <w:nsid w:val="41B71EFB"/>
    <w:multiLevelType w:val="hybridMultilevel"/>
    <w:lvl w:ilvl="0">
      <w:lvlJc w:val="left"/>
      <w:lvlText w:val="5"/>
      <w:numFmt w:val="bullet"/>
      <w:start w:val="1"/>
    </w:lvl>
  </w:abstractNum>
  <w:abstractNum w:abstractNumId="4">
    <w:nsid w:val="79E2A9E3"/>
    <w:multiLevelType w:val="hybridMultilevel"/>
    <w:lvl w:ilvl="0">
      <w:lvlJc w:val="left"/>
      <w:lvlText w:val="%1"/>
      <w:numFmt w:val="decimal"/>
      <w:start w:val="24"/>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4"/>
      <w:numFmt w:val="bullet"/>
      <w:start w:val="1"/>
    </w:lvl>
  </w:abstractNum>
  <w:abstractNum w:abstractNumId="7">
    <w:nsid w:val="5BD062C2"/>
    <w:multiLevelType w:val="hybridMultilevel"/>
    <w:lvl w:ilvl="0">
      <w:lvlJc w:val="left"/>
      <w:lvlText w:val="5"/>
      <w:numFmt w:val="bullet"/>
      <w:start w:val="1"/>
    </w:lvl>
  </w:abstractNum>
  <w:abstractNum w:abstractNumId="8">
    <w:nsid w:val="12200854"/>
    <w:multiLevelType w:val="hybridMultilevel"/>
    <w:lvl w:ilvl="0">
      <w:lvlJc w:val="left"/>
      <w:lvlText w:val="%1"/>
      <w:numFmt w:val="decimal"/>
      <w:start w:val="24"/>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2019-12-14T18:11:24Z</dcterms:created>
  <dcterms:modified xsi:type="dcterms:W3CDTF">2019-12-14T18:11:24Z</dcterms:modified>
</cp:coreProperties>
</file>