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HOOD MARK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2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2024, the reporting person was granted a total of 50,000 stock options, which will vest ratably on the second, third, fourth and fifth anniversaries of the grant date, provided that the reporting person remains in continuous service with the Issuer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Administrative Officer and EVP of Operations</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42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Mark C.</w:t>
      </w:r>
      <w:r>
        <w:rPr>
          <w:sz w:val="20"/>
          <w:szCs w:val="20"/>
          <w:color w:val="auto"/>
        </w:rPr>
        <w:tab/>
      </w:r>
      <w:r>
        <w:rPr>
          <w:rFonts w:ascii="Times New Roman" w:cs="Times New Roman" w:eastAsia="Times New Roman" w:hAnsi="Times New Roman"/>
          <w:sz w:val="16"/>
          <w:szCs w:val="16"/>
          <w:color w:val="0000FF"/>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999"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2024-03-06T20:28:01Z</dcterms:created>
  <dcterms:modified xsi:type="dcterms:W3CDTF">2024-03-06T20:28:01Z</dcterms:modified>
</cp:coreProperties>
</file>