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As filed with the Securities and Exchange Commission on November 20, 2023</w:t>
      </w:r>
    </w:p>
    <w:p>
      <w:pPr>
        <w:spacing w:after="0" w:line="6" w:lineRule="exact"/>
        <w:rPr>
          <w:sz w:val="24"/>
          <w:szCs w:val="24"/>
          <w:color w:val="auto"/>
        </w:rPr>
      </w:pPr>
    </w:p>
    <w:p>
      <w:pPr>
        <w:ind w:left="92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P10, Inc.</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tbl>
      <w:tblPr>
        <w:tblLayout w:type="fixed"/>
        <w:tblInd w:w="1140" w:type="dxa"/>
        <w:tblCellMar>
          <w:top w:w="0" w:type="dxa"/>
          <w:left w:w="0" w:type="dxa"/>
          <w:bottom w:w="0" w:type="dxa"/>
          <w:right w:w="0" w:type="dxa"/>
        </w:tblCellMar>
      </w:tblPr>
      <w:tr>
        <w:trPr>
          <w:trHeight w:val="172"/>
        </w:trPr>
        <w:tc>
          <w:tcPr>
            <w:tcW w:w="2740" w:type="dxa"/>
            <w:vAlign w:val="bottom"/>
          </w:tcPr>
          <w:p>
            <w:pPr>
              <w:jc w:val="center"/>
              <w:ind w:right="973"/>
              <w:spacing w:after="0"/>
              <w:rPr>
                <w:sz w:val="20"/>
                <w:szCs w:val="20"/>
                <w:color w:val="auto"/>
              </w:rPr>
            </w:pPr>
            <w:r>
              <w:rPr>
                <w:rFonts w:ascii="Arial" w:cs="Arial" w:eastAsia="Arial" w:hAnsi="Arial"/>
                <w:sz w:val="15"/>
                <w:szCs w:val="15"/>
                <w:b w:val="1"/>
                <w:bCs w:val="1"/>
                <w:color w:val="auto"/>
                <w:w w:val="94"/>
              </w:rPr>
              <w:t>Delaware</w:t>
            </w:r>
          </w:p>
        </w:tc>
        <w:tc>
          <w:tcPr>
            <w:tcW w:w="3820" w:type="dxa"/>
            <w:vAlign w:val="bottom"/>
          </w:tcPr>
          <w:p>
            <w:pPr>
              <w:jc w:val="center"/>
              <w:ind w:right="33"/>
              <w:spacing w:after="0"/>
              <w:rPr>
                <w:sz w:val="20"/>
                <w:szCs w:val="20"/>
                <w:color w:val="auto"/>
              </w:rPr>
            </w:pPr>
            <w:r>
              <w:rPr>
                <w:rFonts w:ascii="Arial" w:cs="Arial" w:eastAsia="Arial" w:hAnsi="Arial"/>
                <w:sz w:val="15"/>
                <w:szCs w:val="15"/>
                <w:b w:val="1"/>
                <w:bCs w:val="1"/>
                <w:color w:val="auto"/>
                <w:w w:val="95"/>
              </w:rPr>
              <w:t>6282</w:t>
            </w:r>
          </w:p>
        </w:tc>
        <w:tc>
          <w:tcPr>
            <w:tcW w:w="2160" w:type="dxa"/>
            <w:vAlign w:val="bottom"/>
          </w:tcPr>
          <w:p>
            <w:pPr>
              <w:jc w:val="center"/>
              <w:ind w:left="1113"/>
              <w:spacing w:after="0"/>
              <w:rPr>
                <w:sz w:val="20"/>
                <w:szCs w:val="20"/>
                <w:color w:val="auto"/>
              </w:rPr>
            </w:pPr>
            <w:r>
              <w:rPr>
                <w:rFonts w:ascii="Arial" w:cs="Arial" w:eastAsia="Arial" w:hAnsi="Arial"/>
                <w:sz w:val="15"/>
                <w:szCs w:val="15"/>
                <w:b w:val="1"/>
                <w:bCs w:val="1"/>
                <w:color w:val="auto"/>
                <w:w w:val="92"/>
              </w:rPr>
              <w:t>87-2908160</w:t>
            </w:r>
          </w:p>
        </w:tc>
      </w:tr>
      <w:tr>
        <w:trPr>
          <w:trHeight w:val="135"/>
        </w:trPr>
        <w:tc>
          <w:tcPr>
            <w:tcW w:w="2740" w:type="dxa"/>
            <w:vAlign w:val="bottom"/>
          </w:tcPr>
          <w:p>
            <w:pPr>
              <w:jc w:val="center"/>
              <w:ind w:right="97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82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160" w:type="dxa"/>
            <w:vAlign w:val="bottom"/>
          </w:tcPr>
          <w:p>
            <w:pPr>
              <w:jc w:val="center"/>
              <w:ind w:left="1113"/>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40" w:type="dxa"/>
            <w:vAlign w:val="bottom"/>
          </w:tcPr>
          <w:p>
            <w:pPr>
              <w:jc w:val="center"/>
              <w:ind w:right="973"/>
              <w:spacing w:after="0"/>
              <w:rPr>
                <w:sz w:val="20"/>
                <w:szCs w:val="20"/>
                <w:color w:val="auto"/>
              </w:rPr>
            </w:pPr>
            <w:r>
              <w:rPr>
                <w:rFonts w:ascii="Arial" w:cs="Arial" w:eastAsia="Arial" w:hAnsi="Arial"/>
                <w:sz w:val="13"/>
                <w:szCs w:val="13"/>
                <w:b w:val="1"/>
                <w:bCs w:val="1"/>
                <w:color w:val="auto"/>
                <w:w w:val="90"/>
              </w:rPr>
              <w:t>Incorporation or Organization)</w:t>
            </w:r>
          </w:p>
        </w:tc>
        <w:tc>
          <w:tcPr>
            <w:tcW w:w="3820" w:type="dxa"/>
            <w:vAlign w:val="bottom"/>
          </w:tcPr>
          <w:p>
            <w:pPr>
              <w:jc w:val="center"/>
              <w:ind w:right="33"/>
              <w:spacing w:after="0"/>
              <w:rPr>
                <w:sz w:val="20"/>
                <w:szCs w:val="20"/>
                <w:color w:val="auto"/>
              </w:rPr>
            </w:pPr>
            <w:r>
              <w:rPr>
                <w:rFonts w:ascii="Arial" w:cs="Arial" w:eastAsia="Arial" w:hAnsi="Arial"/>
                <w:sz w:val="13"/>
                <w:szCs w:val="13"/>
                <w:b w:val="1"/>
                <w:bCs w:val="1"/>
                <w:color w:val="auto"/>
                <w:w w:val="85"/>
              </w:rPr>
              <w:t>Classification Code No.)</w:t>
            </w:r>
          </w:p>
        </w:tc>
        <w:tc>
          <w:tcPr>
            <w:tcW w:w="2160" w:type="dxa"/>
            <w:vAlign w:val="bottom"/>
          </w:tcPr>
          <w:p>
            <w:pPr>
              <w:jc w:val="center"/>
              <w:ind w:left="1113"/>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80"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4514 Cole Avenue, Suite 1600</w:t>
      </w:r>
    </w:p>
    <w:p>
      <w:pPr>
        <w:jc w:val="center"/>
        <w:ind w:right="-139"/>
        <w:spacing w:after="0" w:line="233" w:lineRule="auto"/>
        <w:rPr>
          <w:sz w:val="20"/>
          <w:szCs w:val="20"/>
          <w:color w:val="auto"/>
        </w:rPr>
      </w:pPr>
      <w:r>
        <w:rPr>
          <w:rFonts w:ascii="Arial" w:cs="Arial" w:eastAsia="Arial" w:hAnsi="Arial"/>
          <w:sz w:val="15"/>
          <w:szCs w:val="15"/>
          <w:b w:val="1"/>
          <w:bCs w:val="1"/>
          <w:color w:val="auto"/>
        </w:rPr>
        <w:t>Dallas, Texas 75205</w:t>
      </w:r>
    </w:p>
    <w:p>
      <w:pPr>
        <w:jc w:val="center"/>
        <w:ind w:right="-139"/>
        <w:spacing w:after="0" w:line="221" w:lineRule="auto"/>
        <w:rPr>
          <w:sz w:val="20"/>
          <w:szCs w:val="20"/>
          <w:color w:val="auto"/>
        </w:rPr>
      </w:pPr>
      <w:r>
        <w:rPr>
          <w:rFonts w:ascii="Arial" w:cs="Arial" w:eastAsia="Arial" w:hAnsi="Arial"/>
          <w:sz w:val="15"/>
          <w:szCs w:val="15"/>
          <w:b w:val="1"/>
          <w:bCs w:val="1"/>
          <w:color w:val="auto"/>
        </w:rPr>
        <w:t>(214) 865-7998</w:t>
      </w:r>
    </w:p>
    <w:p>
      <w:pPr>
        <w:jc w:val="center"/>
        <w:ind w:right="-1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Luke A. Sarsfield III</w:t>
      </w:r>
    </w:p>
    <w:p>
      <w:pPr>
        <w:jc w:val="center"/>
        <w:ind w:right="-139"/>
        <w:spacing w:after="0" w:line="233" w:lineRule="auto"/>
        <w:rPr>
          <w:sz w:val="20"/>
          <w:szCs w:val="20"/>
          <w:color w:val="auto"/>
        </w:rPr>
      </w:pPr>
      <w:r>
        <w:rPr>
          <w:rFonts w:ascii="Arial" w:cs="Arial" w:eastAsia="Arial" w:hAnsi="Arial"/>
          <w:sz w:val="15"/>
          <w:szCs w:val="15"/>
          <w:b w:val="1"/>
          <w:bCs w:val="1"/>
          <w:color w:val="auto"/>
        </w:rPr>
        <w:t>Chief Executive Officer</w:t>
      </w:r>
    </w:p>
    <w:p>
      <w:pPr>
        <w:jc w:val="center"/>
        <w:ind w:right="-139"/>
        <w:spacing w:after="0" w:line="225" w:lineRule="auto"/>
        <w:rPr>
          <w:sz w:val="20"/>
          <w:szCs w:val="20"/>
          <w:color w:val="auto"/>
        </w:rPr>
      </w:pPr>
      <w:r>
        <w:rPr>
          <w:rFonts w:ascii="Arial" w:cs="Arial" w:eastAsia="Arial" w:hAnsi="Arial"/>
          <w:sz w:val="15"/>
          <w:szCs w:val="15"/>
          <w:b w:val="1"/>
          <w:bCs w:val="1"/>
          <w:color w:val="auto"/>
        </w:rPr>
        <w:t>P10, Inc.</w:t>
      </w:r>
    </w:p>
    <w:p>
      <w:pPr>
        <w:jc w:val="center"/>
        <w:ind w:right="-139"/>
        <w:spacing w:after="0" w:line="225" w:lineRule="auto"/>
        <w:rPr>
          <w:sz w:val="20"/>
          <w:szCs w:val="20"/>
          <w:color w:val="auto"/>
        </w:rPr>
      </w:pPr>
      <w:r>
        <w:rPr>
          <w:rFonts w:ascii="Arial" w:cs="Arial" w:eastAsia="Arial" w:hAnsi="Arial"/>
          <w:sz w:val="15"/>
          <w:szCs w:val="15"/>
          <w:b w:val="1"/>
          <w:bCs w:val="1"/>
          <w:color w:val="auto"/>
        </w:rPr>
        <w:t>4514 Cole Avenue, Suite 1600</w:t>
      </w:r>
    </w:p>
    <w:p>
      <w:pPr>
        <w:jc w:val="center"/>
        <w:ind w:right="-139"/>
        <w:spacing w:after="0" w:line="226" w:lineRule="auto"/>
        <w:rPr>
          <w:sz w:val="20"/>
          <w:szCs w:val="20"/>
          <w:color w:val="auto"/>
        </w:rPr>
      </w:pPr>
      <w:r>
        <w:rPr>
          <w:rFonts w:ascii="Arial" w:cs="Arial" w:eastAsia="Arial" w:hAnsi="Arial"/>
          <w:sz w:val="15"/>
          <w:szCs w:val="15"/>
          <w:b w:val="1"/>
          <w:bCs w:val="1"/>
          <w:color w:val="auto"/>
        </w:rPr>
        <w:t>Dallas, Texas 75205</w:t>
      </w:r>
    </w:p>
    <w:p>
      <w:pPr>
        <w:jc w:val="center"/>
        <w:ind w:right="-139"/>
        <w:spacing w:after="0" w:line="221" w:lineRule="auto"/>
        <w:rPr>
          <w:sz w:val="20"/>
          <w:szCs w:val="20"/>
          <w:color w:val="auto"/>
        </w:rPr>
      </w:pPr>
      <w:r>
        <w:rPr>
          <w:rFonts w:ascii="Arial" w:cs="Arial" w:eastAsia="Arial" w:hAnsi="Arial"/>
          <w:sz w:val="15"/>
          <w:szCs w:val="15"/>
          <w:b w:val="1"/>
          <w:bCs w:val="1"/>
          <w:color w:val="auto"/>
        </w:rPr>
        <w:t>(214) 865-7998</w:t>
      </w:r>
    </w:p>
    <w:p>
      <w:pPr>
        <w:jc w:val="center"/>
        <w:ind w:right="-1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7"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With copies to:</w:t>
      </w:r>
    </w:p>
    <w:p>
      <w:pPr>
        <w:spacing w:after="0" w:line="67"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Adam Finerman, Esq.</w:t>
      </w:r>
    </w:p>
    <w:p>
      <w:pPr>
        <w:jc w:val="center"/>
        <w:ind w:right="-139"/>
        <w:spacing w:after="0" w:line="233" w:lineRule="auto"/>
        <w:rPr>
          <w:sz w:val="20"/>
          <w:szCs w:val="20"/>
          <w:color w:val="auto"/>
        </w:rPr>
      </w:pPr>
      <w:r>
        <w:rPr>
          <w:rFonts w:ascii="Arial" w:cs="Arial" w:eastAsia="Arial" w:hAnsi="Arial"/>
          <w:sz w:val="15"/>
          <w:szCs w:val="15"/>
          <w:b w:val="1"/>
          <w:bCs w:val="1"/>
          <w:color w:val="auto"/>
        </w:rPr>
        <w:t>Baker &amp; Hostetler LLP</w:t>
      </w:r>
    </w:p>
    <w:p>
      <w:pPr>
        <w:jc w:val="center"/>
        <w:ind w:right="-139"/>
        <w:spacing w:after="0" w:line="225" w:lineRule="auto"/>
        <w:rPr>
          <w:sz w:val="20"/>
          <w:szCs w:val="20"/>
          <w:color w:val="auto"/>
        </w:rPr>
      </w:pPr>
      <w:r>
        <w:rPr>
          <w:rFonts w:ascii="Arial" w:cs="Arial" w:eastAsia="Arial" w:hAnsi="Arial"/>
          <w:sz w:val="15"/>
          <w:szCs w:val="15"/>
          <w:b w:val="1"/>
          <w:bCs w:val="1"/>
          <w:color w:val="auto"/>
        </w:rPr>
        <w:t>45 Rockefeller Plaza</w:t>
      </w:r>
    </w:p>
    <w:p>
      <w:pPr>
        <w:jc w:val="center"/>
        <w:ind w:right="-139"/>
        <w:spacing w:after="0" w:line="225" w:lineRule="auto"/>
        <w:rPr>
          <w:sz w:val="20"/>
          <w:szCs w:val="20"/>
          <w:color w:val="auto"/>
        </w:rPr>
      </w:pPr>
      <w:r>
        <w:rPr>
          <w:rFonts w:ascii="Arial" w:cs="Arial" w:eastAsia="Arial" w:hAnsi="Arial"/>
          <w:sz w:val="15"/>
          <w:szCs w:val="15"/>
          <w:b w:val="1"/>
          <w:bCs w:val="1"/>
          <w:color w:val="auto"/>
        </w:rPr>
        <w:t>New York, NY 10111</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Tel: (216) 589-4233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4"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the effective date of this Registration Statement.</w:t>
      </w:r>
    </w:p>
    <w:p>
      <w:pPr>
        <w:spacing w:after="0" w:line="62" w:lineRule="exact"/>
        <w:rPr>
          <w:sz w:val="24"/>
          <w:szCs w:val="24"/>
          <w:color w:val="auto"/>
        </w:rPr>
      </w:pPr>
    </w:p>
    <w:p>
      <w:pPr>
        <w:ind w:left="12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37" w:lineRule="exact"/>
        <w:rPr>
          <w:sz w:val="24"/>
          <w:szCs w:val="24"/>
          <w:color w:val="auto"/>
        </w:rPr>
      </w:pPr>
    </w:p>
    <w:p>
      <w:pPr>
        <w:ind w:left="120" w:right="60"/>
        <w:spacing w:after="0" w:line="197"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40" w:lineRule="exact"/>
        <w:rPr>
          <w:sz w:val="24"/>
          <w:szCs w:val="24"/>
          <w:color w:val="auto"/>
        </w:rPr>
      </w:pPr>
    </w:p>
    <w:p>
      <w:pPr>
        <w:ind w:left="120" w:right="360"/>
        <w:spacing w:after="0" w:line="197"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3" w:lineRule="exact"/>
        <w:rPr>
          <w:sz w:val="24"/>
          <w:szCs w:val="24"/>
          <w:color w:val="auto"/>
        </w:rPr>
      </w:pPr>
    </w:p>
    <w:p>
      <w:pPr>
        <w:ind w:left="120" w:right="20"/>
        <w:spacing w:after="0" w:line="197"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3" w:lineRule="exact"/>
        <w:rPr>
          <w:sz w:val="24"/>
          <w:szCs w:val="24"/>
          <w:color w:val="auto"/>
        </w:rPr>
      </w:pPr>
    </w:p>
    <w:p>
      <w:pPr>
        <w:ind w:left="120" w:right="320"/>
        <w:spacing w:after="0" w:line="197"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40" w:lineRule="exact"/>
        <w:rPr>
          <w:sz w:val="24"/>
          <w:szCs w:val="24"/>
          <w:color w:val="auto"/>
        </w:rPr>
      </w:pPr>
    </w:p>
    <w:p>
      <w:pPr>
        <w:ind w:left="120" w:right="540"/>
        <w:spacing w:after="0" w:line="197"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53"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220"/>
              <w:spacing w:after="0"/>
              <w:rPr>
                <w:sz w:val="20"/>
                <w:szCs w:val="20"/>
                <w:color w:val="auto"/>
              </w:rPr>
            </w:pPr>
            <w:r>
              <w:rPr>
                <w:rFonts w:ascii="Arial" w:cs="Arial" w:eastAsia="Arial" w:hAnsi="Arial"/>
                <w:sz w:val="15"/>
                <w:szCs w:val="15"/>
                <w:color w:val="auto"/>
              </w:rPr>
              <w:t>Accelerated filer</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6"/>
        </w:trPr>
        <w:tc>
          <w:tcPr>
            <w:tcW w:w="1620" w:type="dxa"/>
            <w:vAlign w:val="bottom"/>
          </w:tcPr>
          <w:p>
            <w:pPr>
              <w:spacing w:after="0"/>
              <w:rPr>
                <w:sz w:val="20"/>
                <w:szCs w:val="20"/>
                <w:color w:val="auto"/>
              </w:rPr>
            </w:pPr>
            <w:r>
              <w:rPr>
                <w:rFonts w:ascii="Arial" w:cs="Arial" w:eastAsia="Arial" w:hAnsi="Arial"/>
                <w:sz w:val="15"/>
                <w:szCs w:val="15"/>
                <w:color w:val="auto"/>
              </w:rPr>
              <w:t>Non-accelerated filer</w:t>
            </w:r>
          </w:p>
        </w:tc>
        <w:tc>
          <w:tcPr>
            <w:tcW w:w="36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3220"/>
              <w:spacing w:after="0"/>
              <w:rPr>
                <w:sz w:val="20"/>
                <w:szCs w:val="20"/>
                <w:color w:val="auto"/>
              </w:rPr>
            </w:pPr>
            <w:r>
              <w:rPr>
                <w:rFonts w:ascii="Arial" w:cs="Arial" w:eastAsia="Arial" w:hAnsi="Arial"/>
                <w:sz w:val="15"/>
                <w:szCs w:val="15"/>
                <w:color w:val="auto"/>
              </w:rPr>
              <w:t>Smaller reporting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220" w:type="dxa"/>
            <w:vAlign w:val="bottom"/>
          </w:tcPr>
          <w:p>
            <w:pPr>
              <w:ind w:left="3220"/>
              <w:spacing w:after="0"/>
              <w:rPr>
                <w:sz w:val="20"/>
                <w:szCs w:val="20"/>
                <w:color w:val="auto"/>
              </w:rPr>
            </w:pPr>
            <w:r>
              <w:rPr>
                <w:rFonts w:ascii="Arial" w:cs="Arial" w:eastAsia="Arial" w:hAnsi="Arial"/>
                <w:sz w:val="15"/>
                <w:szCs w:val="15"/>
                <w:color w:val="auto"/>
              </w:rPr>
              <w:t>Emerging growth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2" w:lineRule="exact"/>
        <w:rPr>
          <w:sz w:val="24"/>
          <w:szCs w:val="24"/>
          <w:color w:val="auto"/>
        </w:rPr>
      </w:pPr>
    </w:p>
    <w:p>
      <w:pPr>
        <w:ind w:left="120" w:right="36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9" w:lineRule="exact"/>
        <w:rPr>
          <w:sz w:val="24"/>
          <w:szCs w:val="24"/>
          <w:color w:val="auto"/>
        </w:rPr>
      </w:pPr>
    </w:p>
    <w:p>
      <w:pPr>
        <w:jc w:val="both"/>
        <w:ind w:left="120" w:right="160"/>
        <w:spacing w:after="0" w:line="266" w:lineRule="auto"/>
        <w:rPr>
          <w:sz w:val="20"/>
          <w:szCs w:val="20"/>
          <w:color w:val="auto"/>
        </w:rPr>
      </w:pPr>
      <w:r>
        <w:rPr>
          <w:rFonts w:ascii="Arial" w:cs="Arial" w:eastAsia="Arial" w:hAnsi="Arial"/>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This registration statement on Form S-3 is being filed to satisfy our obligations to register the resale of Company securities held by Robert Alpert (“Mr. Alpert”), C. Clark Webb (“Mr. Webb”), 210/P10 Acquisition Partners LLC, 210 Capital, LLC, Covenant RHA Partners, L.P., CCW/LAW Holdings, LLC, or RHA Investments, Inc., as set forth in the Amended and Restated Employment Agreement that P10 Intermediate Holdings, LLC (collectively, the “Alpert/Webb Selling Stockholders”) entered into as of May 12, 2023 with each of Mr. Alpert and Mr. Webb (the “Employment Agreements”).</w:t>
      </w:r>
    </w:p>
    <w:p>
      <w:pPr>
        <w:spacing w:after="0" w:line="18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Employment Agreements required us to file this registration statement with respect to the resale by Mr. Alpert, Mr. Webb and their affiliates of shares of Class A common stock, as well as the shares of Class A common stock issuable upon conversion or exercise of Class B common stock, restricted stock units or stock options (the “Conversion Shares”), that had been issued to Mr. Alpert, Mr. Webb or their affiliates as of the filing date.</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to the shares beneficially held by the Alpert/Webb Selling Stockholders, the Company is also registering certain additional shares beneficially owned directly or indirectly by Scott Gwilliam, a director, and Kent P. Dauten, and certain of their affiliates (together with the Alpert/Webb Selling Stockholders, the “Selling Stockholders”).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registration of shares of Class A common stock, including those issuable upon conversion, vesting or exercise, and the Conversion Shares beneficially held by the Selling Stockholders for resale should not be construed as reflecting the present intention by the Selling Stockholders to sell any such shares and it is not an offering of any shares by the Company.</w:t>
      </w:r>
    </w:p>
    <w:p>
      <w:pPr>
        <w:sectPr>
          <w:pgSz w:w="11900" w:h="16838" w:orient="portrait"/>
          <w:cols w:equalWidth="0" w:num="1">
            <w:col w:w="11080"/>
          </w:cols>
          <w:pgMar w:left="320" w:top="459"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P10,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22,243,654</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Shares of</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by Selling</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This prospectus relates to the resale from time to time by the selling stockholders named in this prospectus (or their successors in interest) (the “Selling Stockholders”) of up to 22,243,654 shares of our Class A common stock, par value $0.001 per share (“Class A common stock”), which includes: (i) 7,463,516 shares of Class A common stock held directly or indirectly by certain Selling Stockholders; (ii) up to 13,798,583 shares of Class A common stock issuable upon conversion of shares of our Class B common stock, par value $0.001 per share (“Class B common stock”), held directly or indirectly by certain Selling Stockholders; (iii) up to 118,280 shares of Class A common stock issuable upon vesting and settlement of restricted stock units held directly or indirectly by certain Selling Stockholders; (iv) up to 13,089 shares of Class A common stock that were issued as shares of restricted stock to a Selling Stockholder and remain subject to vesting; and (v) up to 850,186 shares of Class A common stock issuable upon exercise of stock options held directly or indirectly by certain Selling Stockholders. We will not receive any proceeds from the sale of our securities by the Selling Stockholders. See “</w:t>
      </w:r>
      <w:r>
        <w:rPr>
          <w:rFonts w:ascii="Arial" w:cs="Arial" w:eastAsia="Arial" w:hAnsi="Arial"/>
          <w:sz w:val="17"/>
          <w:szCs w:val="17"/>
          <w:i w:val="1"/>
          <w:iCs w:val="1"/>
          <w:color w:val="auto"/>
        </w:rPr>
        <w:t>Selling Stockholders</w:t>
      </w:r>
      <w:r>
        <w:rPr>
          <w:rFonts w:ascii="Arial" w:cs="Arial" w:eastAsia="Arial" w:hAnsi="Arial"/>
          <w:sz w:val="17"/>
          <w:szCs w:val="17"/>
          <w:color w:val="auto"/>
        </w:rPr>
        <w:t>.”</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bear all of the registration expenses incurred in connection with the registration of these shares of Class A common stock. The Selling Stockholders will pay discounts, commissions, fees of underwriters, selling brokers or dealer managers and similar expenses, if any, incurred for the sale of these shares of Class A common stock.</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Selling Stockholders identified in this prospectus may offer the shares from time to time on terms to be determined at the time of sale through ordinary brokerage transactions or through any other means described in this prospectus under the caption “Plan of Distribution.” The shares may be sold at fixed prices, at prevailing market prices, at prices related to prevailing market prices or at negotiated prices. For more information on the Selling Stockholders, see the section entitled “</w:t>
      </w:r>
      <w:r>
        <w:rPr>
          <w:rFonts w:ascii="Arial" w:cs="Arial" w:eastAsia="Arial" w:hAnsi="Arial"/>
          <w:sz w:val="18"/>
          <w:szCs w:val="18"/>
          <w:i w:val="1"/>
          <w:iCs w:val="1"/>
          <w:color w:val="auto"/>
        </w:rPr>
        <w:t>Selling Stockholders</w:t>
      </w:r>
      <w:r>
        <w:rPr>
          <w:rFonts w:ascii="Arial" w:cs="Arial" w:eastAsia="Arial" w:hAnsi="Arial"/>
          <w:sz w:val="18"/>
          <w:szCs w:val="18"/>
          <w:color w:val="auto"/>
        </w:rPr>
        <w:t>.”</w:t>
      </w:r>
    </w:p>
    <w:p>
      <w:pPr>
        <w:spacing w:after="0" w:line="18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may amend or supplement this prospectus from time to time by filing amendments or supplements as required. You should read the entire prospectus and any amendments or supplements carefully before you make your investment decision. Our Class A common stock is listed on the New York Stock Exchange (“NYSE”) under the symbol “PX”. On November 17, 2023, the last reported sales price of our Class A common stock was $9.18 per share. We have two classes of common stock: Class A common stock and Class B common stock. Each share of Class A common stock entitles its holder to one vote per share. Each share of Class B common stock entitles its holder to ten votes per share.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9"/>
          <w:szCs w:val="19"/>
          <w:b w:val="1"/>
          <w:bCs w:val="1"/>
          <w:color w:val="auto"/>
        </w:rPr>
        <w:t>Investing in our securities involves a high degree of risk. See “</w:t>
      </w:r>
      <w:r>
        <w:rPr>
          <w:rFonts w:ascii="Arial" w:cs="Arial" w:eastAsia="Arial" w:hAnsi="Arial"/>
          <w:sz w:val="19"/>
          <w:szCs w:val="19"/>
          <w:b w:val="1"/>
          <w:bCs w:val="1"/>
          <w:i w:val="1"/>
          <w:iCs w:val="1"/>
          <w:u w:val="single" w:color="auto"/>
          <w:color w:val="0000EE"/>
        </w:rPr>
        <w:t>Risk Factors</w:t>
      </w:r>
      <w:r>
        <w:rPr>
          <w:rFonts w:ascii="Arial" w:cs="Arial" w:eastAsia="Arial" w:hAnsi="Arial"/>
          <w:sz w:val="19"/>
          <w:szCs w:val="19"/>
          <w:b w:val="1"/>
          <w:bCs w:val="1"/>
          <w:color w:val="auto"/>
        </w:rPr>
        <w:t>” beginning on page 5 of this prospectus and page 35 of our Annual Report on Form 10-K for the year ended December 31, 2022, incorporated by reference herein as well as the other information contained in or incorporated by reference in this prospectus or in any accompanying prospectus supplement before making a decision to invest in our securities.</w:t>
      </w:r>
    </w:p>
    <w:p>
      <w:pPr>
        <w:spacing w:after="0" w:line="145" w:lineRule="exact"/>
        <w:rPr>
          <w:sz w:val="20"/>
          <w:szCs w:val="20"/>
          <w:color w:val="auto"/>
        </w:rPr>
      </w:pPr>
    </w:p>
    <w:p>
      <w:pPr>
        <w:ind w:left="120" w:right="40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170815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November 20, 2023.</w:t>
      </w:r>
    </w:p>
    <w:p>
      <w:pPr>
        <w:sectPr>
          <w:pgSz w:w="11900" w:h="16838" w:orient="portrait"/>
          <w:cols w:equalWidth="0" w:num="1">
            <w:col w:w="11100"/>
          </w:cols>
          <w:pgMar w:left="320" w:top="459"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80" w:type="dxa"/>
            <w:vAlign w:val="bottom"/>
            <w:gridSpan w:val="18"/>
          </w:tcPr>
          <w:p>
            <w:pPr>
              <w:spacing w:after="0"/>
              <w:rPr>
                <w:sz w:val="20"/>
                <w:szCs w:val="20"/>
                <w:color w:val="auto"/>
              </w:rPr>
            </w:pPr>
            <w:r>
              <w:rPr>
                <w:rFonts w:ascii="Arial" w:cs="Arial" w:eastAsia="Arial" w:hAnsi="Arial"/>
                <w:sz w:val="18"/>
                <w:szCs w:val="18"/>
                <w:b w:val="1"/>
                <w:bCs w:val="1"/>
                <w:color w:val="0000EE"/>
              </w:rPr>
              <w:t>Table of Contents</w:t>
            </w:r>
          </w:p>
        </w:tc>
        <w:tc>
          <w:tcPr>
            <w:tcW w:w="6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560" w:type="dxa"/>
            <w:vAlign w:val="bottom"/>
            <w:gridSpan w:val="5"/>
          </w:tcPr>
          <w:p>
            <w:pPr>
              <w:ind w:left="7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60" w:type="dxa"/>
            <w:vAlign w:val="bottom"/>
            <w:gridSpan w:val="17"/>
          </w:tcPr>
          <w:p>
            <w:pPr>
              <w:spacing w:after="0"/>
              <w:rPr>
                <w:sz w:val="20"/>
                <w:szCs w:val="20"/>
                <w:color w:val="auto"/>
              </w:rPr>
            </w:pPr>
            <w:r>
              <w:rPr>
                <w:rFonts w:ascii="Arial" w:cs="Arial" w:eastAsia="Arial" w:hAnsi="Arial"/>
                <w:sz w:val="18"/>
                <w:szCs w:val="18"/>
                <w:color w:val="0000EE"/>
              </w:rPr>
              <w:t>ABOUT THIS PROSPECTUS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458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SUMMARY</w:t>
            </w:r>
          </w:p>
        </w:tc>
        <w:tc>
          <w:tcPr>
            <w:tcW w:w="944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10360" w:type="dxa"/>
            <w:vAlign w:val="bottom"/>
            <w:gridSpan w:val="17"/>
          </w:tcPr>
          <w:p>
            <w:pPr>
              <w:spacing w:after="0" w:line="196" w:lineRule="exact"/>
              <w:rPr>
                <w:sz w:val="20"/>
                <w:szCs w:val="20"/>
                <w:color w:val="auto"/>
              </w:rPr>
            </w:pPr>
            <w:r>
              <w:rPr>
                <w:rFonts w:ascii="Arial" w:cs="Arial" w:eastAsia="Arial" w:hAnsi="Arial"/>
                <w:sz w:val="18"/>
                <w:szCs w:val="18"/>
                <w:color w:val="0000EE"/>
              </w:rPr>
              <w:t>RISK FACTORS</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USE OF PROCEEDS</w:t>
            </w:r>
          </w:p>
        </w:tc>
        <w:tc>
          <w:tcPr>
            <w:tcW w:w="876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DESCRIPTION OF CAPITAL STOCK</w:t>
            </w:r>
          </w:p>
        </w:tc>
        <w:tc>
          <w:tcPr>
            <w:tcW w:w="748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99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ANTI-TAKEOVER EFFECTS OF PROVISIONS OF DELAWARE LAW AND OUR AMENDED AND RESTATED CERTIFICATE OF</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6"/>
              </w:rPr>
              <w:t>INCORPORATION AND BYLAWS</w:t>
            </w:r>
          </w:p>
        </w:tc>
        <w:tc>
          <w:tcPr>
            <w:tcW w:w="750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8"/>
              </w:rPr>
              <w:t>LIMITATIONS ON LIABILITY AND INDEMNIFICATION OF OFFICERS AND DIRECTORS</w:t>
            </w:r>
          </w:p>
        </w:tc>
        <w:tc>
          <w:tcPr>
            <w:tcW w:w="328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9"/>
              </w:rPr>
              <w:t>DIVIDEND POLICY</w:t>
            </w:r>
          </w:p>
        </w:tc>
        <w:tc>
          <w:tcPr>
            <w:tcW w:w="878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10360" w:type="dxa"/>
            <w:vAlign w:val="bottom"/>
            <w:gridSpan w:val="17"/>
          </w:tcPr>
          <w:p>
            <w:pPr>
              <w:spacing w:after="0" w:line="196" w:lineRule="exact"/>
              <w:rPr>
                <w:sz w:val="20"/>
                <w:szCs w:val="20"/>
                <w:color w:val="auto"/>
              </w:rPr>
            </w:pPr>
            <w:r>
              <w:rPr>
                <w:rFonts w:ascii="Arial" w:cs="Arial" w:eastAsia="Arial" w:hAnsi="Arial"/>
                <w:sz w:val="18"/>
                <w:szCs w:val="18"/>
                <w:color w:val="0000EE"/>
              </w:rPr>
              <w:t>SELLING STOCKHOLDERS</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PLAN OF DISTRIBUTION</w:t>
            </w:r>
          </w:p>
        </w:tc>
        <w:tc>
          <w:tcPr>
            <w:tcW w:w="81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3"/>
          </w:tcPr>
          <w:p>
            <w:pPr>
              <w:spacing w:after="0"/>
              <w:rPr>
                <w:sz w:val="17"/>
                <w:szCs w:val="17"/>
                <w:color w:val="auto"/>
              </w:rPr>
            </w:pPr>
          </w:p>
        </w:tc>
        <w:tc>
          <w:tcPr>
            <w:tcW w:w="832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0360" w:type="dxa"/>
            <w:vAlign w:val="bottom"/>
            <w:gridSpan w:val="17"/>
          </w:tcPr>
          <w:p>
            <w:pPr>
              <w:spacing w:after="0" w:line="196" w:lineRule="exact"/>
              <w:rPr>
                <w:sz w:val="20"/>
                <w:szCs w:val="20"/>
                <w:color w:val="auto"/>
              </w:rPr>
            </w:pPr>
            <w:r>
              <w:rPr>
                <w:rFonts w:ascii="Arial" w:cs="Arial" w:eastAsia="Arial" w:hAnsi="Arial"/>
                <w:sz w:val="18"/>
                <w:szCs w:val="18"/>
                <w:color w:val="0000EE"/>
              </w:rPr>
              <w:t>EXPERTS</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60" w:type="dxa"/>
            <w:vAlign w:val="bottom"/>
            <w:gridSpan w:val="1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800" w:type="dxa"/>
            <w:vAlign w:val="bottom"/>
            <w:gridSpan w:val="1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51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(the “SEC”) using the “shelf” registration process. Under this shelf registration process, the Selling Stockholders (or their pledgees, donees, transferees or other successors-in-interest) may, from time to time, sell or otherwise dispose of the securities described in this prospectus in one or more offerings. We will not receive any proceeds from the sale by such Selling Stockholders of the securities offered by them described in this prospectus.</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prospectus provides you with a general description of the shares of Class A common stock that the Selling Stockholders may sell or otherwise dispose of. You should rely only on the information provided in this prospectus, as well as the information incorporated by reference into this prospectus and any applicable prospectus supplement. If there is any inconsistency between the information in this prospectus and any prospectus supplement, you should rely on the information provided in the prospectus supplement. Neither we nor the Selling Stockholders have authorized anyone to provide you with different information. Neither we nor the Selling Stockholders have authorized anyone to provide you with any information or to make any representations other than those contained in this prospectus or any applicable prospectus supplement. Neither we nor the Selling Stockholders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Stockholders will make an offer to sell these securities in any jurisdiction where the offer or sale is not permitted.</w:t>
      </w:r>
    </w:p>
    <w:p>
      <w:pPr>
        <w:spacing w:after="0" w:line="18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information about the distribution of securities offered, please see “</w:t>
      </w:r>
      <w:r>
        <w:rPr>
          <w:rFonts w:ascii="Arial" w:cs="Arial" w:eastAsia="Arial" w:hAnsi="Arial"/>
          <w:sz w:val="16"/>
          <w:szCs w:val="16"/>
          <w:i w:val="1"/>
          <w:iCs w:val="1"/>
          <w:color w:val="auto"/>
        </w:rPr>
        <w:t>Plan of Distribution</w:t>
      </w:r>
      <w:r>
        <w:rPr>
          <w:rFonts w:ascii="Arial" w:cs="Arial" w:eastAsia="Arial" w:hAnsi="Arial"/>
          <w:sz w:val="16"/>
          <w:szCs w:val="16"/>
          <w:color w:val="auto"/>
        </w:rPr>
        <w:t>” below. You should carefully read both this prospectus and any prospectus supplement, together with the additional information described in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Incorporation of Certain Information by Reference</w:t>
      </w:r>
      <w:r>
        <w:rPr>
          <w:rFonts w:ascii="Arial" w:cs="Arial" w:eastAsia="Arial" w:hAnsi="Arial"/>
          <w:sz w:val="16"/>
          <w:szCs w:val="16"/>
          <w:color w:val="auto"/>
        </w:rPr>
        <w:t>” before you make any investment decisions regarding the securities. You may obtain the information incorporated by reference into this prospectus without charge by following the instructions under the headings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and “</w:t>
      </w:r>
      <w:r>
        <w:rPr>
          <w:rFonts w:ascii="Arial" w:cs="Arial" w:eastAsia="Arial" w:hAnsi="Arial"/>
          <w:sz w:val="16"/>
          <w:szCs w:val="16"/>
          <w:i w:val="1"/>
          <w:iCs w:val="1"/>
          <w:color w:val="auto"/>
        </w:rPr>
        <w:t>Incorporation of Certain Information by Reference.</w:t>
      </w:r>
      <w:r>
        <w:rPr>
          <w:rFonts w:ascii="Arial" w:cs="Arial" w:eastAsia="Arial" w:hAnsi="Arial"/>
          <w:sz w:val="16"/>
          <w:szCs w:val="16"/>
          <w:color w:val="auto"/>
        </w:rPr>
        <w:t>”</w:t>
      </w:r>
    </w:p>
    <w:p>
      <w:pPr>
        <w:spacing w:after="0" w:line="16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the Company and the terms of the offering and the securities, including the merits and risks involved.</w:t>
      </w:r>
    </w:p>
    <w:p>
      <w:pPr>
        <w:spacing w:after="0" w:line="149" w:lineRule="exact"/>
        <w:rPr>
          <w:sz w:val="20"/>
          <w:szCs w:val="20"/>
          <w:color w:val="auto"/>
        </w:rPr>
      </w:pPr>
    </w:p>
    <w:p>
      <w:pPr>
        <w:ind w:left="120" w:right="580" w:firstLine="440"/>
        <w:spacing w:after="0" w:line="286" w:lineRule="auto"/>
        <w:rPr>
          <w:sz w:val="20"/>
          <w:szCs w:val="20"/>
          <w:color w:val="auto"/>
        </w:rPr>
      </w:pPr>
      <w:r>
        <w:rPr>
          <w:rFonts w:ascii="Arial" w:cs="Arial" w:eastAsia="Arial" w:hAnsi="Arial"/>
          <w:sz w:val="17"/>
          <w:szCs w:val="17"/>
          <w:color w:val="auto"/>
        </w:rPr>
        <w:t>We are not making any representation to any purchasers of the securities regarding the legality of an investment in the securities by such purchasers. You should not consider any information in this prospectus to be legal, business or tax advice. You should consult your own attorney, business advisor or tax advisor for legal, business and tax advice regarding an investment in the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the context indicates otherwise, references in this prospectus to the “Company,” “P10,” “we,” “us,” “our” and similar terms refer to P10,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This prospectus, any prospectus supplement and any related free writing prospectus, including the information incorporated by reference herein and therein, contain or may contain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these forward-looking statements. Any forward-looking statements contained in this prospectus are based upon our historical 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or incorporated by reference under “</w:t>
      </w:r>
      <w:r>
        <w:rPr>
          <w:rFonts w:ascii="Arial" w:cs="Arial" w:eastAsia="Arial" w:hAnsi="Arial"/>
          <w:sz w:val="17"/>
          <w:szCs w:val="17"/>
          <w:i w:val="1"/>
          <w:iCs w:val="1"/>
          <w:color w:val="auto"/>
        </w:rPr>
        <w:t>Risk Factors</w:t>
      </w:r>
      <w:r>
        <w:rPr>
          <w:rFonts w:ascii="Arial" w:cs="Arial" w:eastAsia="Arial" w:hAnsi="Arial"/>
          <w:sz w:val="17"/>
          <w:szCs w:val="17"/>
          <w:color w:val="auto"/>
        </w:rPr>
        <w:t>”. These factors should not be construed as exhaustive and should be read in conjunction with the other cautionary statements that are included or incorporated by reference in this prospectus or any applicable prospectus supplement.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or future developments, except as otherwise required by law.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00" w:firstLine="426"/>
        <w:spacing w:after="0" w:line="290" w:lineRule="auto"/>
        <w:rPr>
          <w:sz w:val="20"/>
          <w:szCs w:val="20"/>
          <w:color w:val="auto"/>
        </w:rPr>
      </w:pPr>
      <w:r>
        <w:rPr>
          <w:rFonts w:ascii="Arial" w:cs="Arial" w:eastAsia="Arial" w:hAnsi="Arial"/>
          <w:sz w:val="16"/>
          <w:szCs w:val="16"/>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165"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Our revenue is composed almost entirely of recurring management and advisory fees, with the vast majority of fees earned on committed capital that is typically subject to ten- to fifteen-year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w:t>
      </w:r>
    </w:p>
    <w:p>
      <w:pPr>
        <w:spacing w:after="0" w:line="15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2, LLC and RCP Advisors 3, LLC (collectively, “RCP Advisors”) and Bonaccord Capital Partners, LLC (“Bonaccord”), our </w:t>
      </w:r>
      <w:r>
        <w:rPr>
          <w:rFonts w:ascii="Arial" w:cs="Arial" w:eastAsia="Arial" w:hAnsi="Arial"/>
          <w:sz w:val="17"/>
          <w:szCs w:val="17"/>
          <w:i w:val="1"/>
          <w:iCs w:val="1"/>
          <w:color w:val="auto"/>
        </w:rPr>
        <w:t xml:space="preserve">Private Equity </w:t>
      </w:r>
      <w:r>
        <w:rPr>
          <w:rFonts w:ascii="Arial" w:cs="Arial" w:eastAsia="Arial" w:hAnsi="Arial"/>
          <w:sz w:val="17"/>
          <w:szCs w:val="17"/>
          <w:color w:val="auto"/>
        </w:rPr>
        <w:t>solutions; TrueBridge Capital Partners LLC (“TrueBridge”), our</w:t>
      </w:r>
      <w:r>
        <w:rPr>
          <w:rFonts w:ascii="Arial" w:cs="Arial" w:eastAsia="Arial" w:hAnsi="Arial"/>
          <w:sz w:val="17"/>
          <w:szCs w:val="17"/>
          <w:i w:val="1"/>
          <w:iCs w:val="1"/>
          <w:color w:val="auto"/>
        </w:rPr>
        <w:t xml:space="preserve"> Venture Capital </w:t>
      </w:r>
      <w:r>
        <w:rPr>
          <w:rFonts w:ascii="Arial" w:cs="Arial" w:eastAsia="Arial" w:hAnsi="Arial"/>
          <w:sz w:val="17"/>
          <w:szCs w:val="17"/>
          <w:color w:val="auto"/>
        </w:rPr>
        <w:t>solution; Enhanced Capital Group, LLC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(“Enhanced”), our </w:t>
      </w:r>
      <w:r>
        <w:rPr>
          <w:rFonts w:ascii="Arial" w:cs="Arial" w:eastAsia="Arial" w:hAnsi="Arial"/>
          <w:sz w:val="17"/>
          <w:szCs w:val="17"/>
          <w:i w:val="1"/>
          <w:iCs w:val="1"/>
          <w:color w:val="auto"/>
        </w:rPr>
        <w:t>Impact Investing</w:t>
      </w:r>
      <w:r>
        <w:rPr>
          <w:rFonts w:ascii="Arial" w:cs="Arial" w:eastAsia="Arial" w:hAnsi="Arial"/>
          <w:sz w:val="17"/>
          <w:szCs w:val="17"/>
          <w:color w:val="auto"/>
        </w:rPr>
        <w:t xml:space="preserve"> solution; Five Points Capital, Inc. (“Five Points”) and Hark Capital Advisors, LLC (“Hark”), and Westech Investment Advisors LLC (“WTI”), our </w:t>
      </w:r>
      <w:r>
        <w:rPr>
          <w:rFonts w:ascii="Arial" w:cs="Arial" w:eastAsia="Arial" w:hAnsi="Arial"/>
          <w:sz w:val="17"/>
          <w:szCs w:val="17"/>
          <w:i w:val="1"/>
          <w:iCs w:val="1"/>
          <w:color w:val="auto"/>
        </w:rPr>
        <w:t>Private Credit</w:t>
      </w:r>
      <w:r>
        <w:rPr>
          <w:rFonts w:ascii="Arial" w:cs="Arial" w:eastAsia="Arial" w:hAnsi="Arial"/>
          <w:sz w:val="17"/>
          <w:szCs w:val="17"/>
          <w:color w:val="auto"/>
        </w:rPr>
        <w:t xml:space="preserve"> solutions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prospectus, we are pursuing additional acquisitions and are in discussions with certain target companies, however the Company does not currently have any agreements or commitments with respect to any acquisitions.</w:t>
      </w:r>
    </w:p>
    <w:p>
      <w:pPr>
        <w:spacing w:after="0" w:line="179" w:lineRule="exact"/>
        <w:rPr>
          <w:sz w:val="20"/>
          <w:szCs w:val="20"/>
          <w:color w:val="auto"/>
        </w:rPr>
      </w:pPr>
    </w:p>
    <w:p>
      <w:pPr>
        <w:ind w:left="300" w:right="140" w:firstLine="426"/>
        <w:spacing w:after="0" w:line="275" w:lineRule="auto"/>
        <w:rPr>
          <w:sz w:val="20"/>
          <w:szCs w:val="20"/>
          <w:color w:val="auto"/>
        </w:rPr>
      </w:pPr>
      <w:r>
        <w:rPr>
          <w:rFonts w:ascii="Arial" w:cs="Arial" w:eastAsia="Arial" w:hAnsi="Arial"/>
          <w:sz w:val="17"/>
          <w:szCs w:val="17"/>
          <w:color w:val="auto"/>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w:t>
      </w: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56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556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301" w:lineRule="auto"/>
        <w:rPr>
          <w:sz w:val="20"/>
          <w:szCs w:val="20"/>
          <w:color w:val="auto"/>
        </w:rPr>
      </w:pPr>
      <w:r>
        <w:rPr>
          <w:rFonts w:ascii="Arial" w:cs="Arial" w:eastAsia="Arial" w:hAnsi="Arial"/>
          <w:sz w:val="16"/>
          <w:szCs w:val="16"/>
          <w:color w:val="auto"/>
        </w:rPr>
        <w:t>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57" w:lineRule="exact"/>
        <w:rPr>
          <w:sz w:val="20"/>
          <w:szCs w:val="20"/>
          <w:color w:val="auto"/>
        </w:rPr>
      </w:pPr>
    </w:p>
    <w:p>
      <w:pPr>
        <w:ind w:left="300" w:right="60" w:firstLine="426"/>
        <w:spacing w:after="0" w:line="301" w:lineRule="auto"/>
        <w:rPr>
          <w:sz w:val="20"/>
          <w:szCs w:val="20"/>
          <w:color w:val="auto"/>
        </w:rPr>
      </w:pPr>
      <w:r>
        <w:rPr>
          <w:rFonts w:ascii="Arial" w:cs="Arial" w:eastAsia="Arial" w:hAnsi="Arial"/>
          <w:sz w:val="16"/>
          <w:szCs w:val="16"/>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220" w:firstLine="426"/>
        <w:spacing w:after="0" w:line="301" w:lineRule="auto"/>
        <w:rPr>
          <w:sz w:val="20"/>
          <w:szCs w:val="20"/>
          <w:color w:val="auto"/>
        </w:rPr>
      </w:pPr>
      <w:r>
        <w:rPr>
          <w:rFonts w:ascii="Arial" w:cs="Arial" w:eastAsia="Arial" w:hAnsi="Arial"/>
          <w:sz w:val="16"/>
          <w:szCs w:val="16"/>
          <w:color w:val="auto"/>
        </w:rPr>
        <w:t>P10, Inc. was incorporated in Delaware on January 20, 2021 as a wholly owned subsidiary of P10 Holdings, Inc. P10, Inc. became the sole stockholder of P10 Holdings, Inc. pursuant to a corporate reorganization. Our principal executive office is located at 4514 Cole Avenue, Suite 1600, Dallas, Texas 75205, and our phone number is (214) 865-7998. Our website is www.p10alts.com. Information contained on or accessible through our website is not incorporated by reference into this prospectus and should not be considered a part of this prospectus.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That May Be Offered</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The Selling Stockholders may offer or sell up to an aggregate of 22,243,654 Class A common stock in one or more offerings. We will not receive any proceeds from any such sale by the selling stockholders.</w:t>
      </w:r>
    </w:p>
    <w:p>
      <w:pPr>
        <w:spacing w:after="0" w:line="170"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w:t>
      </w:r>
      <w:r>
        <w:rPr>
          <w:rFonts w:ascii="Arial" w:cs="Arial" w:eastAsia="Arial" w:hAnsi="Arial"/>
          <w:sz w:val="18"/>
          <w:szCs w:val="18"/>
          <w:i w:val="1"/>
          <w:iCs w:val="1"/>
          <w:color w:val="auto"/>
        </w:rPr>
        <w:t>Plan of Distribution</w:t>
      </w:r>
      <w:r>
        <w:rPr>
          <w:rFonts w:ascii="Arial" w:cs="Arial" w:eastAsia="Arial" w:hAnsi="Arial"/>
          <w:sz w:val="18"/>
          <w:szCs w:val="18"/>
          <w:color w:val="auto"/>
        </w:rPr>
        <w:t>” or in any applicable prospectus supplement.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87"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Holders of our Class A common stock are entitled to receive dividends declared by our board of directors out of funds legally available for the payment of dividends, subject to rights, if any, of preferred stockholders. Each holder of common stock is entitled to one vote per share. The holders of common stock have no preemptive rights.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including all future filings we make with the SEC pursuant to Sections 13(a), 13(c), 14 or 15(d) of the Exchange Act, as well as the risk factors and other information contained in or incorporated by reference into any accompanying prospectus supplement before investing in any of our securities. Our financial condition, results of operations or cash flows could be materially adversely affected by any of these risks. The risks and uncertainties described in the documents incorporated by reference herein are not the only risks and uncertainties that you may face.</w:t>
      </w:r>
    </w:p>
    <w:p>
      <w:pPr>
        <w:spacing w:after="0" w:line="17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more information about our SEC filings, please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of Certain Information by</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w:t>
      </w:r>
      <w:r>
        <w:rPr>
          <w:rFonts w:ascii="Arial" w:cs="Arial" w:eastAsia="Arial" w:hAnsi="Arial"/>
          <w:sz w:val="18"/>
          <w:szCs w:val="18"/>
          <w:color w:val="auto"/>
        </w:rPr>
        <w: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All shares of Class A common stock offered by this prospectus are being registered for resale by the Selling Stockholders. We will not receive any of the proceeds from the sale of these securities. The Selling Stockholders will bear all commissions and discounts, if any, attributable to the resale of the shares of Class A common stock.</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description of our capital stock, including the Class A common stock offered by this prospectus, is a summary and is qualified in its entirety by reference to our amended and restated certificate of incorporation (“Certificate of Incorporation”) and amended and restated bylaws (“Bylaws”), copies of which have been filed with the SEC and are incorporated by reference as exhibits to the registration statement of which this prospectus forms a part, and by applicable law.</w:t>
      </w:r>
    </w:p>
    <w:p>
      <w:pPr>
        <w:spacing w:after="0" w:line="18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As of the date of this prospectus, our authorized capital stock consists of 510,000,000 shares of Class A common stock, par value $0.001 per share, 180,000,000 shares of Class B common stock, par value $0.001 per share, and 10,000,000 shares of preferred stock, par value $0.001 per share. Unless our board of directors determines otherwise, we issue all shares of our Class A common stock and Class B common stock in uncertificated form.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Our Class A common stock is our publicly traded stock, registered under Section 12 of the Exchange Act and listed on NYSE under the symbol “PX”. Holders of our Class A common stock are entitled to one vote for each share held of record on all matters submitted to a vote of stockholders.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Power</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holders of Class A common stock and Class B common stock shall vote together as one class on all matters (including the election of directors) submitted to a vote of the stockholders of the Corporation. Each holder of shares of Class A common stock shall be entitled to one vote for each share of Class A common stock held of record by such holder as of the applicable record date on any matter submitted to a vote of stockholders generally, and until a Sunset (as defined below) has become effective, each holder of shares of Class B common stock shall be entitled to 10 votes for each share of Class B common stock held of record by such holder as of the applicable record date on any matter submitted to a vote of stockholders generally. From and after such time when the Sunset has become effective, each share of Class B common stock shall automatically, without any further action, convert into one (1) fully paid and nonassessable share of Class A common stock in accordance with Section 4.4(b)(iii). The holders of shares of common stock shall not have cumulative voting rights.</w:t>
      </w:r>
    </w:p>
    <w:p>
      <w:pPr>
        <w:spacing w:after="0" w:line="17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“Sunset” is triggered by any of the earlier of the following: (i) the Sunset Holders (as defined in the Amended and Restated Certificate of Incorporation (as defined below))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Amended and Restated Certificate of Incorporation.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Holders of Class A common stock and Class B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the dissolution, liquidation or winding up of the Corporation, the holders of any outstanding series of preferred stock, shares of Class A common stock and Class B common stock shall be entitled to receive the assets of the Corporation available for distribution to its stockholders ratably in proportion to the number of shares held by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holder of shares of common stock, solely by virtue of such holder’s status as such, shall be entitled to preemptive or subscription rights.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121"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On October 20, 2021, in connection with our initial public offering, the Company undertook certain transactions as part of a corporation reorganization (the “P10 Reorganization”), pursuant to which, among other things, the Company issued an aggregate of 97,155,596 shares of the Company’s Class B common stock, par value $0.001 per share, to all of the then-existing stockholders of P10 Holdings, Inc. (“P10 Holdings”) and certain other investors. Holders of Class B common stock may elect to convert shares of Class B common stock on a one-for-one basis into Class A common stock at any time. After a Sunset (as defined below) becomes effective, each share of Class B common stock will automatically convert into Class A common stock. A “Sunset” is triggered by any of the earlier of the following: (i) the Sunset Holders (as defined in the Amended and Restated Certificate of Incorporation (as defined below))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Amended and Restated Certificate of Incorporation.</w:t>
      </w:r>
    </w:p>
    <w:p>
      <w:pPr>
        <w:spacing w:after="0" w:line="16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Holders of our Class A common stock and Class B common stock vote together as a single class on all matters presented to our stockholders for their vote or approval, except as otherwise required in our Certificate of Incorporation or by applicable law.</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and Class B common stock will be entitled to receive pro rata our remaining assets available for distribution, unless otherwise approved by separate votes of the Class A and Class B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is authorized to issue, without further action by the stockholders, up to 10,000,000 shares of preferred stock, par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$0.001 per share. As of the date of this prospectus, we have no shares of preferred stock issued and outstanding and we have not designated any series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preferred stock. Subject to limitations prescribed by law and the Certificate of Incorporation, shares of preferred stock may be issued from time to time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one or more series as the board of directors may from time to time determine by resolution and by causing the filing of a preferred stock designation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issuance of the shares of preferred stock in one or more series, and to establish from time to time the number of shares to be included in each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series, and to fix the designations, powers, preferences, and relative, participating, optional or other rights, if any, and the qualifications, limitations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restrictions, if any, of the shares of each such series.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the NYSE Manual, which would apply so long as the Class A common stock remains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listed on the NYSE,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Class A common stock is listed on the New York Stock Exchange under the symbol “PX.”</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60" w:right="240"/>
        <w:spacing w:after="0" w:line="282" w:lineRule="auto"/>
        <w:rPr>
          <w:sz w:val="20"/>
          <w:szCs w:val="20"/>
          <w:color w:val="auto"/>
        </w:rPr>
      </w:pPr>
      <w:r>
        <w:rPr>
          <w:rFonts w:ascii="Arial" w:cs="Arial" w:eastAsia="Arial" w:hAnsi="Arial"/>
          <w:sz w:val="18"/>
          <w:szCs w:val="18"/>
          <w:b w:val="1"/>
          <w:bCs w:val="1"/>
          <w:color w:val="auto"/>
        </w:rPr>
        <w:t>ANTI-TAKEOVER EFFECTS OF PROVISIONS OF DELAWARE LAW AND OUR AMENDED AND RESTATED CERTIFICATE OF INCORPORATION AND BYLAWS</w:t>
      </w:r>
    </w:p>
    <w:p>
      <w:pPr>
        <w:spacing w:after="0" w:line="16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Certain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Super Voting Stock</w:t>
      </w:r>
      <w:r>
        <w:rPr>
          <w:rFonts w:ascii="Arial" w:cs="Arial" w:eastAsia="Arial" w:hAnsi="Arial"/>
          <w:sz w:val="17"/>
          <w:szCs w:val="17"/>
          <w:color w:val="auto"/>
        </w:rPr>
        <w:t>. The Class A common stock and Class B common stock vote together on all matters on which stockholders are entitled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set forth in our Certificate of Incorporation or required by applicable law. However, until a Sunset becomes effective, the Class B common stock will have ten votes per share and the Class A common stock will have one vote per share. Consequently, the holders of our Class B common stock will have greater influence over decisions to be made by our stockholders, including the election of directors.</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Certificate of Incorporation and Bylaws classify our board of directors into three classes of directors, serving staggered</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terms of office. Our board of directors has the exclusive power to fix the number of directors in each class. Upon the expiration of the initial term of office for each class of directors, each director in such class shall be elected for a term of three years and serve until a successor is duly elected and qualified or until his or her earlier death, resignation or removal.</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the board of directors or by a sole remaining director. As long as our board is classified, the existence of a classified board could delay a successful tender offeror from obtaining majority control of our board of directors, and the prospect of that delay might deter a potential offeror.</w:t>
      </w:r>
    </w:p>
    <w:p>
      <w:pPr>
        <w:spacing w:after="0" w:line="15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i w:val="1"/>
          <w:iCs w:val="1"/>
          <w:color w:val="auto"/>
        </w:rPr>
        <w:t>Action by Written Consent; Special Meetings of Stockholders</w:t>
      </w:r>
      <w:r>
        <w:rPr>
          <w:rFonts w:ascii="Arial" w:cs="Arial" w:eastAsia="Arial" w:hAnsi="Arial"/>
          <w:sz w:val="18"/>
          <w:szCs w:val="18"/>
          <w:color w:val="auto"/>
        </w:rPr>
        <w:t>. Our Certificate of Incorporation provides that any action required or permitted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taken by the stockholders must be effected at a duly called annual or special meeting of stockholders and may not be effected by any consent in writing in lieu of a meeting of such stockholders. In addition, our Certificate of Incorporation and Bylaws provide that special meetings of stockholders may be called only by the board of directors or the chairman of the board of directors.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Election and Removal of Directors</w:t>
      </w:r>
      <w:r>
        <w:rPr>
          <w:rFonts w:ascii="Arial" w:cs="Arial" w:eastAsia="Arial" w:hAnsi="Arial"/>
          <w:sz w:val="18"/>
          <w:szCs w:val="18"/>
          <w:color w:val="auto"/>
        </w:rPr>
        <w:t>. The Delaware General Corporation Law (“DGCL”) provides that stockholders are not entitled to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cumulate votes in the election of directors unless our Certificate of Incorporation provides otherwise. Our Certificate of Incorporation does not expressly provide for cumulative voting. While the board is classified, directors may be removed, but only for cause, with the affirmative vote of the holders of a majority of the voting power of our common stock.</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As described above under the heading “</w:t>
      </w:r>
      <w:r>
        <w:rPr>
          <w:rFonts w:ascii="Arial" w:cs="Arial" w:eastAsia="Arial" w:hAnsi="Arial"/>
          <w:sz w:val="18"/>
          <w:szCs w:val="18"/>
          <w:i w:val="1"/>
          <w:iCs w:val="1"/>
          <w:color w:val="auto"/>
        </w:rPr>
        <w:t>Description of Capital Stock—Authorized but Unissued Capital Stock</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existence of authorized but unissued and unreserved common stock and preferred stock could make more difficult or discourage an attempt to obtain control of us by means of a proxy contest, tender offer, merger or otherwise.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Business Combinations with Interested Stockholders</w:t>
      </w:r>
      <w:r>
        <w:rPr>
          <w:rFonts w:ascii="Arial" w:cs="Arial" w:eastAsia="Arial" w:hAnsi="Arial"/>
          <w:sz w:val="18"/>
          <w:szCs w:val="18"/>
          <w:color w:val="auto"/>
        </w:rPr>
        <w:t>. In general, Section 203 of the DGCL, an anti-takeover law, prohibits a publicly held</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elected in our Certificate of Incorporation not to be subject to Section 203. However, our Certificate of Incorporation contains provisions that have the same effect as Section 203,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Advance Notice Provisions</w:t>
      </w:r>
      <w:r>
        <w:rPr>
          <w:rFonts w:ascii="Arial" w:cs="Arial" w:eastAsia="Arial" w:hAnsi="Arial"/>
          <w:sz w:val="16"/>
          <w:szCs w:val="16"/>
          <w:color w:val="auto"/>
        </w:rPr>
        <w:t>. Our Bylaws require stockholders seeking to nominate persons for election as directors at an annual or special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stockholders, or to bring other business before an annual or special meeting (other than a proposal submitted under Rule 14a-8 under the Exchange Act), to provide timely notice in writing. A stockholder’s notice to our corporate secretary must be in proper written form and must set forth certain information, as required under our Bylaws, related to the stockholder giving the notice, the beneficial owner (if any) on whose behalf the nomination is made as well as their control persons and information about the proposal or nominee for election to the board of directors.</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Certificate of Incorporation provides that, unless we select or consent in writing to the selection of another forum, the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for:</w:t>
      </w:r>
    </w:p>
    <w:p>
      <w:pPr>
        <w:spacing w:after="0" w:line="98"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breach of his duty of loyalty to us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improper distributions to stockholders.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payment of dividends on our common stock will be at the discretion of our board of directors and will depend on our results of operations, capital requirements, financial condition, prospects, contractual arrangements, any limitations on payment of dividends present in our future debt agreements, and other factors that our board of directors may deem relevant.</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320" w:top="459" w:right="7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Selling Stockholders named below may resell from time to time up to 22,243,654 shares of the Class A common stock, including up to 14,767,049 shares of Class A common stock that may be issued upon the conversion of Class B common stock, settlement of outstanding restricted stock units, or exercise of outstanding stock options and 13,089 shares of restricted stock that are subject to vesting. All shares of Class B common stock identified or otherwise described below were originally issued by the Company through certain transactions undertaken as part of the corporate reorganization effected by the Company in connection with its initial public offering, with such shares of Class B common stock being issued in exchange for certain equity interests in a predecessor or affiliate of the Company, as applicable, that were acquired by such holders in a private placement prior to the initial public offering.</w:t>
      </w:r>
    </w:p>
    <w:p>
      <w:pPr>
        <w:spacing w:after="0" w:line="19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following table shows information as of the date hereof regarding (i) the number of shares of Class A common stock held of record or beneficially by the Selling Stockholders as of such date (as determined below) (including the number of shares of Class A common stock that may be issued upon the conversion of Class B common stock, settlement of outstanding restricted stock units, or exercise of outstanding stock options and the number shares of restricted Class A common stock that are subject to vesting) and (ii) the number of shares that may be offered under this prospectus by the Selling Stockholders. The beneficial ownership of the issued and issuable shares of Class A common stock set forth in the following table is determined in accordance with Rule 13d-3 under the Exchange Act, and the information is not necessarily indicative of beneficial ownership for any other purpose.</w:t>
      </w:r>
    </w:p>
    <w:p>
      <w:pPr>
        <w:spacing w:after="0" w:line="19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percentage of shares owned prior to completion of the offering is based on 53,122,612 shares of Class A common stock outstanding as of November 10, 2023.</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20" w:type="dxa"/>
            <w:vAlign w:val="bottom"/>
            <w:gridSpan w:val="2"/>
          </w:tcPr>
          <w:p>
            <w:pPr>
              <w:jc w:val="center"/>
              <w:ind w:left="557"/>
              <w:spacing w:after="0"/>
              <w:rPr>
                <w:sz w:val="20"/>
                <w:szCs w:val="20"/>
                <w:color w:val="auto"/>
              </w:rPr>
            </w:pPr>
            <w:r>
              <w:rPr>
                <w:rFonts w:ascii="Arial" w:cs="Arial" w:eastAsia="Arial" w:hAnsi="Arial"/>
                <w:sz w:val="14"/>
                <w:szCs w:val="14"/>
                <w:color w:val="auto"/>
                <w:w w:val="92"/>
              </w:rPr>
              <w:t>Shares of Class A</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Shares of Class A</w:t>
            </w:r>
          </w:p>
        </w:tc>
        <w:tc>
          <w:tcPr>
            <w:tcW w:w="820" w:type="dxa"/>
            <w:vAlign w:val="bottom"/>
          </w:tcPr>
          <w:p>
            <w:pPr>
              <w:spacing w:after="0"/>
              <w:rPr>
                <w:sz w:val="14"/>
                <w:szCs w:val="14"/>
                <w:color w:val="auto"/>
              </w:rPr>
            </w:pPr>
          </w:p>
        </w:tc>
        <w:tc>
          <w:tcPr>
            <w:tcW w:w="2000" w:type="dxa"/>
            <w:vAlign w:val="bottom"/>
            <w:gridSpan w:val="4"/>
          </w:tcPr>
          <w:p>
            <w:pPr>
              <w:jc w:val="center"/>
              <w:ind w:right="220"/>
              <w:spacing w:after="0"/>
              <w:rPr>
                <w:sz w:val="20"/>
                <w:szCs w:val="20"/>
                <w:color w:val="auto"/>
              </w:rPr>
            </w:pPr>
            <w:r>
              <w:rPr>
                <w:rFonts w:ascii="Arial" w:cs="Arial" w:eastAsia="Arial" w:hAnsi="Arial"/>
                <w:sz w:val="14"/>
                <w:szCs w:val="14"/>
                <w:color w:val="auto"/>
                <w:w w:val="90"/>
              </w:rPr>
              <w:t>Shares of Class A</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20" w:type="dxa"/>
            <w:vAlign w:val="bottom"/>
            <w:gridSpan w:val="2"/>
          </w:tcPr>
          <w:p>
            <w:pPr>
              <w:jc w:val="center"/>
              <w:ind w:left="557"/>
              <w:spacing w:after="0" w:line="149" w:lineRule="exact"/>
              <w:rPr>
                <w:sz w:val="20"/>
                <w:szCs w:val="20"/>
                <w:color w:val="auto"/>
              </w:rPr>
            </w:pPr>
            <w:r>
              <w:rPr>
                <w:rFonts w:ascii="Arial" w:cs="Arial" w:eastAsia="Arial" w:hAnsi="Arial"/>
                <w:sz w:val="14"/>
                <w:szCs w:val="14"/>
                <w:color w:val="auto"/>
                <w:w w:val="93"/>
              </w:rPr>
              <w:t>common stock</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common stock</w:t>
            </w:r>
          </w:p>
        </w:tc>
        <w:tc>
          <w:tcPr>
            <w:tcW w:w="820" w:type="dxa"/>
            <w:vAlign w:val="bottom"/>
          </w:tcPr>
          <w:p>
            <w:pPr>
              <w:spacing w:after="0"/>
              <w:rPr>
                <w:sz w:val="12"/>
                <w:szCs w:val="12"/>
                <w:color w:val="auto"/>
              </w:rPr>
            </w:pPr>
          </w:p>
        </w:tc>
        <w:tc>
          <w:tcPr>
            <w:tcW w:w="2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3"/>
              </w:rPr>
              <w:t>common stock</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20" w:type="dxa"/>
            <w:vAlign w:val="bottom"/>
            <w:gridSpan w:val="2"/>
          </w:tcPr>
          <w:p>
            <w:pPr>
              <w:jc w:val="center"/>
              <w:ind w:left="537"/>
              <w:spacing w:after="0" w:line="149" w:lineRule="exact"/>
              <w:rPr>
                <w:sz w:val="20"/>
                <w:szCs w:val="20"/>
                <w:color w:val="auto"/>
              </w:rPr>
            </w:pPr>
            <w:r>
              <w:rPr>
                <w:rFonts w:ascii="Arial" w:cs="Arial" w:eastAsia="Arial" w:hAnsi="Arial"/>
                <w:sz w:val="14"/>
                <w:szCs w:val="14"/>
                <w:color w:val="auto"/>
                <w:w w:val="96"/>
              </w:rPr>
              <w:t>beneficially owned</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2"/>
              </w:rPr>
              <w:t>offered pursuant</w:t>
            </w:r>
          </w:p>
        </w:tc>
        <w:tc>
          <w:tcPr>
            <w:tcW w:w="820" w:type="dxa"/>
            <w:vAlign w:val="bottom"/>
          </w:tcPr>
          <w:p>
            <w:pPr>
              <w:spacing w:after="0"/>
              <w:rPr>
                <w:sz w:val="12"/>
                <w:szCs w:val="12"/>
                <w:color w:val="auto"/>
              </w:rPr>
            </w:pPr>
          </w:p>
        </w:tc>
        <w:tc>
          <w:tcPr>
            <w:tcW w:w="20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5"/>
              </w:rPr>
              <w:t>beneficially owned after</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0" w:type="dxa"/>
            <w:vAlign w:val="bottom"/>
            <w:gridSpan w:val="4"/>
          </w:tcPr>
          <w:p>
            <w:pPr>
              <w:jc w:val="center"/>
              <w:ind w:right="440"/>
              <w:spacing w:after="0"/>
              <w:rPr>
                <w:sz w:val="20"/>
                <w:szCs w:val="20"/>
                <w:color w:val="auto"/>
              </w:rPr>
            </w:pPr>
            <w:r>
              <w:rPr>
                <w:rFonts w:ascii="Arial" w:cs="Arial" w:eastAsia="Arial" w:hAnsi="Arial"/>
                <w:sz w:val="14"/>
                <w:szCs w:val="14"/>
                <w:color w:val="auto"/>
                <w:w w:val="96"/>
              </w:rPr>
              <w:t>before this offering</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to this prospectus</w:t>
            </w:r>
          </w:p>
        </w:tc>
        <w:tc>
          <w:tcPr>
            <w:tcW w:w="820" w:type="dxa"/>
            <w:vAlign w:val="bottom"/>
          </w:tcPr>
          <w:p>
            <w:pPr>
              <w:spacing w:after="0"/>
              <w:rPr>
                <w:sz w:val="14"/>
                <w:szCs w:val="14"/>
                <w:color w:val="auto"/>
              </w:rPr>
            </w:pPr>
          </w:p>
        </w:tc>
        <w:tc>
          <w:tcPr>
            <w:tcW w:w="2000" w:type="dxa"/>
            <w:vAlign w:val="bottom"/>
            <w:gridSpan w:val="4"/>
          </w:tcPr>
          <w:p>
            <w:pPr>
              <w:jc w:val="center"/>
              <w:ind w:right="220"/>
              <w:spacing w:after="0"/>
              <w:rPr>
                <w:sz w:val="20"/>
                <w:szCs w:val="20"/>
                <w:color w:val="auto"/>
              </w:rPr>
            </w:pPr>
            <w:r>
              <w:rPr>
                <w:rFonts w:ascii="Arial" w:cs="Arial" w:eastAsia="Arial" w:hAnsi="Arial"/>
                <w:sz w:val="14"/>
                <w:szCs w:val="14"/>
                <w:color w:val="auto"/>
                <w:w w:val="96"/>
              </w:rPr>
              <w:t>this offering</w:t>
            </w:r>
          </w:p>
        </w:tc>
        <w:tc>
          <w:tcPr>
            <w:tcW w:w="0" w:type="dxa"/>
            <w:vAlign w:val="bottom"/>
          </w:tcPr>
          <w:p>
            <w:pPr>
              <w:spacing w:after="0"/>
              <w:rPr>
                <w:sz w:val="1"/>
                <w:szCs w:val="1"/>
                <w:color w:val="auto"/>
              </w:rPr>
            </w:pPr>
          </w:p>
        </w:tc>
      </w:tr>
      <w:tr>
        <w:trPr>
          <w:trHeight w:val="123"/>
        </w:trPr>
        <w:tc>
          <w:tcPr>
            <w:tcW w:w="1680" w:type="dxa"/>
            <w:vAlign w:val="bottom"/>
            <w:vMerge w:val="restart"/>
          </w:tcPr>
          <w:p>
            <w:pPr>
              <w:spacing w:after="0"/>
              <w:rPr>
                <w:sz w:val="20"/>
                <w:szCs w:val="20"/>
                <w:color w:val="auto"/>
              </w:rPr>
            </w:pPr>
            <w:r>
              <w:rPr>
                <w:rFonts w:ascii="Arial" w:cs="Arial" w:eastAsia="Arial" w:hAnsi="Arial"/>
                <w:sz w:val="14"/>
                <w:szCs w:val="14"/>
                <w:color w:val="auto"/>
                <w:w w:val="93"/>
              </w:rPr>
              <w:t>Name of Selling Stockholder</w:t>
            </w:r>
          </w:p>
        </w:tc>
        <w:tc>
          <w:tcPr>
            <w:tcW w:w="2680" w:type="dxa"/>
            <w:vAlign w:val="bottom"/>
            <w:vMerge w:val="restart"/>
          </w:tcPr>
          <w:p>
            <w:pPr>
              <w:spacing w:after="0"/>
              <w:rPr>
                <w:sz w:val="10"/>
                <w:szCs w:val="10"/>
                <w:color w:val="auto"/>
              </w:rPr>
            </w:pPr>
          </w:p>
        </w:tc>
        <w:tc>
          <w:tcPr>
            <w:tcW w:w="92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4"/>
                <w:szCs w:val="14"/>
                <w:color w:val="auto"/>
              </w:rPr>
              <w:t>Number of</w:t>
            </w:r>
          </w:p>
        </w:tc>
        <w:tc>
          <w:tcPr>
            <w:tcW w:w="8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6"/>
              </w:rPr>
              <w:t>Percentage</w:t>
            </w:r>
          </w:p>
        </w:tc>
        <w:tc>
          <w:tcPr>
            <w:tcW w:w="440" w:type="dxa"/>
            <w:vAlign w:val="bottom"/>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820" w:type="dxa"/>
            <w:vAlign w:val="bottom"/>
          </w:tcPr>
          <w:p>
            <w:pPr>
              <w:spacing w:after="0"/>
              <w:rPr>
                <w:sz w:val="10"/>
                <w:szCs w:val="10"/>
                <w:color w:val="auto"/>
              </w:rPr>
            </w:pPr>
          </w:p>
        </w:tc>
        <w:tc>
          <w:tcPr>
            <w:tcW w:w="11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Number of</w:t>
            </w: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3"/>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Borders>
              <w:bottom w:val="single" w:sz="8" w:color="auto"/>
            </w:tcBorders>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920" w:type="dxa"/>
            <w:vAlign w:val="bottom"/>
          </w:tcPr>
          <w:p>
            <w:pPr>
              <w:jc w:val="right"/>
              <w:ind w:right="197"/>
              <w:spacing w:after="0" w:line="154" w:lineRule="exact"/>
              <w:rPr>
                <w:sz w:val="20"/>
                <w:szCs w:val="20"/>
                <w:color w:val="auto"/>
              </w:rPr>
            </w:pPr>
            <w:r>
              <w:rPr>
                <w:rFonts w:ascii="Arial" w:cs="Arial" w:eastAsia="Arial" w:hAnsi="Arial"/>
                <w:sz w:val="14"/>
                <w:szCs w:val="14"/>
                <w:color w:val="auto"/>
              </w:rPr>
              <w:t>shares</w:t>
            </w:r>
          </w:p>
        </w:tc>
        <w:tc>
          <w:tcPr>
            <w:tcW w:w="800" w:type="dxa"/>
            <w:vAlign w:val="bottom"/>
          </w:tcPr>
          <w:p>
            <w:pPr>
              <w:spacing w:after="0"/>
              <w:rPr>
                <w:sz w:val="13"/>
                <w:szCs w:val="13"/>
                <w:color w:val="auto"/>
              </w:rPr>
            </w:pPr>
          </w:p>
        </w:tc>
        <w:tc>
          <w:tcPr>
            <w:tcW w:w="1080" w:type="dxa"/>
            <w:vAlign w:val="bottom"/>
            <w:gridSpan w:val="2"/>
          </w:tcPr>
          <w:p>
            <w:pPr>
              <w:jc w:val="right"/>
              <w:ind w:right="500"/>
              <w:spacing w:after="0" w:line="154" w:lineRule="exact"/>
              <w:rPr>
                <w:sz w:val="20"/>
                <w:szCs w:val="20"/>
                <w:color w:val="auto"/>
              </w:rPr>
            </w:pPr>
            <w:r>
              <w:rPr>
                <w:rFonts w:ascii="Arial" w:cs="Arial" w:eastAsia="Arial" w:hAnsi="Arial"/>
                <w:sz w:val="14"/>
                <w:szCs w:val="14"/>
                <w:color w:val="auto"/>
                <w:w w:val="97"/>
              </w:rPr>
              <w:t>of shares</w:t>
            </w:r>
          </w:p>
        </w:tc>
        <w:tc>
          <w:tcPr>
            <w:tcW w:w="1040" w:type="dxa"/>
            <w:vAlign w:val="bottom"/>
          </w:tcPr>
          <w:p>
            <w:pPr>
              <w:jc w:val="center"/>
              <w:spacing w:after="0" w:line="154" w:lineRule="exact"/>
              <w:rPr>
                <w:sz w:val="20"/>
                <w:szCs w:val="20"/>
                <w:color w:val="auto"/>
              </w:rPr>
            </w:pPr>
            <w:r>
              <w:rPr>
                <w:rFonts w:ascii="Arial" w:cs="Arial" w:eastAsia="Arial" w:hAnsi="Arial"/>
                <w:sz w:val="14"/>
                <w:szCs w:val="14"/>
                <w:color w:val="auto"/>
                <w:w w:val="85"/>
              </w:rPr>
              <w:t>shares</w:t>
            </w:r>
          </w:p>
        </w:tc>
        <w:tc>
          <w:tcPr>
            <w:tcW w:w="820" w:type="dxa"/>
            <w:vAlign w:val="bottom"/>
          </w:tcPr>
          <w:p>
            <w:pPr>
              <w:spacing w:after="0"/>
              <w:rPr>
                <w:sz w:val="13"/>
                <w:szCs w:val="13"/>
                <w:color w:val="auto"/>
              </w:rPr>
            </w:pPr>
          </w:p>
        </w:tc>
        <w:tc>
          <w:tcPr>
            <w:tcW w:w="116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shares</w:t>
            </w:r>
          </w:p>
        </w:tc>
        <w:tc>
          <w:tcPr>
            <w:tcW w:w="840" w:type="dxa"/>
            <w:vAlign w:val="bottom"/>
            <w:gridSpan w:val="2"/>
          </w:tcPr>
          <w:p>
            <w:pPr>
              <w:jc w:val="right"/>
              <w:ind w:right="260"/>
              <w:spacing w:after="0" w:line="154" w:lineRule="exact"/>
              <w:rPr>
                <w:sz w:val="20"/>
                <w:szCs w:val="20"/>
                <w:color w:val="auto"/>
              </w:rPr>
            </w:pPr>
            <w:r>
              <w:rPr>
                <w:rFonts w:ascii="Arial" w:cs="Arial" w:eastAsia="Arial" w:hAnsi="Arial"/>
                <w:sz w:val="14"/>
                <w:szCs w:val="14"/>
                <w:color w:val="auto"/>
                <w:w w:val="97"/>
              </w:rPr>
              <w:t>of shares</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Robert Alpert (1)(2)</w:t>
            </w: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w w:val="81"/>
              </w:rPr>
              <w:t>(2)</w:t>
            </w: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w w:val="90"/>
              </w:rPr>
              <w:t>(2)</w:t>
            </w:r>
          </w:p>
        </w:tc>
        <w:tc>
          <w:tcPr>
            <w:tcW w:w="6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vMerge w:val="continue"/>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769,996</w:t>
            </w:r>
          </w:p>
        </w:tc>
        <w:tc>
          <w:tcPr>
            <w:tcW w:w="80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769,996</w:t>
            </w:r>
          </w:p>
        </w:tc>
        <w:tc>
          <w:tcPr>
            <w:tcW w:w="8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ind w:left="540"/>
              <w:spacing w:after="0"/>
              <w:rPr>
                <w:sz w:val="20"/>
                <w:szCs w:val="20"/>
                <w:color w:val="auto"/>
              </w:rPr>
            </w:pPr>
            <w:r>
              <w:rPr>
                <w:rFonts w:ascii="Arial" w:cs="Arial" w:eastAsia="Arial" w:hAnsi="Arial"/>
                <w:sz w:val="15"/>
                <w:szCs w:val="15"/>
                <w:color w:val="auto"/>
                <w:w w:val="71"/>
              </w:rPr>
              <w:t>0</w:t>
            </w:r>
          </w:p>
        </w:tc>
        <w:tc>
          <w:tcPr>
            <w:tcW w:w="5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 Clark Webb (1)(3)</w:t>
            </w:r>
          </w:p>
        </w:tc>
        <w:tc>
          <w:tcPr>
            <w:tcW w:w="920" w:type="dxa"/>
            <w:vAlign w:val="bottom"/>
          </w:tcPr>
          <w:p>
            <w:pPr>
              <w:jc w:val="right"/>
              <w:spacing w:after="0"/>
              <w:rPr>
                <w:sz w:val="20"/>
                <w:szCs w:val="20"/>
                <w:color w:val="auto"/>
              </w:rPr>
            </w:pPr>
            <w:r>
              <w:rPr>
                <w:rFonts w:ascii="Arial" w:cs="Arial" w:eastAsia="Arial" w:hAnsi="Arial"/>
                <w:sz w:val="18"/>
                <w:szCs w:val="18"/>
                <w:color w:val="auto"/>
              </w:rPr>
              <w:t>866,770</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w w:val="81"/>
              </w:rPr>
              <w:t>(3)</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040" w:type="dxa"/>
            <w:vAlign w:val="bottom"/>
          </w:tcPr>
          <w:p>
            <w:pPr>
              <w:jc w:val="right"/>
              <w:spacing w:after="0"/>
              <w:rPr>
                <w:sz w:val="20"/>
                <w:szCs w:val="20"/>
                <w:color w:val="auto"/>
              </w:rPr>
            </w:pPr>
            <w:r>
              <w:rPr>
                <w:rFonts w:ascii="Arial" w:cs="Arial" w:eastAsia="Arial" w:hAnsi="Arial"/>
                <w:sz w:val="18"/>
                <w:szCs w:val="18"/>
                <w:color w:val="auto"/>
              </w:rPr>
              <w:t>866,770</w:t>
            </w:r>
          </w:p>
        </w:tc>
        <w:tc>
          <w:tcPr>
            <w:tcW w:w="820" w:type="dxa"/>
            <w:vAlign w:val="bottom"/>
          </w:tcPr>
          <w:p>
            <w:pPr>
              <w:jc w:val="right"/>
              <w:ind w:right="510"/>
              <w:spacing w:after="0"/>
              <w:rPr>
                <w:sz w:val="20"/>
                <w:szCs w:val="20"/>
                <w:color w:val="auto"/>
              </w:rPr>
            </w:pPr>
            <w:r>
              <w:rPr>
                <w:rFonts w:ascii="Arial" w:cs="Arial" w:eastAsia="Arial" w:hAnsi="Arial"/>
                <w:sz w:val="18"/>
                <w:szCs w:val="18"/>
                <w:color w:val="auto"/>
                <w:w w:val="90"/>
              </w:rPr>
              <w:t>(3)</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210/P10 Acquisition Partners LLC (1)(4)</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13,167,397</w:t>
            </w:r>
          </w:p>
        </w:tc>
        <w:tc>
          <w:tcPr>
            <w:tcW w:w="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1"/>
              </w:rPr>
              <w:t>(4)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13,167,397</w:t>
            </w:r>
          </w:p>
        </w:tc>
        <w:tc>
          <w:tcPr>
            <w:tcW w:w="8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0"/>
              </w:rPr>
              <w:t>(4)</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Kent P. Dauten Trust dated 2/23/83 (5)</w:t>
            </w:r>
          </w:p>
        </w:tc>
        <w:tc>
          <w:tcPr>
            <w:tcW w:w="920" w:type="dxa"/>
            <w:vAlign w:val="bottom"/>
          </w:tcPr>
          <w:p>
            <w:pPr>
              <w:jc w:val="right"/>
              <w:spacing w:after="0"/>
              <w:rPr>
                <w:sz w:val="20"/>
                <w:szCs w:val="20"/>
                <w:color w:val="auto"/>
              </w:rPr>
            </w:pPr>
            <w:r>
              <w:rPr>
                <w:rFonts w:ascii="Arial" w:cs="Arial" w:eastAsia="Arial" w:hAnsi="Arial"/>
                <w:sz w:val="18"/>
                <w:szCs w:val="18"/>
                <w:color w:val="auto"/>
              </w:rPr>
              <w:t>6,274,938</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w w:val="81"/>
              </w:rPr>
              <w:t>(5)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40" w:type="dxa"/>
            <w:vAlign w:val="bottom"/>
          </w:tcPr>
          <w:p>
            <w:pPr>
              <w:jc w:val="right"/>
              <w:spacing w:after="0"/>
              <w:rPr>
                <w:sz w:val="20"/>
                <w:szCs w:val="20"/>
                <w:color w:val="auto"/>
              </w:rPr>
            </w:pPr>
            <w:r>
              <w:rPr>
                <w:rFonts w:ascii="Arial" w:cs="Arial" w:eastAsia="Arial" w:hAnsi="Arial"/>
                <w:sz w:val="18"/>
                <w:szCs w:val="18"/>
                <w:color w:val="auto"/>
              </w:rPr>
              <w:t>6,274,938</w:t>
            </w:r>
          </w:p>
        </w:tc>
        <w:tc>
          <w:tcPr>
            <w:tcW w:w="820" w:type="dxa"/>
            <w:vAlign w:val="bottom"/>
          </w:tcPr>
          <w:p>
            <w:pPr>
              <w:jc w:val="right"/>
              <w:ind w:right="510"/>
              <w:spacing w:after="0"/>
              <w:rPr>
                <w:sz w:val="20"/>
                <w:szCs w:val="20"/>
                <w:color w:val="auto"/>
              </w:rPr>
            </w:pPr>
            <w:r>
              <w:rPr>
                <w:rFonts w:ascii="Arial" w:cs="Arial" w:eastAsia="Arial" w:hAnsi="Arial"/>
                <w:sz w:val="18"/>
                <w:szCs w:val="18"/>
                <w:color w:val="auto"/>
                <w:w w:val="90"/>
              </w:rPr>
              <w:t>(5)</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Amanda Porter Dauten GST Descendant’s Trust dated</w:t>
            </w:r>
          </w:p>
        </w:tc>
        <w:tc>
          <w:tcPr>
            <w:tcW w:w="92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12/7/12 (6)</w:t>
            </w:r>
          </w:p>
        </w:tc>
        <w:tc>
          <w:tcPr>
            <w:tcW w:w="26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77,038(6)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77,038(6)</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Benjamin Paul Dauten GST Descendant’s Trust dated</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12/7/12 (7)</w:t>
            </w:r>
          </w:p>
        </w:tc>
        <w:tc>
          <w:tcPr>
            <w:tcW w:w="2680" w:type="dxa"/>
            <w:vAlign w:val="bottom"/>
          </w:tcPr>
          <w:p>
            <w:pPr>
              <w:spacing w:after="0"/>
              <w:rPr>
                <w:sz w:val="20"/>
                <w:szCs w:val="20"/>
                <w:color w:val="auto"/>
              </w:rPr>
            </w:pP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77,038(7)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860" w:type="dxa"/>
            <w:vAlign w:val="bottom"/>
            <w:gridSpan w:val="2"/>
          </w:tcPr>
          <w:p>
            <w:pPr>
              <w:jc w:val="right"/>
              <w:ind w:right="510"/>
              <w:spacing w:after="0"/>
              <w:rPr>
                <w:sz w:val="20"/>
                <w:szCs w:val="20"/>
                <w:color w:val="auto"/>
              </w:rPr>
            </w:pPr>
            <w:r>
              <w:rPr>
                <w:rFonts w:ascii="Arial" w:cs="Arial" w:eastAsia="Arial" w:hAnsi="Arial"/>
                <w:sz w:val="18"/>
                <w:szCs w:val="18"/>
                <w:color w:val="auto"/>
              </w:rPr>
              <w:t>77,038(7)</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Jenna Stewart Dauten GST Descendant’s Trust dated</w:t>
            </w:r>
          </w:p>
        </w:tc>
        <w:tc>
          <w:tcPr>
            <w:tcW w:w="92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12/7/12 (8)</w:t>
            </w:r>
          </w:p>
        </w:tc>
        <w:tc>
          <w:tcPr>
            <w:tcW w:w="26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77,038(8)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77,038(8)</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Katherine Margaret Dauten GST Descendant’s Trust</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dated 12/7/12 (9)</w:t>
            </w:r>
          </w:p>
        </w:tc>
        <w:tc>
          <w:tcPr>
            <w:tcW w:w="1720" w:type="dxa"/>
            <w:vAlign w:val="bottom"/>
            <w:gridSpan w:val="2"/>
          </w:tcPr>
          <w:p>
            <w:pPr>
              <w:jc w:val="right"/>
              <w:ind w:right="510"/>
              <w:spacing w:after="0"/>
              <w:rPr>
                <w:sz w:val="20"/>
                <w:szCs w:val="20"/>
                <w:color w:val="auto"/>
              </w:rPr>
            </w:pPr>
            <w:r>
              <w:rPr>
                <w:rFonts w:ascii="Arial" w:cs="Arial" w:eastAsia="Arial" w:hAnsi="Arial"/>
                <w:sz w:val="18"/>
                <w:szCs w:val="18"/>
                <w:color w:val="auto"/>
              </w:rPr>
              <w:t>77,038(9)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860" w:type="dxa"/>
            <w:vAlign w:val="bottom"/>
            <w:gridSpan w:val="2"/>
          </w:tcPr>
          <w:p>
            <w:pPr>
              <w:jc w:val="right"/>
              <w:ind w:right="510"/>
              <w:spacing w:after="0"/>
              <w:rPr>
                <w:sz w:val="20"/>
                <w:szCs w:val="20"/>
                <w:color w:val="auto"/>
              </w:rPr>
            </w:pPr>
            <w:r>
              <w:rPr>
                <w:rFonts w:ascii="Arial" w:cs="Arial" w:eastAsia="Arial" w:hAnsi="Arial"/>
                <w:sz w:val="18"/>
                <w:szCs w:val="18"/>
                <w:color w:val="auto"/>
              </w:rPr>
              <w:t>77,038(9)</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L. Gwilliam (10)</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325,448</w:t>
            </w:r>
          </w:p>
        </w:tc>
        <w:tc>
          <w:tcPr>
            <w:tcW w:w="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87"/>
              </w:rPr>
              <w:t>(10)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325,448</w:t>
            </w:r>
          </w:p>
        </w:tc>
        <w:tc>
          <w:tcPr>
            <w:tcW w:w="8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87"/>
              </w:rPr>
              <w:t>(10)</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Gwilliam Family Investments LLC (11)</w:t>
            </w:r>
          </w:p>
        </w:tc>
        <w:tc>
          <w:tcPr>
            <w:tcW w:w="920" w:type="dxa"/>
            <w:vAlign w:val="bottom"/>
          </w:tcPr>
          <w:p>
            <w:pPr>
              <w:jc w:val="right"/>
              <w:spacing w:after="0"/>
              <w:rPr>
                <w:sz w:val="20"/>
                <w:szCs w:val="20"/>
                <w:color w:val="auto"/>
              </w:rPr>
            </w:pPr>
            <w:r>
              <w:rPr>
                <w:rFonts w:ascii="Arial" w:cs="Arial" w:eastAsia="Arial" w:hAnsi="Arial"/>
                <w:sz w:val="18"/>
                <w:szCs w:val="18"/>
                <w:color w:val="auto"/>
              </w:rPr>
              <w:t>530,953</w:t>
            </w:r>
          </w:p>
        </w:tc>
        <w:tc>
          <w:tcPr>
            <w:tcW w:w="800" w:type="dxa"/>
            <w:vAlign w:val="bottom"/>
          </w:tcPr>
          <w:p>
            <w:pPr>
              <w:jc w:val="right"/>
              <w:ind w:right="430"/>
              <w:spacing w:after="0"/>
              <w:rPr>
                <w:sz w:val="20"/>
                <w:szCs w:val="20"/>
                <w:color w:val="auto"/>
              </w:rPr>
            </w:pPr>
            <w:r>
              <w:rPr>
                <w:rFonts w:ascii="Arial" w:cs="Arial" w:eastAsia="Arial" w:hAnsi="Arial"/>
                <w:sz w:val="18"/>
                <w:szCs w:val="18"/>
                <w:color w:val="auto"/>
                <w:w w:val="81"/>
              </w:rPr>
              <w:t>(11)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040" w:type="dxa"/>
            <w:vAlign w:val="bottom"/>
          </w:tcPr>
          <w:p>
            <w:pPr>
              <w:jc w:val="right"/>
              <w:spacing w:after="0"/>
              <w:rPr>
                <w:sz w:val="20"/>
                <w:szCs w:val="20"/>
                <w:color w:val="auto"/>
              </w:rPr>
            </w:pPr>
            <w:r>
              <w:rPr>
                <w:rFonts w:ascii="Arial" w:cs="Arial" w:eastAsia="Arial" w:hAnsi="Arial"/>
                <w:sz w:val="18"/>
                <w:szCs w:val="18"/>
                <w:color w:val="auto"/>
              </w:rPr>
              <w:t>530,953</w:t>
            </w:r>
          </w:p>
        </w:tc>
        <w:tc>
          <w:tcPr>
            <w:tcW w:w="820" w:type="dxa"/>
            <w:vAlign w:val="bottom"/>
          </w:tcPr>
          <w:p>
            <w:pPr>
              <w:jc w:val="right"/>
              <w:ind w:right="430"/>
              <w:spacing w:after="0"/>
              <w:rPr>
                <w:sz w:val="20"/>
                <w:szCs w:val="20"/>
                <w:color w:val="auto"/>
              </w:rPr>
            </w:pPr>
            <w:r>
              <w:rPr>
                <w:rFonts w:ascii="Arial" w:cs="Arial" w:eastAsia="Arial" w:hAnsi="Arial"/>
                <w:sz w:val="18"/>
                <w:szCs w:val="18"/>
                <w:color w:val="auto"/>
                <w:w w:val="87"/>
              </w:rPr>
              <w:t>(11)</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the principal office of this Selling Stockholders is 4514 Cole Avenue, Suite 1600 Dallas, Texas 75205.</w:t>
      </w:r>
    </w:p>
    <w:p>
      <w:pPr>
        <w:spacing w:after="0" w:line="23" w:lineRule="exact"/>
        <w:rPr>
          <w:rFonts w:ascii="Arial" w:cs="Arial" w:eastAsia="Arial" w:hAnsi="Arial"/>
          <w:sz w:val="18"/>
          <w:szCs w:val="18"/>
          <w:color w:val="auto"/>
        </w:rPr>
      </w:pPr>
    </w:p>
    <w:p>
      <w:pPr>
        <w:jc w:val="both"/>
        <w:ind w:left="540" w:right="160" w:hanging="424"/>
        <w:spacing w:after="0" w:line="302"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aggregate amount of shares set forth above includes: (i) 334,150 shares held directly by Robert Alpert that were received pursuant to awards granted under the Company’s 2021 Incentive Plan (the “Plan”) in consideration for Mr. Alpert’s services to the Company as Co-Chief Executive Officer and pursuant to that certain Executive Transition Agreement, dated effective as of October 23, 2023, between Mr. Alpert and the</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52" w:lineRule="auto"/>
        <w:rPr>
          <w:sz w:val="20"/>
          <w:szCs w:val="20"/>
          <w:color w:val="auto"/>
        </w:rPr>
      </w:pPr>
      <w:r>
        <w:rPr>
          <w:rFonts w:ascii="Arial" w:cs="Arial" w:eastAsia="Arial" w:hAnsi="Arial"/>
          <w:sz w:val="18"/>
          <w:szCs w:val="18"/>
          <w:color w:val="auto"/>
        </w:rPr>
        <w:t>Company (the “Alpert Agreement”); (ii) 10,753 shares of Class A common stock issuable upon vesting of an award of restricted stock units issued to Mr. Alpert pursuant to the Alpert Agreement; (iii) 228,659 shares issuable upon exercise of certain stock options, each with an exercise price of $9.93 per share, granted to Mr. Alpert on March 9, 2023, pursuant to the Plan and the terms of the Alpert Agreement, which options were immediately vested and exercisable; and (iv) 196,434 shares issuable upon exercise of certain stock options, each with an exercise price of $9.17 per share, granted to Mr. Alpert on October 23, 2023, pursuant to an award granted under the Plan that became vested and exercisable in accordance with the terms of the Alpert Agreement. As of the date of this prospectus, Mr. Alpert serves as the Executive Chairman of the Company. Prior to his appointment as Executive Chairman in October 2023, Mr. Alpert had served as the Co-Chief Executive Officer of the Company since 2017. In addition, Mr. Alpert currently serves as a member of the board of directors of the Company, a position he has held since 2017.</w:t>
      </w:r>
    </w:p>
    <w:p>
      <w:pPr>
        <w:spacing w:after="0" w:line="2" w:lineRule="exact"/>
        <w:rPr>
          <w:sz w:val="20"/>
          <w:szCs w:val="20"/>
          <w:color w:val="auto"/>
        </w:rPr>
      </w:pPr>
    </w:p>
    <w:p>
      <w:pPr>
        <w:ind w:left="540" w:right="6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aggregate amount of shares set forth above includes: (i) 334,150 shares held directly by C. Clark Webb that were received pursuant to awards granted under the Plan in consideration for Mr. Webb’s services to the Company as Co-Chief Executive Officer and pursuant to that certain Executive Transition Agreement, dated effective as of October 23, 2023, between Mr. Webb and the Company (the “Webb Agreement”); (ii) 107,527 shares of Class A common stock issuable upon vesting of an award of restricted stock units issued to Mr. Webb pursuant to the Webb Agreement; (iii) 228,659 shares issuable upon exercise of certain stock options, each with an exercise price of $9.93 per share, granted to</w:t>
      </w:r>
    </w:p>
    <w:p>
      <w:pPr>
        <w:spacing w:after="0" w:line="2" w:lineRule="exact"/>
        <w:rPr>
          <w:rFonts w:ascii="Arial" w:cs="Arial" w:eastAsia="Arial" w:hAnsi="Arial"/>
          <w:sz w:val="16"/>
          <w:szCs w:val="16"/>
          <w:color w:val="auto"/>
        </w:rPr>
      </w:pPr>
    </w:p>
    <w:p>
      <w:pPr>
        <w:ind w:left="540" w:right="80"/>
        <w:spacing w:after="0" w:line="281" w:lineRule="auto"/>
        <w:rPr>
          <w:rFonts w:ascii="Arial" w:cs="Arial" w:eastAsia="Arial" w:hAnsi="Arial"/>
          <w:sz w:val="16"/>
          <w:szCs w:val="16"/>
          <w:color w:val="auto"/>
        </w:rPr>
      </w:pPr>
      <w:r>
        <w:rPr>
          <w:rFonts w:ascii="Arial" w:cs="Arial" w:eastAsia="Arial" w:hAnsi="Arial"/>
          <w:sz w:val="16"/>
          <w:szCs w:val="16"/>
          <w:color w:val="auto"/>
        </w:rPr>
        <w:t>Mr. Webb on March 9, 2023, pursuant to the Plan and the terms of the Webb Agreement, which options were immediately vested and exercisable; and (iv) 196,434 shares issuable upon exercise of certain stock options, each with an exercise price of $9.17 per share, granted to Mr. Webb on October 23, 2023, pursuant to an award granted under the Plan that became vested and exercisable in accordance with the terms of the Webb Agreement. As of the date of this prospectus, Mr. Webb serves as the Executive Vice Chairman of the Company. Prior to his appointment as Executive Vice Chairman in October 2023, Mr. Webb had served as the Co-Chief Executive Officer of the Company since 2017. In addition, Mr. Webb currently serves as a member of the board of directors of the Company, a position he has held since 2017.</w:t>
      </w:r>
    </w:p>
    <w:p>
      <w:pPr>
        <w:spacing w:after="0" w:line="3"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aggregate amount of shares set forth above consists of 13,167,397 shares that are issuable upon the conversion of the same number of shares of Class B common stock that are beneficially owned directly or indirectly by 210/P10 Acquisition Partners LLC, 210 Capital, LLC, Covenant RHA Partners, L.P., CCW/LAW Holdings, LLC, RHA Investments, Inc., Robert Alpert, and C. Clark Webb (collectively, the “210 Group Holders”). As of the date of this prospectus, these shares of Class B common stock are owned directly by 210/P10 Acquisition Partners LLC, which may be deemed to be controlled indirectly by Mr. Alpert and Mr. Webb through their respective control of the other members of the 210 Group Holders. Certain 210 Group Holders are party to a controlled company agreement, dated October 20, 2021, as amended, with the Company and other parties named therein, which provides that the Company must include in its slate of nominees two directors designated by the 210 Group Holders so long as they continue to hold at least 10% of the outstanding shares (or one director designated by the 210 Group Holders if they hold less than 10% but at least 5% of the outstanding shares). Mr. Alpert and Mr. Webb have served as the two directors that have been designated by the 210 Group Holders pursuant to the controlled company agreement. 210/P10 Acquisition Partners LLC acquired its shares in connection with the reorganization described above.</w:t>
      </w:r>
    </w:p>
    <w:p>
      <w:pPr>
        <w:spacing w:after="0" w:line="1" w:lineRule="exact"/>
        <w:rPr>
          <w:rFonts w:ascii="Arial" w:cs="Arial" w:eastAsia="Arial" w:hAnsi="Arial"/>
          <w:sz w:val="17"/>
          <w:szCs w:val="17"/>
          <w:color w:val="auto"/>
        </w:rPr>
      </w:pPr>
    </w:p>
    <w:p>
      <w:pPr>
        <w:ind w:left="540" w:right="200" w:hanging="424"/>
        <w:spacing w:after="0" w:line="281"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aggregate amount of shares set forth above consists of 6,274,938 shares of Class A common stock held directly by the Kent P. Dauten Trust dated 2/23/83, of which Kent P. Dauten is trustee. This trust acquired these shares upon the conversion of the same number of shares of Class B common stock that it received from a distribution by an affiliate of Keystone Capital, which had received such shares in connection with the reorganization described above. The address for this Selling Stockholder is 155 N. Wacker Drive, #4150, Chicago, Illinois 60606.</w:t>
      </w:r>
    </w:p>
    <w:p>
      <w:pPr>
        <w:spacing w:after="0" w:line="2" w:lineRule="exact"/>
        <w:rPr>
          <w:rFonts w:ascii="Arial" w:cs="Arial" w:eastAsia="Arial" w:hAnsi="Arial"/>
          <w:sz w:val="16"/>
          <w:szCs w:val="16"/>
          <w:color w:val="auto"/>
        </w:rPr>
      </w:pPr>
    </w:p>
    <w:p>
      <w:pPr>
        <w:jc w:val="both"/>
        <w:ind w:left="540" w:right="260" w:hanging="424"/>
        <w:spacing w:after="0" w:line="30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aggregate amount of shares set forth above consists of 77,038 shares of Class A common stock held directly by the Amanda Porter Dauten GST Descendant’s Trust dated 12/7/12, of which Elizabeth Dauten, wife of Kent P. Dauten, is trustee. This trust acquired these shares upon the conversion of the same number of shares of Class B common stock that it received from a distribution by an affiliate of Keystone Capital,</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8" w:lineRule="auto"/>
        <w:rPr>
          <w:sz w:val="20"/>
          <w:szCs w:val="20"/>
          <w:color w:val="auto"/>
        </w:rPr>
      </w:pPr>
      <w:r>
        <w:rPr>
          <w:rFonts w:ascii="Arial" w:cs="Arial" w:eastAsia="Arial" w:hAnsi="Arial"/>
          <w:sz w:val="18"/>
          <w:szCs w:val="18"/>
          <w:color w:val="auto"/>
        </w:rPr>
        <w:t>which had received such shares in connection with the reorganization described above. The address for this Selling Stockholder is 155 N. Wacker Drive, #4150, Chicago, Illinois 60606.</w:t>
      </w:r>
    </w:p>
    <w:p>
      <w:pPr>
        <w:spacing w:after="0" w:line="1" w:lineRule="exact"/>
        <w:rPr>
          <w:sz w:val="20"/>
          <w:szCs w:val="20"/>
          <w:color w:val="auto"/>
        </w:rPr>
      </w:pPr>
    </w:p>
    <w:p>
      <w:pPr>
        <w:ind w:left="540" w:right="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amount of shares set forth above consists of 77,038 shares of Class A common stock held directly by the Benjamin Paul Dauten GST Descendant’s Trust dated 12/7/12, of which Elizabeth Dauten is trustee. This trust acquired these shares upon the conversion of the same number of shares of Class B common stock that it received from a distribution by an affiliate of Keystone Capital, which had received such shares in connection with the reorganization described above. The address for this Selling Stockholder is 155 N. Wacker Drive, #4150, Chicago, Illinois 60606.</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amount of shares set forth above consists of 77,038 shares of Class A common stock held directly by the Jenna Stewart Dauten GST Descendant’s Trust dated 12/7/12, of which Elizabeth Dauten is trustee. This trust acquired these shares upon the conversion of the same number of shares of Class B common stock that it received from a distribution by an affiliate of Keystone Capital, which had received such shares in connection with the reorganization described above. The address for this Selling Stockholder is 155 N. Wacker Drive, #4150, Chicago, Illinois 60606.</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amount of shares set forth above consists of 77,038 shares of Class A common stock held directly by the Katherine Margaret Dauten GST Descendant’s Trust dated 12/7/12, of which Elizabeth Dauten is trustee. This trust acquired these shares upon the conversion of the same number of shares of Class B common stock that it received from a distribution by an affiliate of Keystone Capital, which had received such shares in connection with the reorganization described above. The address for this Selling Stockholder is 155 N. Wacker Drive, #4150, Chicago, Illinois 60606.</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aggregate amount of shares set forth above includes: (i) 12,126 shares of Class A common stock held directly by Scott L. Gwilliam, which were originally acquired by Mr. Gwilliam as shares of restricted stock in consideration for his services as a director of the Company and have since vested; (ii) 13,089 shares of restricted Class A common stock that remain subject to vesting and were issued to Mr. Gwilliam in consideration for his services as a director of the Company; and (iii) 300,233 shares of Class A common stock that are issuable upon the conversion of the same number of shares of Class B common stock that are held directly by Mr. Gwilliam, which shares of Class B common stock consist of (a) 9,451 shares that were originally issued as shares of restricted stock in consideration for his services as a director and have since vested, (b) 21,500 shares that were originally issued to Mr. Gwilliam in connection with the reorganization described above and (c) 269,282 shares that were acquired by Mr. Gwilliam from a distribution by an affiliate of Keystone Capital, which had received such shares in connection with the reorganization described above. Mr. Gwilliam currently serves as a director on the board of directors of the Company, and has served in this position since October 2021. The address for this Selling Stockholder is c/o Keystone Capital, 155 N Wacker, Suite 4150, Chicago, IL 60606.</w:t>
      </w:r>
    </w:p>
    <w:p>
      <w:pPr>
        <w:spacing w:after="0" w:line="5" w:lineRule="exact"/>
        <w:rPr>
          <w:rFonts w:ascii="Arial" w:cs="Arial" w:eastAsia="Arial" w:hAnsi="Arial"/>
          <w:sz w:val="16"/>
          <w:szCs w:val="16"/>
          <w:color w:val="auto"/>
        </w:rPr>
      </w:pPr>
    </w:p>
    <w:p>
      <w:pPr>
        <w:ind w:left="540" w:right="20" w:hanging="424"/>
        <w:spacing w:after="0" w:line="252"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amount of shares set forth above includes: (i) 200,000 shares of Class A common stock held directly by Gwilliam Family Investments LLC, which acquired these shares upon the conversion of the same number of shares of Class B common stock; and (ii) 330,953 shares that are issuable upon the conversion of the same number of shares of Class B common stock that are held directly by Gwilliam Family Investments LLC. The foregoing shares of Class B common stock were acquired by Gwilliam Family Investments LLC from a distribution of shares of Class B common stock by an affiliate of Keystone Capital, which had received such shares in connection with the reorganization described above. Mr. Gwilliam is the Managing Member of the Gwilliam Family Investments LLC. The address for this Selling Stockholder is c/o Keystone Capital, 155 N Wacker, Suite 4150, Chicago, IL 60606.</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are registering the resale by the Selling Stockholders or their permitted transferees from time to time of up to 22,243,654 shares of Class A common stock, including up to 14,767,049 shares of Class A common stock that may be issued upon the conversion of Class B common stock, settlement of outstanding restricted stock units, or exercise of outstanding stock options and 13,089 shares of restricted stock that are subject to vesting.</w:t>
      </w:r>
    </w:p>
    <w:p>
      <w:pPr>
        <w:spacing w:after="0" w:line="149" w:lineRule="exact"/>
        <w:rPr>
          <w:sz w:val="20"/>
          <w:szCs w:val="20"/>
          <w:color w:val="auto"/>
        </w:rPr>
      </w:pPr>
    </w:p>
    <w:p>
      <w:pPr>
        <w:jc w:val="both"/>
        <w:ind w:left="120" w:right="320" w:firstLine="440"/>
        <w:spacing w:after="0" w:line="342" w:lineRule="auto"/>
        <w:rPr>
          <w:sz w:val="20"/>
          <w:szCs w:val="20"/>
          <w:color w:val="auto"/>
        </w:rPr>
      </w:pPr>
      <w:r>
        <w:rPr>
          <w:rFonts w:ascii="Arial" w:cs="Arial" w:eastAsia="Arial" w:hAnsi="Arial"/>
          <w:sz w:val="16"/>
          <w:szCs w:val="16"/>
          <w:color w:val="auto"/>
        </w:rPr>
        <w:t>We will pay all fees and expenses incident to the registration of the shares of the Class A common stock to be offered and sold pursuant to this prospectus. The Selling Stockholders will bear all commissions and discounts, if any, attributable to the sale of shares of the Class A common stock.</w:t>
      </w:r>
    </w:p>
    <w:p>
      <w:pPr>
        <w:spacing w:after="0" w:line="12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will not receive any of the proceeds from the sale of the shares of the Class A common stock by the Selling Stockholders. The aggregate proceeds to the Selling Stockholders will be the purchase price of the Class A common stock less any discounts and commissions borne by the Selling Stockholders.</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shares of Class A common stock beneficially owned by the Selling Stockholders covered by this prospectus may be offered and sold from time to time by the Selling Stockholders. The term “Selling Stockholders” includes donees, pledgees, transferees or other successors in interest selling shares of the Class A common stock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 shares of Class A common stock by one or more of, or a combination of, the following methods:</w:t>
      </w:r>
    </w:p>
    <w:p>
      <w:pPr>
        <w:spacing w:after="0" w:line="8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trading plans entered into by the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any securities that qualify for sale pursuant to Rule 144 may be sold under Rule 144 rather than pursuant to this prospectus.</w:t>
      </w:r>
    </w:p>
    <w:p>
      <w:pPr>
        <w:spacing w:after="0" w:line="23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To the extent required, this prospectus may be amended or supplemented from time to time to describe a specific plan of distribution. In connection with distributions of the securities or otherwise, the Selling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Stockholders may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Stockholders. The Selling Stockholders may also sell our securities short and redeliver the shares to close out such short positions. The Selling Stockholders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Selling Stockholders may enter into derivative transactions with third parties, or sell securities not covered by this prospectus to third parties in privately negotiated transactions. If an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Stockholders or borrowed from the Selling Stockholders or others to settle those sales or to close out any related open borrowings of securities, and may use securities received from the Selling Stockholders in settlement of those derivatives to close out any related open borrowings of securities. If applicable through securities laws, the third party in such sale transactions will be an underwriter and will be identified in the applicable prospectus supplement (or a post-effective amendment). In addition,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24"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In offering the securities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6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securities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securities against certain liabilities, including liabilities arising under the Securities Act.</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Unless the applicable prospectus supplement indicates otherwise, the validity of the securities being offered by this prospectus will be passed upon by Baker &amp; Hostetler, LLP.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The consolidated financial statements of P10, Inc. as of December 31, 2022 and 2021, and for each of the years in the three-year period ended December 31, 2022, have been incorporated by reference herein in reliance upon the report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file annual, quarterly and special reports, proxy statements and other information with the SEC, and we have filed with the SEC a registration statement on Form S-3 under the Securities Act of 1933, as amended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Our filings are available to the public on the Internet, through a database maintained by the SEC at www.sec.gov. Our filings are also available, free of charge, on our website at www.P10alts.com.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 except any information that is superseded by information that is included in a document subsequently filed with the SEC.</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securities, except that we are not incorporating by reference any information furnished (and not filed) with the SEC, including our Compensation Committee report and performance graph or any information furnished pursuant to Items 2.02 or 7.01 of Form 8-K or related exhibits furnished pursuant to Item 9.01 of Form 8-K:</w:t>
      </w:r>
    </w:p>
    <w:p>
      <w:pPr>
        <w:spacing w:after="0" w:line="93"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quarterly periods ended </w:t>
      </w:r>
      <w:hyperlink r:id="rId47">
        <w:r>
          <w:rPr>
            <w:rFonts w:ascii="Arial" w:cs="Arial" w:eastAsia="Arial" w:hAnsi="Arial"/>
            <w:sz w:val="17"/>
            <w:szCs w:val="17"/>
            <w:u w:val="single" w:color="auto"/>
            <w:color w:val="0000EE"/>
          </w:rPr>
          <w:t>March 31, 2023</w:t>
        </w:r>
      </w:hyperlink>
      <w:r>
        <w:rPr>
          <w:rFonts w:ascii="Arial" w:cs="Arial" w:eastAsia="Arial" w:hAnsi="Arial"/>
          <w:sz w:val="17"/>
          <w:szCs w:val="17"/>
          <w:color w:val="auto"/>
        </w:rPr>
        <w:t xml:space="preserve">, </w:t>
      </w:r>
      <w:hyperlink r:id="rId48">
        <w:r>
          <w:rPr>
            <w:rFonts w:ascii="Arial" w:cs="Arial" w:eastAsia="Arial" w:hAnsi="Arial"/>
            <w:sz w:val="17"/>
            <w:szCs w:val="17"/>
            <w:u w:val="single" w:color="auto"/>
            <w:color w:val="0000EE"/>
          </w:rPr>
          <w:t>June 30,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9">
        <w:r>
          <w:rPr>
            <w:rFonts w:ascii="Arial" w:cs="Arial" w:eastAsia="Arial" w:hAnsi="Arial"/>
            <w:sz w:val="17"/>
            <w:szCs w:val="17"/>
            <w:u w:val="single" w:color="auto"/>
            <w:color w:val="0000EE"/>
          </w:rPr>
          <w:t>September 30, 2023</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50">
        <w:r>
          <w:rPr>
            <w:rFonts w:ascii="Arial" w:cs="Arial" w:eastAsia="Arial" w:hAnsi="Arial"/>
            <w:sz w:val="18"/>
            <w:szCs w:val="18"/>
            <w:u w:val="single" w:color="auto"/>
            <w:color w:val="0000EE"/>
          </w:rPr>
          <w:t>March 6, 2023</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May 15, 2023</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June 20, 2023</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August 10, 2023</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September 19, 2023</w:t>
        </w:r>
      </w:hyperlink>
      <w:r>
        <w:rPr>
          <w:rFonts w:ascii="Arial" w:cs="Arial" w:eastAsia="Arial" w:hAnsi="Arial"/>
          <w:sz w:val="18"/>
          <w:szCs w:val="18"/>
          <w:color w:val="auto"/>
        </w:rPr>
        <w:t xml:space="preserve">, and </w:t>
      </w:r>
      <w:hyperlink r:id="rId55">
        <w:r>
          <w:rPr>
            <w:rFonts w:ascii="Arial" w:cs="Arial" w:eastAsia="Arial" w:hAnsi="Arial"/>
            <w:sz w:val="18"/>
            <w:szCs w:val="18"/>
            <w:u w:val="single" w:color="auto"/>
            <w:color w:val="0000EE"/>
          </w:rPr>
          <w:t>October 25,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56">
        <w:r>
          <w:rPr>
            <w:rFonts w:ascii="Arial" w:cs="Arial" w:eastAsia="Arial" w:hAnsi="Arial"/>
            <w:sz w:val="18"/>
            <w:szCs w:val="18"/>
            <w:u w:val="single" w:color="auto"/>
            <w:color w:val="0000EE"/>
          </w:rPr>
          <w:t>November 9, 2023</w:t>
        </w:r>
      </w:hyperlink>
      <w:r>
        <w:rPr>
          <w:rFonts w:ascii="Arial" w:cs="Arial" w:eastAsia="Arial" w:hAnsi="Arial"/>
          <w:sz w:val="18"/>
          <w:szCs w:val="18"/>
          <w:color w:val="000000"/>
        </w:rPr>
        <w:t>;</w:t>
      </w:r>
    </w:p>
    <w:p>
      <w:pPr>
        <w:spacing w:after="0" w:line="75" w:lineRule="exact"/>
        <w:rPr>
          <w:rFonts w:ascii="Arial" w:cs="Arial" w:eastAsia="Arial" w:hAnsi="Arial"/>
          <w:sz w:val="18"/>
          <w:szCs w:val="18"/>
          <w:color w:val="0000EE"/>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57">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24, 2023;</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description of the Company’s common stock contained in the Prospectus filed pursuant to Rule 424(b)(4) on </w:t>
      </w:r>
      <w:hyperlink r:id="rId58">
        <w:r>
          <w:rPr>
            <w:rFonts w:ascii="Arial" w:cs="Arial" w:eastAsia="Arial" w:hAnsi="Arial"/>
            <w:sz w:val="18"/>
            <w:szCs w:val="18"/>
            <w:u w:val="single" w:color="auto"/>
            <w:color w:val="0000EE"/>
          </w:rPr>
          <w:t>October 22, 2021</w:t>
        </w:r>
      </w:hyperlink>
      <w:r>
        <w:rPr>
          <w:rFonts w:ascii="Arial" w:cs="Arial" w:eastAsia="Arial" w:hAnsi="Arial"/>
          <w:sz w:val="18"/>
          <w:szCs w:val="18"/>
          <w:color w:val="auto"/>
        </w:rPr>
        <w:t>, including any amendment or report filed for the purpose of updating such description; and</w:t>
      </w:r>
    </w:p>
    <w:p>
      <w:pPr>
        <w:spacing w:after="0" w:line="75"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description of the Company’s common stock included in the Company’s Registration Statement on </w:t>
      </w:r>
      <w:hyperlink r:id="rId59">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the Exchange Act filed with the SEC on October 19, 2021, including any amendment or report filed for the purpose of updating such description.</w:t>
      </w:r>
    </w:p>
    <w:p>
      <w:pPr>
        <w:spacing w:after="0" w:line="124" w:lineRule="exact"/>
        <w:rPr>
          <w:rFonts w:ascii="Arial" w:cs="Arial" w:eastAsia="Arial" w:hAnsi="Arial"/>
          <w:sz w:val="18"/>
          <w:szCs w:val="18"/>
          <w:color w:val="auto"/>
        </w:rPr>
      </w:pPr>
    </w:p>
    <w:p>
      <w:pPr>
        <w:ind w:left="120" w:firstLine="440"/>
        <w:spacing w:after="0" w:line="279" w:lineRule="auto"/>
        <w:rPr>
          <w:sz w:val="20"/>
          <w:szCs w:val="20"/>
          <w:color w:val="auto"/>
        </w:rPr>
      </w:pPr>
      <w:r>
        <w:rPr>
          <w:rFonts w:ascii="Arial" w:cs="Arial" w:eastAsia="Arial" w:hAnsi="Arial"/>
          <w:sz w:val="17"/>
          <w:szCs w:val="17"/>
          <w:color w:val="auto"/>
        </w:rPr>
        <w:t>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w:t>
      </w:r>
    </w:p>
    <w:p>
      <w:pPr>
        <w:spacing w:after="0" w:line="171" w:lineRule="exact"/>
        <w:rPr>
          <w:rFonts w:ascii="Arial" w:cs="Arial" w:eastAsia="Arial" w:hAnsi="Arial"/>
          <w:sz w:val="18"/>
          <w:szCs w:val="18"/>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 copy of any document incorporated by reference in this prospectus may be obtained at no cost by writing or telephoning us at the following address and telephone number:</w:t>
      </w:r>
    </w:p>
    <w:p>
      <w:pPr>
        <w:spacing w:after="0" w:line="17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P10,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4514 Cole Avenue, Suite 1600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Dallas, Texas 75205</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Attention: Amanda Coussens</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(214) 865-7998</w:t>
      </w:r>
    </w:p>
    <w:p>
      <w:pPr>
        <w:spacing w:after="0" w:line="211" w:lineRule="exact"/>
        <w:rPr>
          <w:rFonts w:ascii="Arial" w:cs="Arial" w:eastAsia="Arial" w:hAnsi="Arial"/>
          <w:sz w:val="18"/>
          <w:szCs w:val="18"/>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maintain a website at www.P10alts.com.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187" w:lineRule="exact"/>
        <w:rPr>
          <w:rFonts w:ascii="Arial" w:cs="Arial" w:eastAsia="Arial" w:hAnsi="Arial"/>
          <w:sz w:val="18"/>
          <w:szCs w:val="18"/>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may read and copy any materials we file with the SEC at the SEC’s website mentioned under the heading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The information on the SEC’s website is not incorporated by reference in this prospectus.</w:t>
      </w:r>
    </w:p>
    <w:p>
      <w:pPr>
        <w:spacing w:after="0" w:line="10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20"/>
        <w:spacing w:after="0"/>
        <w:rPr>
          <w:sz w:val="20"/>
          <w:szCs w:val="20"/>
          <w:color w:val="auto"/>
        </w:rPr>
      </w:pPr>
      <w:r>
        <w:rPr>
          <w:rFonts w:ascii="Arial" w:cs="Arial" w:eastAsia="Arial" w:hAnsi="Arial"/>
          <w:sz w:val="43"/>
          <w:szCs w:val="43"/>
          <w:b w:val="1"/>
          <w:bCs w:val="1"/>
          <w:color w:val="auto"/>
        </w:rPr>
        <w:t>P10, Inc.</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22,243,654</w:t>
      </w:r>
    </w:p>
    <w:p>
      <w:pPr>
        <w:spacing w:after="0" w:line="38"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Shares of</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Class A Common Stock</w:t>
      </w:r>
    </w:p>
    <w:p>
      <w:pPr>
        <w:spacing w:after="0" w:line="44"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by Selling</w:t>
      </w:r>
    </w:p>
    <w:p>
      <w:pPr>
        <w:spacing w:after="0" w:line="10"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800100</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November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900430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us) that we may incur in connection with the securities being registered hereby.</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$ 30,253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Miscellaneous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$ 88,000</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 for:</w:t>
      </w:r>
    </w:p>
    <w:p>
      <w:pPr>
        <w:spacing w:after="0" w:line="52"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breach of his duty of loyalty to us or our stockholders;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General Corporation Law of the State of Delaware;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 or improper distributions to stockholders.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70"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In addition, we have entered into separate indemnification agreements with our directors and officers. These agreements, among other things, require us to indemnify our directors and officers for certain expenses, including attorneys’ fees, judgments, fines, ERISA excise taxes, penalties and amounts paid in settlement by or on behalf of the indemnitee actually and reasonably incurred by such indemnitee in connection therewith.</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The foregoing summaries are subject to the text of the DGCL, the registrant’s amended and restated certificate of incorporation and amended and restated bylaws, and the indemnification agreements referred to above, and are qualified in their entirety by reference thereto.</w:t>
      </w: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tcPr>
          <w:p>
            <w:pPr>
              <w:jc w:val="right"/>
              <w:ind w:right="93"/>
              <w:spacing w:after="0"/>
              <w:rPr>
                <w:sz w:val="20"/>
                <w:szCs w:val="20"/>
                <w:color w:val="auto"/>
              </w:rPr>
            </w:pPr>
            <w:r>
              <w:rPr>
                <w:rFonts w:ascii="Arial" w:cs="Arial" w:eastAsia="Arial" w:hAnsi="Arial"/>
                <w:sz w:val="18"/>
                <w:szCs w:val="18"/>
                <w:b w:val="1"/>
                <w:bCs w:val="1"/>
                <w:color w:val="auto"/>
                <w:w w:val="89"/>
              </w:rPr>
              <w:t>Item 16.</w:t>
            </w:r>
          </w:p>
        </w:tc>
        <w:tc>
          <w:tcPr>
            <w:tcW w:w="10060" w:type="dxa"/>
            <w:vAlign w:val="bottom"/>
            <w:gridSpan w:val="17"/>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10"/>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00" w:type="dxa"/>
            <w:vAlign w:val="bottom"/>
          </w:tcPr>
          <w:p>
            <w:pPr>
              <w:jc w:val="right"/>
              <w:ind w:right="313"/>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9860" w:type="dxa"/>
            <w:vAlign w:val="bottom"/>
            <w:tcBorders>
              <w:bottom w:val="single" w:sz="8" w:color="0000EE"/>
            </w:tcBorders>
            <w:gridSpan w:val="16"/>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Amended and Restated Certificate of Incorporation (incorporated by reference to the Company’s Current Report on Form 8-K, filed with</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the SEC on October 26, 2021)</w:t>
              </w:r>
            </w:hyperlink>
          </w:p>
        </w:tc>
        <w:tc>
          <w:tcPr>
            <w:tcW w:w="7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right"/>
              <w:ind w:right="313"/>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Amended and Restated Bylaws (incorporated by reference to the Company’s Current Report on Form 8-K, filed with the SEC on</w:t>
              </w:r>
            </w:hyperlink>
          </w:p>
        </w:tc>
        <w:tc>
          <w:tcPr>
            <w:tcW w:w="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60" w:type="dxa"/>
            <w:vAlign w:val="bottom"/>
            <w:gridSpan w:val="1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October 26,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jc w:val="right"/>
              <w:ind w:right="213"/>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9860" w:type="dxa"/>
            <w:vAlign w:val="bottom"/>
            <w:gridSpan w:val="16"/>
          </w:tcPr>
          <w:p>
            <w:pPr>
              <w:spacing w:after="0"/>
              <w:rPr>
                <w:sz w:val="20"/>
                <w:szCs w:val="20"/>
                <w:color w:val="auto"/>
              </w:rPr>
            </w:pPr>
            <w:r>
              <w:rPr>
                <w:rFonts w:ascii="Arial" w:cs="Arial" w:eastAsia="Arial" w:hAnsi="Arial"/>
                <w:sz w:val="18"/>
                <w:szCs w:val="18"/>
                <w:color w:val="0000EE"/>
              </w:rPr>
              <w:t>Form of Restricted Stock Unit Award Agreement under the 2021 Equity Incentive Plan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Form of Stock Option Agreement under the 2021 Equity Incentive Plan (incorporated by reference to Exhibit 10.1 to the Company’s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Quarterly Report on Form 10-Q filed on May 15, 2023)</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jc w:val="right"/>
              <w:ind w:right="313"/>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9860" w:type="dxa"/>
            <w:vAlign w:val="bottom"/>
            <w:gridSpan w:val="16"/>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Form of Restricted Stock Award Agreement under the 2021 Equity Incentive Plan (incorporated by reference to Exhibit 10.2 to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Company’s Registration Statement on Form S-1 filed on October 18, 2021)</w:t>
              </w:r>
            </w:hyperlink>
          </w:p>
        </w:tc>
        <w:tc>
          <w:tcPr>
            <w:tcW w:w="4040" w:type="dxa"/>
            <w:vAlign w:val="bottom"/>
            <w:tcBorders>
              <w:top w:val="single" w:sz="8" w:color="0000EE"/>
            </w:tcBorders>
            <w:gridSpan w:val="7"/>
          </w:tcPr>
          <w:p>
            <w:pPr>
              <w:spacing w:after="0"/>
              <w:rPr>
                <w:sz w:val="17"/>
                <w:szCs w:val="17"/>
                <w:color w:val="auto"/>
              </w:rPr>
            </w:pP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right"/>
              <w:ind w:right="31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9140" w:type="dxa"/>
            <w:vAlign w:val="bottom"/>
            <w:tcBorders>
              <w:bottom w:val="single" w:sz="8" w:color="0000EE"/>
            </w:tcBorders>
            <w:gridSpan w:val="11"/>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Executive Transition Agreement, dated October 20, 2023, by and between P10 Intermediate Holdings, LLC and Robert Alpert</w:t>
              </w:r>
            </w:hyperlink>
          </w:p>
        </w:tc>
        <w:tc>
          <w:tcPr>
            <w:tcW w:w="7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(incorporated by reference to Exhibit 10.2 to the Company’s Quarterly Report on Form 10-Q filed on November 13, 2023)</w:t>
              </w:r>
            </w:hyperlink>
          </w:p>
        </w:tc>
        <w:tc>
          <w:tcPr>
            <w:tcW w:w="1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right"/>
              <w:ind w:right="313"/>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9220" w:type="dxa"/>
            <w:vAlign w:val="bottom"/>
            <w:tcBorders>
              <w:bottom w:val="single" w:sz="8" w:color="0000EE"/>
            </w:tcBorders>
            <w:gridSpan w:val="12"/>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Executive Transition Agreement, dated October 20, 2023, by and between P10 Intermediate Holdings, LLC and C. Clark Webb</w:t>
              </w:r>
            </w:hyperlink>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(incorporated by reference to Exhibit 10.3 to the Company’s Quarterly Report on Form 10-Q filed on November 13, 2023)</w:t>
              </w:r>
            </w:hyperlink>
          </w:p>
        </w:tc>
        <w:tc>
          <w:tcPr>
            <w:tcW w:w="10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right"/>
              <w:ind w:right="213"/>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9860" w:type="dxa"/>
            <w:vAlign w:val="bottom"/>
            <w:gridSpan w:val="16"/>
          </w:tcPr>
          <w:p>
            <w:pPr>
              <w:spacing w:after="0"/>
              <w:rPr>
                <w:sz w:val="20"/>
                <w:szCs w:val="20"/>
                <w:color w:val="auto"/>
              </w:rPr>
            </w:pPr>
            <w:r>
              <w:rPr>
                <w:rFonts w:ascii="Arial" w:cs="Arial" w:eastAsia="Arial" w:hAnsi="Arial"/>
                <w:sz w:val="18"/>
                <w:szCs w:val="18"/>
                <w:color w:val="0000EE"/>
              </w:rPr>
              <w:t>Opinion of Baker &amp; Hostetler LLP</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jc w:val="right"/>
              <w:ind w:right="213"/>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4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right"/>
              <w:ind w:right="213"/>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4"/>
                <w:szCs w:val="24"/>
                <w:color w:val="auto"/>
              </w:rPr>
            </w:pPr>
          </w:p>
        </w:tc>
        <w:tc>
          <w:tcPr>
            <w:tcW w:w="9860" w:type="dxa"/>
            <w:vAlign w:val="bottom"/>
            <w:gridSpan w:val="16"/>
          </w:tcPr>
          <w:p>
            <w:pPr>
              <w:spacing w:after="0"/>
              <w:rPr>
                <w:sz w:val="20"/>
                <w:szCs w:val="20"/>
                <w:color w:val="auto"/>
              </w:rPr>
            </w:pPr>
            <w:r>
              <w:rPr>
                <w:rFonts w:ascii="Arial" w:cs="Arial" w:eastAsia="Arial" w:hAnsi="Arial"/>
                <w:sz w:val="18"/>
                <w:szCs w:val="18"/>
                <w:color w:val="0000EE"/>
              </w:rPr>
              <w:t>Consent of Baker &amp; Hosttler, LLP (included in Exhibit 5.1)</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10"/>
          </w:tcPr>
          <w:p>
            <w:pPr>
              <w:ind w:left="4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jc w:val="center"/>
              <w:ind w:right="359"/>
              <w:spacing w:after="0"/>
              <w:rPr>
                <w:sz w:val="20"/>
                <w:szCs w:val="20"/>
                <w:color w:val="auto"/>
              </w:rPr>
            </w:pPr>
            <w:r>
              <w:rPr>
                <w:rFonts w:ascii="Arial" w:cs="Arial" w:eastAsia="Arial" w:hAnsi="Arial"/>
                <w:sz w:val="14"/>
                <w:szCs w:val="14"/>
                <w:b w:val="1"/>
                <w:bCs w:val="1"/>
                <w:color w:val="auto"/>
                <w:w w:val="94"/>
              </w:rPr>
              <w:t>Exhibit</w:t>
            </w:r>
          </w:p>
        </w:tc>
        <w:tc>
          <w:tcPr>
            <w:tcW w:w="1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40" w:type="dxa"/>
            <w:vAlign w:val="bottom"/>
            <w:vMerge w:val="restart"/>
          </w:tcPr>
          <w:p>
            <w:pPr>
              <w:ind w:left="7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1000" w:type="dxa"/>
            <w:vAlign w:val="bottom"/>
          </w:tcPr>
          <w:p>
            <w:pPr>
              <w:jc w:val="center"/>
              <w:ind w:right="359"/>
              <w:spacing w:after="0"/>
              <w:rPr>
                <w:sz w:val="20"/>
                <w:szCs w:val="20"/>
                <w:color w:val="auto"/>
              </w:rPr>
            </w:pPr>
            <w:r>
              <w:rPr>
                <w:rFonts w:ascii="Arial" w:cs="Arial" w:eastAsia="Arial" w:hAnsi="Arial"/>
                <w:sz w:val="14"/>
                <w:szCs w:val="14"/>
                <w:b w:val="1"/>
                <w:bCs w:val="1"/>
                <w:color w:val="auto"/>
                <w:w w:val="88"/>
              </w:rPr>
              <w:t>No.</w:t>
            </w:r>
          </w:p>
        </w:tc>
        <w:tc>
          <w:tcPr>
            <w:tcW w:w="11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000" w:type="dxa"/>
            <w:vAlign w:val="bottom"/>
          </w:tcPr>
          <w:p>
            <w:pPr>
              <w:jc w:val="right"/>
              <w:ind w:right="519"/>
              <w:spacing w:after="0"/>
              <w:rPr>
                <w:sz w:val="20"/>
                <w:szCs w:val="20"/>
                <w:color w:val="auto"/>
              </w:rPr>
            </w:pPr>
            <w:r>
              <w:rPr>
                <w:rFonts w:ascii="Arial" w:cs="Arial" w:eastAsia="Arial" w:hAnsi="Arial"/>
                <w:sz w:val="18"/>
                <w:szCs w:val="18"/>
                <w:color w:val="auto"/>
              </w:rPr>
              <w:t>24.1</w:t>
            </w:r>
          </w:p>
        </w:tc>
        <w:tc>
          <w:tcPr>
            <w:tcW w:w="5360" w:type="dxa"/>
            <w:vAlign w:val="bottom"/>
            <w:gridSpan w:val="3"/>
          </w:tcPr>
          <w:p>
            <w:pPr>
              <w:spacing w:after="0"/>
              <w:rPr>
                <w:sz w:val="20"/>
                <w:szCs w:val="20"/>
                <w:color w:val="auto"/>
              </w:rPr>
            </w:pPr>
            <w:r>
              <w:rPr>
                <w:rFonts w:ascii="Arial" w:cs="Arial" w:eastAsia="Arial" w:hAnsi="Arial"/>
                <w:sz w:val="18"/>
                <w:szCs w:val="18"/>
                <w:color w:val="0000EE"/>
              </w:rPr>
              <w:t>Power of Attorney (included on signature page hereto)</w:t>
            </w:r>
          </w:p>
        </w:tc>
        <w:tc>
          <w:tcPr>
            <w:tcW w:w="0" w:type="dxa"/>
            <w:vAlign w:val="bottom"/>
          </w:tcPr>
          <w:p>
            <w:pPr>
              <w:spacing w:after="0"/>
              <w:rPr>
                <w:sz w:val="1"/>
                <w:szCs w:val="1"/>
                <w:color w:val="auto"/>
              </w:rPr>
            </w:pPr>
          </w:p>
        </w:tc>
      </w:tr>
      <w:tr>
        <w:trPr>
          <w:trHeight w:val="304"/>
        </w:trPr>
        <w:tc>
          <w:tcPr>
            <w:tcW w:w="1000" w:type="dxa"/>
            <w:vAlign w:val="bottom"/>
          </w:tcPr>
          <w:p>
            <w:pPr>
              <w:jc w:val="right"/>
              <w:ind w:right="559"/>
              <w:spacing w:after="0"/>
              <w:rPr>
                <w:sz w:val="20"/>
                <w:szCs w:val="20"/>
                <w:color w:val="auto"/>
              </w:rPr>
            </w:pPr>
            <w:r>
              <w:rPr>
                <w:rFonts w:ascii="Arial" w:cs="Arial" w:eastAsia="Arial" w:hAnsi="Arial"/>
                <w:sz w:val="18"/>
                <w:szCs w:val="18"/>
                <w:color w:val="auto"/>
                <w:w w:val="91"/>
              </w:rPr>
              <w:t>107*</w:t>
            </w:r>
          </w:p>
        </w:tc>
        <w:tc>
          <w:tcPr>
            <w:tcW w:w="11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Filing Fee Table</w:t>
            </w:r>
          </w:p>
        </w:tc>
        <w:tc>
          <w:tcPr>
            <w:tcW w:w="274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540" w:right="200" w:hanging="424"/>
        <w:spacing w:after="0" w:line="25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0"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 if the information required to be included in a post-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amendment by those paragraphs is contained in reports filed with or furnished to the SEC by the registrant pursuant to Section 13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15(d) of the Exchange Act, that are incorporated by reference in the registration statement, or is contained in a form of prospectus filed pursuant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Rule 424(b) that is part of the registration statement.</w:t>
      </w:r>
    </w:p>
    <w:p>
      <w:pPr>
        <w:spacing w:after="0" w:line="116" w:lineRule="exact"/>
        <w:rPr>
          <w:sz w:val="20"/>
          <w:szCs w:val="20"/>
          <w:color w:val="auto"/>
        </w:rPr>
      </w:pPr>
    </w:p>
    <w:p>
      <w:pPr>
        <w:ind w:left="540" w:right="20" w:hanging="424"/>
        <w:spacing w:after="0" w:line="26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1" w:lineRule="exact"/>
        <w:rPr>
          <w:sz w:val="20"/>
          <w:szCs w:val="20"/>
          <w:color w:val="auto"/>
        </w:rPr>
      </w:pPr>
    </w:p>
    <w:p>
      <w:pPr>
        <w:ind w:left="540" w:right="200" w:hanging="424"/>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spacing w:after="0" w:line="311" w:lineRule="auto"/>
        <w:rPr>
          <w:sz w:val="20"/>
          <w:szCs w:val="20"/>
          <w:color w:val="auto"/>
        </w:rPr>
      </w:pPr>
      <w:r>
        <w:rPr>
          <w:rFonts w:ascii="Arial" w:cs="Arial" w:eastAsia="Arial" w:hAnsi="Arial"/>
          <w:sz w:val="16"/>
          <w:szCs w:val="16"/>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4" w:lineRule="exact"/>
        <w:rPr>
          <w:sz w:val="20"/>
          <w:szCs w:val="20"/>
          <w:color w:val="auto"/>
        </w:rPr>
      </w:pPr>
    </w:p>
    <w:p>
      <w:pPr>
        <w:ind w:left="540" w:right="20" w:hanging="424"/>
        <w:spacing w:after="0" w:line="25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7"/>
          <w:szCs w:val="17"/>
          <w:color w:val="auto"/>
        </w:rPr>
      </w:pPr>
    </w:p>
    <w:p>
      <w:pPr>
        <w:ind w:left="540" w:right="20" w:hanging="424"/>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540" w:right="100" w:hanging="424"/>
        <w:spacing w:after="0" w:line="25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540" w:right="60" w:hanging="424"/>
        <w:spacing w:after="0" w:line="290"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0" w:lineRule="exact"/>
        <w:rPr>
          <w:rFonts w:ascii="Arial" w:cs="Arial" w:eastAsia="Arial" w:hAnsi="Arial"/>
          <w:sz w:val="16"/>
          <w:szCs w:val="16"/>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w:t>
      </w:r>
    </w:p>
    <w:p>
      <w:pPr>
        <w:spacing w:after="0" w:line="131" w:lineRule="exact"/>
        <w:rPr>
          <w:sz w:val="20"/>
          <w:szCs w:val="20"/>
          <w:color w:val="auto"/>
        </w:rPr>
      </w:pPr>
    </w:p>
    <w:p>
      <w:pPr>
        <w:ind w:left="540" w:right="180" w:hanging="424"/>
        <w:spacing w:after="0" w:line="291"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54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540" w:right="100" w:hanging="424"/>
        <w:spacing w:after="0" w:line="263"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sz w:val="20"/>
          <w:szCs w:val="20"/>
          <w:color w:val="auto"/>
        </w:rPr>
      </w:pPr>
    </w:p>
    <w:p>
      <w:pPr>
        <w:ind w:left="540" w:right="180" w:hanging="424"/>
        <w:spacing w:after="0" w:line="34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November 20, 2023.</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P10,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Luke A. Sarsfield III</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Amanda Coussens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40"/>
          </w:cols>
          <w:pgMar w:left="320" w:top="459" w:right="6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Luke A. Sarsfield III and Amanda Coussens,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following persons in the capacities indicated have signed this Registration Statement on the 20th day of November,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Title</w:t>
            </w:r>
          </w:p>
        </w:tc>
      </w:tr>
      <w:tr>
        <w:trPr>
          <w:trHeight w:val="412"/>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Luke A. Sarsfield III</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Luke A. Sarsfield III</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Amanda Coussens</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6"/>
              </w:rPr>
              <w:t>Chief Financial Officer (Principal Financial Officer and Principal Accounting</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Amanda Coussens</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Officer)</w:t>
            </w: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Alpert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 and Executive Chairman</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Robert Alpert</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Clark Webb</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 and Executive Vice Chairman</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C. Clark Webb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McCoy</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David McCoy</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Stewart, Jr.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Robert B. Stewart, Jr.</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Barnes</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Travis Barnes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Edwin Poston</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Edwin Poston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3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Gwilliam</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Scott Gwilliam</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4"/>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40"/>
          </w:cols>
          <w:pgMar w:left="320" w:top="459"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GRANT OF RESTRICTED STOCK UNITS</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Unless otherwise defined herein, the terms defined in the 2021 Incentive Plan (the “Plan”) shall have the same defined meanings in this Restricted Stock Unit Award Agreement, including the Notice of Grant of Restricted Stock Units (the “Notice of Grant”), the Terms and Conditions of Restricted Stock Unit Grant, and any appendices and exhibits attached thereto (all together, the “Award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Participant has been granted the right to receive an Award of Restricted Stock Units, subject to the terms and conditions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this Award Agreement, as follows: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Subject to any acceleration provisions contained in the Plan or set forth below, the Restricted Stock Units will vest in accordance with the following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Award shall vest on the first anniversary of the Date of Grant</w:t>
      </w:r>
    </w:p>
    <w:p>
      <w:pPr>
        <w:spacing w:after="0" w:line="225"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In the event Participant ceases to be an Eligible Person for any or no reason before Participant vests in the Restricted Stock Units, the Restricted Stock Units and Participant’s right to acquire any Shares hereunder will immediately terminate, unless otherwise provided in the Plan.</w:t>
      </w:r>
    </w:p>
    <w:p>
      <w:pPr>
        <w:spacing w:after="0" w:line="12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Committee upon any questions arising under the Plan or this Award Agreement. Participant further agrees to notify the Company upon any change in the residence address indicated below.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PARTICIPANT</w:t>
            </w:r>
          </w:p>
        </w:tc>
        <w:tc>
          <w:tcPr>
            <w:tcW w:w="6060" w:type="dxa"/>
            <w:vAlign w:val="bottom"/>
            <w:gridSpan w:val="2"/>
          </w:tcPr>
          <w:p>
            <w:pPr>
              <w:ind w:left="660"/>
              <w:spacing w:after="0"/>
              <w:rPr>
                <w:sz w:val="20"/>
                <w:szCs w:val="20"/>
                <w:color w:val="auto"/>
              </w:rPr>
            </w:pPr>
            <w:r>
              <w:rPr>
                <w:rFonts w:ascii="Arial" w:cs="Arial" w:eastAsia="Arial" w:hAnsi="Arial"/>
                <w:sz w:val="18"/>
                <w:szCs w:val="18"/>
                <w:color w:val="auto"/>
              </w:rPr>
              <w:t>P10, INC.</w:t>
            </w:r>
          </w:p>
        </w:tc>
      </w:tr>
      <w:tr>
        <w:trPr>
          <w:trHeight w:val="432"/>
        </w:trPr>
        <w:tc>
          <w:tcPr>
            <w:tcW w:w="4960" w:type="dxa"/>
            <w:vAlign w:val="bottom"/>
          </w:tcPr>
          <w:p>
            <w:pPr>
              <w:spacing w:after="0"/>
              <w:rPr>
                <w:sz w:val="24"/>
                <w:szCs w:val="24"/>
                <w:color w:val="auto"/>
              </w:rPr>
            </w:pPr>
          </w:p>
        </w:tc>
        <w:tc>
          <w:tcPr>
            <w:tcW w:w="606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195"/>
        </w:trPr>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Signature</w:t>
            </w:r>
          </w:p>
        </w:tc>
        <w:tc>
          <w:tcPr>
            <w:tcW w:w="98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4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w:t>
            </w: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1457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 OF RESTRICTED STOCK UNIT GRANT</w:t>
      </w:r>
    </w:p>
    <w:p>
      <w:pPr>
        <w:spacing w:after="0" w:line="229" w:lineRule="exact"/>
        <w:rPr>
          <w:sz w:val="20"/>
          <w:szCs w:val="20"/>
          <w:color w:val="auto"/>
        </w:rPr>
      </w:pPr>
    </w:p>
    <w:p>
      <w:pPr>
        <w:ind w:left="-80" w:right="200" w:firstLine="436"/>
        <w:spacing w:after="0" w:line="30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11.3 of the Plan, in the event of a conflict between the terms and conditions of the Plan and this Award Agreement, the terms and conditions of the Plan shall prevail.</w:t>
      </w:r>
    </w:p>
    <w:p>
      <w:pPr>
        <w:spacing w:after="0" w:line="157" w:lineRule="exact"/>
        <w:rPr>
          <w:rFonts w:ascii="Arial" w:cs="Arial" w:eastAsia="Arial" w:hAnsi="Arial"/>
          <w:sz w:val="16"/>
          <w:szCs w:val="16"/>
          <w:color w:val="auto"/>
        </w:rPr>
      </w:pPr>
    </w:p>
    <w:p>
      <w:pPr>
        <w:ind w:left="-80" w:right="40" w:firstLine="436"/>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Company’s Obligation to Pay</w:t>
      </w:r>
      <w:r>
        <w:rPr>
          <w:rFonts w:ascii="Arial" w:cs="Arial" w:eastAsia="Arial" w:hAnsi="Arial"/>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6" w:lineRule="exact"/>
        <w:rPr>
          <w:rFonts w:ascii="Arial" w:cs="Arial" w:eastAsia="Arial" w:hAnsi="Arial"/>
          <w:sz w:val="18"/>
          <w:szCs w:val="18"/>
          <w:color w:val="auto"/>
        </w:rPr>
      </w:pPr>
    </w:p>
    <w:p>
      <w:pPr>
        <w:ind w:left="-80" w:right="40" w:firstLine="436"/>
        <w:spacing w:after="0" w:line="279"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4, and subject to Section 5, the Restricted Stock Units awarded by this Award Agreement will vest in accordance with the vesting schedule set forth in the Notice of Grant, subject to Participant continuing to be an Eligible Person through each applicable vesting date. Upon the occurrence of a Change in Control (as defined in the Plan), the Restricted Stock Units subject to this Award Agreement may vest or be cancelled and terminated in accordance with Section 10 of the Plan.</w:t>
      </w:r>
    </w:p>
    <w:p>
      <w:pPr>
        <w:spacing w:after="0" w:line="171" w:lineRule="exact"/>
        <w:rPr>
          <w:rFonts w:ascii="Arial" w:cs="Arial" w:eastAsia="Arial" w:hAnsi="Arial"/>
          <w:sz w:val="17"/>
          <w:szCs w:val="17"/>
          <w:color w:val="auto"/>
        </w:rPr>
      </w:pPr>
    </w:p>
    <w:p>
      <w:pPr>
        <w:ind w:left="540" w:hanging="18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firstLine="987"/>
        <w:spacing w:after="0" w:line="257" w:lineRule="auto"/>
        <w:tabs>
          <w:tab w:leader="none" w:pos="115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Subject to Section 6,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7" w:lineRule="exact"/>
        <w:rPr>
          <w:rFonts w:ascii="Arial" w:cs="Arial" w:eastAsia="Arial" w:hAnsi="Arial"/>
          <w:sz w:val="18"/>
          <w:szCs w:val="18"/>
          <w:color w:val="auto"/>
        </w:rPr>
      </w:pPr>
    </w:p>
    <w:p>
      <w:pPr>
        <w:ind w:left="1160" w:hanging="253"/>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880" w:hanging="533"/>
        <w:spacing w:after="0" w:line="293" w:lineRule="auto"/>
        <w:tabs>
          <w:tab w:leader="none" w:pos="1880" w:val="left"/>
        </w:tabs>
        <w:numPr>
          <w:ilvl w:val="2"/>
          <w:numId w:val="19"/>
        </w:numPr>
        <w:rPr>
          <w:rFonts w:ascii="Arial" w:cs="Arial" w:eastAsia="Arial" w:hAnsi="Arial"/>
          <w:sz w:val="16"/>
          <w:szCs w:val="16"/>
          <w:color w:val="auto"/>
        </w:rPr>
      </w:pPr>
      <w:r>
        <w:rPr>
          <w:rFonts w:ascii="Arial" w:cs="Arial" w:eastAsia="Arial" w:hAnsi="Arial"/>
          <w:sz w:val="16"/>
          <w:szCs w:val="16"/>
          <w:u w:val="single" w:color="auto"/>
          <w:color w:val="auto"/>
        </w:rPr>
        <w:t>Discretionary Acceleration</w:t>
      </w:r>
      <w:r>
        <w:rPr>
          <w:rFonts w:ascii="Arial" w:cs="Arial" w:eastAsia="Arial" w:hAnsi="Arial"/>
          <w:sz w:val="16"/>
          <w:szCs w:val="16"/>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0"/>
          </w:cols>
          <w:pgMar w:left="520" w:top="270" w:right="539" w:bottom="1440" w:gutter="0" w:footer="0" w:header="0"/>
        </w:sectPr>
      </w:pPr>
    </w:p>
    <w:bookmarkStart w:id="33" w:name="page34"/>
    <w:bookmarkEnd w:id="33"/>
    <w:p>
      <w:pPr>
        <w:ind w:left="1960" w:hanging="533"/>
        <w:spacing w:after="0" w:line="286" w:lineRule="auto"/>
        <w:tabs>
          <w:tab w:leader="none" w:pos="1960" w:val="left"/>
        </w:tabs>
        <w:numPr>
          <w:ilvl w:val="2"/>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an Eligible Person (provided that such termination is a “separation from service” within the meaning of Section 409A, as determined by the Company), other than due to Participant’s</w:t>
      </w:r>
    </w:p>
    <w:p>
      <w:pPr>
        <w:spacing w:after="0" w:line="1" w:lineRule="exact"/>
        <w:rPr>
          <w:rFonts w:ascii="Arial" w:cs="Arial" w:eastAsia="Arial" w:hAnsi="Arial"/>
          <w:sz w:val="16"/>
          <w:szCs w:val="16"/>
          <w:color w:val="auto"/>
        </w:rPr>
      </w:pPr>
    </w:p>
    <w:p>
      <w:pPr>
        <w:ind w:left="1960" w:right="40"/>
        <w:spacing w:after="0" w:line="269" w:lineRule="auto"/>
        <w:rPr>
          <w:rFonts w:ascii="Arial" w:cs="Arial" w:eastAsia="Arial" w:hAnsi="Arial"/>
          <w:sz w:val="16"/>
          <w:szCs w:val="16"/>
          <w:color w:val="auto"/>
        </w:rPr>
      </w:pPr>
      <w:r>
        <w:rPr>
          <w:rFonts w:ascii="Arial" w:cs="Arial" w:eastAsia="Arial" w:hAnsi="Arial"/>
          <w:sz w:val="17"/>
          <w:szCs w:val="17"/>
          <w:color w:val="auto"/>
        </w:rPr>
        <w:t>death</w:t>
      </w:r>
      <w:r>
        <w:rPr>
          <w:rFonts w:ascii="Arial" w:cs="Arial" w:eastAsia="Arial" w:hAnsi="Arial"/>
          <w:sz w:val="17"/>
          <w:szCs w:val="17"/>
          <w:b w:val="1"/>
          <w:bCs w:val="1"/>
          <w:color w:val="auto"/>
        </w:rPr>
        <w:t>,</w:t>
      </w:r>
      <w:r>
        <w:rPr>
          <w:rFonts w:ascii="Arial" w:cs="Arial" w:eastAsia="Arial" w:hAnsi="Arial"/>
          <w:sz w:val="17"/>
          <w:szCs w:val="17"/>
          <w:color w:val="auto"/>
        </w:rPr>
        <w:t xml:space="preserve"> and if (x) Participant is a U.S. taxpayer and a “specified employee” within the meaning of Section 409A at the time of such termination as an Eligible Person and (y) the payment of such accelerated Restricted Stock Units will result in the imposition of additional tax under Section 409A if paid to Participant on or within the six (6) month period following Participant’s termination as an Eligible Person, then the payment of such accelerated Restricted Stock Units will not be made until the date six (6) months and one (1) day following the date of Participant’s termination as an Eligible Person, unless Participant dies following his or her termination as an Eligible Person, in which case, the Restricted Stock Units will be paid in Shares to Participant’s estate as soon as practicable following his or her death.</w:t>
      </w:r>
    </w:p>
    <w:p>
      <w:pPr>
        <w:spacing w:after="0" w:line="180" w:lineRule="exact"/>
        <w:rPr>
          <w:rFonts w:ascii="Arial" w:cs="Arial" w:eastAsia="Arial" w:hAnsi="Arial"/>
          <w:sz w:val="16"/>
          <w:szCs w:val="16"/>
          <w:color w:val="auto"/>
        </w:rPr>
      </w:pPr>
    </w:p>
    <w:p>
      <w:pPr>
        <w:ind w:right="20" w:firstLine="987"/>
        <w:spacing w:after="0" w:line="273" w:lineRule="auto"/>
        <w:tabs>
          <w:tab w:leader="none" w:pos="1236"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Internal Revenue Service guidance thereunder, as each may be amended from time to time.</w:t>
      </w:r>
    </w:p>
    <w:p>
      <w:pPr>
        <w:spacing w:after="0" w:line="177" w:lineRule="exact"/>
        <w:rPr>
          <w:rFonts w:ascii="Arial" w:cs="Arial" w:eastAsia="Arial" w:hAnsi="Arial"/>
          <w:sz w:val="17"/>
          <w:szCs w:val="17"/>
          <w:color w:val="auto"/>
        </w:rPr>
      </w:pPr>
    </w:p>
    <w:p>
      <w:pPr>
        <w:ind w:right="200" w:firstLine="436"/>
        <w:spacing w:after="0" w:line="286"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 as an Eligible Person</w:t>
      </w:r>
      <w:r>
        <w:rPr>
          <w:rFonts w:ascii="Arial" w:cs="Arial" w:eastAsia="Arial" w:hAnsi="Arial"/>
          <w:sz w:val="17"/>
          <w:szCs w:val="17"/>
          <w:color w:val="auto"/>
        </w:rPr>
        <w:t>. Notwithstanding any contrary provision of this Award Agreement, if Participant ceases to be an Eligible Person for any or no reason, other than pursuant to Section 8.6 of the Plan, the then-unvested Restricted Stock Units awarded by this Award Agreement will thereupon be forfeited at no cost to the Company and Participant will have no further rights thereunder.</w:t>
      </w:r>
    </w:p>
    <w:p>
      <w:pPr>
        <w:spacing w:after="0" w:line="165" w:lineRule="exact"/>
        <w:rPr>
          <w:rFonts w:ascii="Arial" w:cs="Arial" w:eastAsia="Arial" w:hAnsi="Arial"/>
          <w:sz w:val="17"/>
          <w:szCs w:val="17"/>
          <w:color w:val="auto"/>
        </w:rPr>
      </w:pPr>
    </w:p>
    <w:p>
      <w:pPr>
        <w:ind w:right="40" w:firstLine="436"/>
        <w:spacing w:after="0" w:line="279"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1" w:lineRule="exact"/>
        <w:rPr>
          <w:rFonts w:ascii="Arial" w:cs="Arial" w:eastAsia="Arial" w:hAnsi="Arial"/>
          <w:sz w:val="17"/>
          <w:szCs w:val="17"/>
          <w:color w:val="auto"/>
        </w:rPr>
      </w:pPr>
    </w:p>
    <w:p>
      <w:pPr>
        <w:ind w:right="20" w:firstLine="436"/>
        <w:spacing w:after="0" w:line="25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 w:name="page35"/>
    <w:bookmarkEnd w:id="34"/>
    <w:p>
      <w:pPr>
        <w:ind w:left="620" w:hanging="18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Obligations</w:t>
      </w:r>
    </w:p>
    <w:p>
      <w:pPr>
        <w:spacing w:after="0" w:line="225" w:lineRule="exact"/>
        <w:rPr>
          <w:rFonts w:ascii="Arial" w:cs="Arial" w:eastAsia="Arial" w:hAnsi="Arial"/>
          <w:sz w:val="18"/>
          <w:szCs w:val="18"/>
          <w:color w:val="auto"/>
        </w:rPr>
      </w:pPr>
    </w:p>
    <w:p>
      <w:pPr>
        <w:ind w:right="80" w:firstLine="987"/>
        <w:spacing w:after="0" w:line="285" w:lineRule="auto"/>
        <w:tabs>
          <w:tab w:leader="none" w:pos="1236"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Participant acknowledges that, regardless of any action taken by the Company or, if different, Participant’s employer (the “Employer”), the ultimate liability for any tax and/or social insurance liability obligations and requirements in connection with the Restricted Stock Units, including, without limitation, (a)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(b) the Participant’s and, to the extent required by the Company (or Employer), the Company’s (or Employer’s) fringe benefit tax liability, if any, associated with the grant, vesting, or exercise of the Restricted Stock Units or sale of Shares, and (c) any other Company (or Employer) taxes the responsibility for which the Participant has, or has agreed to bear, with respect to the Restricted Stock Units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(ii)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389" w:lineRule="exact"/>
        <w:rPr>
          <w:rFonts w:ascii="Arial" w:cs="Arial" w:eastAsia="Arial" w:hAnsi="Arial"/>
          <w:sz w:val="16"/>
          <w:szCs w:val="16"/>
          <w:color w:val="auto"/>
        </w:rPr>
      </w:pPr>
    </w:p>
    <w:p>
      <w:pPr>
        <w:ind w:firstLine="987"/>
        <w:spacing w:after="0" w:line="267" w:lineRule="auto"/>
        <w:tabs>
          <w:tab w:leader="none" w:pos="1246"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Committee may specify from time to time, the Company and/or Employer shall withhold the minimum amount required to be withheld for the payment of Tax Obligations. The Committee, in its sole discretion and pursuant to such procedures as it may specify from time to time, may permit Participant to satisfy such Tax Obligations, in whole or in part (without limitation), if permissible by applicable local law, by (a) paying cash, (b) electing to have the Company withhold otherwise deliverable Shares having a Fair Market Value equal to the amount of such Tax Obligations, (c) withholding the amount of such Tax Obligations from Participant’s wages or other cash compensation paid to Participant by the company and/or the Employer, (d) delivering to the Company already vested and owned Shares having a Fair Market Value equal to such Tax Obligations, or (e)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and, until determined otherwise by the Company, this will be the method by which such Tax Obligations are satisfied.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 Participant acknowledges and agrees that the Company may refuse to deliver the Shares if such Tax Obligations are not delivered at the time they are due.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5" w:name="page36"/>
    <w:bookmarkEnd w:id="35"/>
    <w:p>
      <w:pPr>
        <w:ind w:firstLine="436"/>
        <w:spacing w:after="0" w:line="275"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76" w:lineRule="exact"/>
        <w:rPr>
          <w:rFonts w:ascii="Arial" w:cs="Arial" w:eastAsia="Arial" w:hAnsi="Arial"/>
          <w:sz w:val="17"/>
          <w:szCs w:val="17"/>
          <w:color w:val="auto"/>
        </w:rPr>
      </w:pPr>
    </w:p>
    <w:p>
      <w:pPr>
        <w:ind w:right="60" w:firstLine="436"/>
        <w:spacing w:after="0" w:line="253"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THE RESTRICTED STOCK UNITS PURSUANT TO THE VESTING SCHEDULE HEREOF IS EARNED ONLY BY CONTINUING AS AN ELIGIBLE PERSON AT THE WILL OF THE COMPANY (OR THE EMPLOYER) AND NOT THROUGH THE ACT OF BEING HIRED, BEING GRANTED THIS RESTRICTED STOCK UNIT AWARD OR ACQUIRING SHARES HEREUNDER. PARTICIPANT FURTHER ACKNOWLEDGES AND AGREES THAT THIS AGREEMENT, THE TRANSACTIONS CONTEMPLATED HEREUNDER AND THE VESTING SCHEDULE SET FORTH HEREIN DO NOT CONSTITUTE AN EXPRESS OR IMPLIED PROMISE OF CONTINUED ENGAGEMENT AS AN ELIGIBLE PERSON FOR THE VESTING PERIOD, FOR ANY PERIOD, OR AT ALL, AND SHALL NOT INTERFERE IN ANY WAY WITH PARTICIPANT’S RIGHT OR THE RIGHT OF THE COMPANY (OR THE EMPLOYER) TO TERMINATE PARTICIPANT’S RELATIONSHIP AS AN ELIGIBLE PERSON AT ANY TIME, WITH OR WITHOUT CAUSE.</w:t>
      </w:r>
    </w:p>
    <w:p>
      <w:pPr>
        <w:spacing w:after="0" w:line="196" w:lineRule="exact"/>
        <w:rPr>
          <w:rFonts w:ascii="Arial" w:cs="Arial" w:eastAsia="Arial" w:hAnsi="Arial"/>
          <w:sz w:val="18"/>
          <w:szCs w:val="18"/>
          <w:color w:val="auto"/>
        </w:rPr>
      </w:pPr>
    </w:p>
    <w:p>
      <w:pPr>
        <w:jc w:val="both"/>
        <w:ind w:firstLine="436"/>
        <w:spacing w:after="0" w:line="257" w:lineRule="auto"/>
        <w:tabs>
          <w:tab w:leader="none" w:pos="70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grant, Participant acknowledges, understands and agrees that:</w:t>
      </w:r>
    </w:p>
    <w:p>
      <w:pPr>
        <w:spacing w:after="0" w:line="225" w:lineRule="exact"/>
        <w:rPr>
          <w:rFonts w:ascii="Arial" w:cs="Arial" w:eastAsia="Arial" w:hAnsi="Arial"/>
          <w:sz w:val="18"/>
          <w:szCs w:val="18"/>
          <w:color w:val="auto"/>
        </w:rPr>
      </w:pPr>
    </w:p>
    <w:p>
      <w:pPr>
        <w:ind w:right="160" w:firstLine="987"/>
        <w:spacing w:after="0" w:line="342" w:lineRule="auto"/>
        <w:tabs>
          <w:tab w:leader="none" w:pos="1236"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grants, if any, will be at the sole discretion of the Company;</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Restricted Stock Units and the Shares subject to the Restricted Stock Units are not intended to replace any pension rights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compensation;</w:t>
      </w:r>
    </w:p>
    <w:p>
      <w:pPr>
        <w:spacing w:after="0" w:line="210" w:lineRule="exact"/>
        <w:rPr>
          <w:rFonts w:ascii="Arial" w:cs="Arial" w:eastAsia="Arial" w:hAnsi="Arial"/>
          <w:sz w:val="17"/>
          <w:szCs w:val="17"/>
          <w:color w:val="auto"/>
        </w:rPr>
      </w:pPr>
    </w:p>
    <w:p>
      <w:pPr>
        <w:ind w:right="100" w:firstLine="987"/>
        <w:spacing w:after="0" w:line="263" w:lineRule="auto"/>
        <w:tabs>
          <w:tab w:leader="none" w:pos="123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36" w:name="page37"/>
    <w:bookmarkEnd w:id="36"/>
    <w:p>
      <w:pPr>
        <w:ind w:left="1200" w:hanging="23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future value of the underlying Shares is unknown, indeterminable and cannot be predicted;</w:t>
      </w:r>
    </w:p>
    <w:p>
      <w:pPr>
        <w:spacing w:after="0" w:line="225" w:lineRule="exact"/>
        <w:rPr>
          <w:rFonts w:ascii="Arial" w:cs="Arial" w:eastAsia="Arial" w:hAnsi="Arial"/>
          <w:sz w:val="18"/>
          <w:szCs w:val="18"/>
          <w:color w:val="auto"/>
        </w:rPr>
      </w:pPr>
    </w:p>
    <w:p>
      <w:pPr>
        <w:ind w:left="-20" w:firstLine="987"/>
        <w:spacing w:after="0" w:line="288" w:lineRule="auto"/>
        <w:tabs>
          <w:tab w:leader="none" w:pos="1226"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purposes of the Restricted Stock Units, Participant’s status as an Eligible Person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an Eligible Person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an Eligible Person or the terms of 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w:t>
      </w:r>
    </w:p>
    <w:p>
      <w:pPr>
        <w:spacing w:after="0" w:line="168" w:lineRule="exact"/>
        <w:rPr>
          <w:rFonts w:ascii="Arial" w:cs="Arial" w:eastAsia="Arial" w:hAnsi="Arial"/>
          <w:sz w:val="16"/>
          <w:szCs w:val="16"/>
          <w:color w:val="auto"/>
        </w:rPr>
      </w:pPr>
    </w:p>
    <w:p>
      <w:pPr>
        <w:ind w:left="-20" w:firstLine="987"/>
        <w:spacing w:after="0" w:line="286" w:lineRule="auto"/>
        <w:tabs>
          <w:tab w:leader="none" w:pos="12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65" w:lineRule="exact"/>
        <w:rPr>
          <w:rFonts w:ascii="Arial" w:cs="Arial" w:eastAsia="Arial" w:hAnsi="Arial"/>
          <w:sz w:val="17"/>
          <w:szCs w:val="17"/>
          <w:color w:val="auto"/>
        </w:rPr>
      </w:pPr>
    </w:p>
    <w:p>
      <w:pPr>
        <w:ind w:left="1180" w:hanging="213"/>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130" w:lineRule="exact"/>
        <w:rPr>
          <w:rFonts w:ascii="Arial" w:cs="Arial" w:eastAsia="Arial" w:hAnsi="Arial"/>
          <w:sz w:val="18"/>
          <w:szCs w:val="18"/>
          <w:color w:val="auto"/>
        </w:rPr>
      </w:pPr>
    </w:p>
    <w:p>
      <w:pPr>
        <w:ind w:left="1940" w:right="880" w:hanging="533"/>
        <w:spacing w:after="0" w:line="277" w:lineRule="auto"/>
        <w:tabs>
          <w:tab w:leader="none" w:pos="19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Restricted Stock Units and the Shares subject to the Restricted Stock Units are not part of normal or expected compensation or salary for any purpose;</w:t>
      </w:r>
    </w:p>
    <w:p>
      <w:pPr>
        <w:spacing w:after="0" w:line="75" w:lineRule="exact"/>
        <w:rPr>
          <w:rFonts w:ascii="Arial" w:cs="Arial" w:eastAsia="Arial" w:hAnsi="Arial"/>
          <w:sz w:val="18"/>
          <w:szCs w:val="18"/>
          <w:color w:val="auto"/>
        </w:rPr>
      </w:pPr>
    </w:p>
    <w:p>
      <w:pPr>
        <w:ind w:left="1940" w:right="80" w:hanging="533"/>
        <w:spacing w:after="0" w:line="279" w:lineRule="auto"/>
        <w:tabs>
          <w:tab w:leader="none" w:pos="1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76" w:lineRule="exact"/>
        <w:rPr>
          <w:rFonts w:ascii="Arial" w:cs="Arial" w:eastAsia="Arial" w:hAnsi="Arial"/>
          <w:sz w:val="17"/>
          <w:szCs w:val="17"/>
          <w:color w:val="auto"/>
        </w:rPr>
      </w:pPr>
    </w:p>
    <w:p>
      <w:pPr>
        <w:ind w:left="1940" w:right="160" w:hanging="533"/>
        <w:spacing w:after="0" w:line="273" w:lineRule="auto"/>
        <w:tabs>
          <w:tab w:leader="none" w:pos="19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forfeiture of the Restricted Stock Units resulting from the termination of Participant’s status as an Eligible Person (for any reason whatsoever whether or not later found to be invalid or in breach of employment laws in the jurisdiction where Participant is providing services to the Company or the terms of Participant’s employment or service agreement, if any), and in consideration of the grant of the Restricted Stock Units to which Participant is otherwise not entitled, Participant irrevocably agrees never to institute any claim against the Company, any Parent or Subsidiary or the Employer, waives his or her ability,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37" w:name="page38"/>
    <w:bookmarkEnd w:id="37"/>
    <w:p>
      <w:pPr>
        <w:ind w:left="19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7" w:lineRule="exact"/>
        <w:rPr>
          <w:sz w:val="20"/>
          <w:szCs w:val="20"/>
          <w:color w:val="auto"/>
        </w:rPr>
      </w:pPr>
    </w:p>
    <w:p>
      <w:pPr>
        <w:ind w:right="260" w:firstLine="436"/>
        <w:spacing w:after="0" w:line="259"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2" w:lineRule="exact"/>
        <w:rPr>
          <w:rFonts w:ascii="Arial" w:cs="Arial" w:eastAsia="Arial" w:hAnsi="Arial"/>
          <w:sz w:val="18"/>
          <w:szCs w:val="18"/>
          <w:color w:val="auto"/>
        </w:rPr>
      </w:pPr>
    </w:p>
    <w:p>
      <w:pPr>
        <w:jc w:val="both"/>
        <w:ind w:right="100" w:firstLine="436"/>
        <w:spacing w:after="0" w:line="261"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 hereby explicitly and unambiguously consents to the collection, use and transfer, in electronic or other form,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Participant’s personal data as described in this Award Agreement and any other Restricted Stock Unit grant materials by and among, as applicable, the Employer, the Company and any Parent or Subsidiary for the exclusive purpose of implementing, administering and managing Participant’s participation in the Plan.</w:t>
      </w:r>
    </w:p>
    <w:p>
      <w:pPr>
        <w:spacing w:after="0" w:line="184"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Participant understands that Data will be transferred to a stock plan service provider as may be selected by the Company in the future, which</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 assisting the Company with the implementation, administration and management of the Plan. Participant understands that the recipients of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Data may be located in the United States or elsewhere, and that the recipients’ country of operation (e.g., the United States) may have different data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privacy laws and protections than Participant’s country. Participant understands that if he or she resides outside the United States, he or she may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request a list with the names and addresses of any potential recipients of the Data by contacting his or her local human resources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representative. Participant authorizes the Company, any stock plan service provider selected by the Company and any other possible recipients which</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may assist the Company (presently or in the future) with implementing, administering and managing the Plan to receive, possess, use, retain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transfer the Data, in electronic or other form, for the sole purpose of implementing, administering and managing his or her participation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Plan. Participant understands that Data will be held only as long as is necessary to implement, administer and manage Participant’s participation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Plan. Participant understands if he or she resides outside the United States, he or she may, at any time, view Data, request additional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about the storage and processing of Data, require any necessary amendments to Data or refuse or withdraw the consents herein, in 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case without cost, by contacting in writing his or her local human resources representative. Further, Participant understands that he or she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providing the consents herein on a purely voluntary basis. If Participant does not consent, or if Participant later seeks to revoke his or her consent,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his or her status as an Eligible Person and career with the Employer will not be adversely affected; the only adverse consequence of refusing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withdrawing Participant’s consent is that the Company would not be able to grant Participant Restricted Stock Units or other equity awards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administer or maintain such awards. Therefore, Participant understands that refusing or withdrawing his or her consent may affect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ability to participate in the Plan. For more information on the consequences of Participant’s refusal to consent or withdrawal of consent, Participant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understands that he or she may contact his or her local human resources representative.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8" w:name="page39"/>
    <w:bookmarkEnd w:id="38"/>
    <w:p>
      <w:pPr>
        <w:ind w:right="240" w:firstLine="436"/>
        <w:spacing w:after="0" w:line="342" w:lineRule="auto"/>
        <w:tabs>
          <w:tab w:leader="none" w:pos="71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Address for Notices</w:t>
      </w:r>
      <w:r>
        <w:rPr>
          <w:rFonts w:ascii="Arial" w:cs="Arial" w:eastAsia="Arial" w:hAnsi="Arial"/>
          <w:sz w:val="16"/>
          <w:szCs w:val="16"/>
          <w:color w:val="auto"/>
        </w:rPr>
        <w:t>. Any notice to be given to the Company under the terms of this Award Agreement will be addressed to the Company at P10, Inc., 4514 Cole Avenue, Suite 1600, Dallas, Texas 75205, or at such other address as the Company may hereafter designate in writing.</w:t>
      </w:r>
    </w:p>
    <w:p>
      <w:pPr>
        <w:spacing w:after="0" w:line="123" w:lineRule="exact"/>
        <w:rPr>
          <w:rFonts w:ascii="Arial" w:cs="Arial" w:eastAsia="Arial" w:hAnsi="Arial"/>
          <w:sz w:val="16"/>
          <w:szCs w:val="16"/>
          <w:color w:val="auto"/>
        </w:rPr>
      </w:pPr>
    </w:p>
    <w:p>
      <w:pPr>
        <w:ind w:right="60" w:firstLine="436"/>
        <w:spacing w:after="0" w:line="301" w:lineRule="auto"/>
        <w:tabs>
          <w:tab w:leader="none" w:pos="71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57" w:lineRule="exact"/>
        <w:rPr>
          <w:rFonts w:ascii="Arial" w:cs="Arial" w:eastAsia="Arial" w:hAnsi="Arial"/>
          <w:sz w:val="16"/>
          <w:szCs w:val="16"/>
          <w:color w:val="auto"/>
        </w:rPr>
      </w:pPr>
    </w:p>
    <w:p>
      <w:pPr>
        <w:ind w:firstLine="436"/>
        <w:spacing w:after="0" w:line="259"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Agreement shall not in any way be construed as a waiver of any such provision or provisions, nor prevent that party from thereafter enforcing each and every other provision of this Agreement. The rights granted both parties herein are cumulative and shall not constitute a waiver of either party’s right to assert all other legal remedies available to it under the circumstances.</w:t>
      </w:r>
    </w:p>
    <w:p>
      <w:pPr>
        <w:spacing w:after="0" w:line="186" w:lineRule="exact"/>
        <w:rPr>
          <w:rFonts w:ascii="Arial" w:cs="Arial" w:eastAsia="Arial" w:hAnsi="Arial"/>
          <w:sz w:val="18"/>
          <w:szCs w:val="18"/>
          <w:color w:val="auto"/>
        </w:rPr>
      </w:pPr>
    </w:p>
    <w:p>
      <w:pPr>
        <w:ind w:right="120" w:firstLine="436"/>
        <w:spacing w:after="0" w:line="259"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 The rights and obligations of Participant under this Agreement may only be assigned with the prior written consent of the Company.</w:t>
      </w:r>
    </w:p>
    <w:p>
      <w:pPr>
        <w:spacing w:after="0" w:line="186" w:lineRule="exact"/>
        <w:rPr>
          <w:rFonts w:ascii="Arial" w:cs="Arial" w:eastAsia="Arial" w:hAnsi="Arial"/>
          <w:sz w:val="18"/>
          <w:szCs w:val="18"/>
          <w:color w:val="auto"/>
        </w:rPr>
      </w:pPr>
    </w:p>
    <w:p>
      <w:pPr>
        <w:ind w:firstLine="436"/>
        <w:spacing w:after="0" w:line="270"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Agreement and the Plan, the Company shall not be required to issue any certificate or certificates for Shares hereunder prior to the lapse of such reasonable period of time following the date of vesting of the Restricted Stock Units as the Committee may establish from time to time for reasons of administrative convenience.</w:t>
      </w:r>
    </w:p>
    <w:p>
      <w:pPr>
        <w:spacing w:after="0" w:line="180" w:lineRule="exact"/>
        <w:rPr>
          <w:rFonts w:ascii="Arial" w:cs="Arial" w:eastAsia="Arial" w:hAnsi="Arial"/>
          <w:sz w:val="17"/>
          <w:szCs w:val="17"/>
          <w:color w:val="auto"/>
        </w:rPr>
      </w:pPr>
    </w:p>
    <w:p>
      <w:pPr>
        <w:ind w:right="200" w:firstLine="436"/>
        <w:spacing w:after="0" w:line="277"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ind w:firstLine="436"/>
        <w:spacing w:after="0" w:line="255"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9" w:name="page40"/>
    <w:bookmarkEnd w:id="39"/>
    <w:p>
      <w:pPr>
        <w:ind w:right="320" w:firstLine="436"/>
        <w:spacing w:after="0" w:line="277"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Captions</w:t>
      </w:r>
      <w:r>
        <w:rPr>
          <w:rFonts w:ascii="Arial" w:cs="Arial" w:eastAsia="Arial" w:hAnsi="Arial"/>
          <w:sz w:val="18"/>
          <w:szCs w:val="18"/>
          <w:color w:val="auto"/>
        </w:rPr>
        <w:t>. Captions provided herein are for convenience only and are not to serve as a basis for interpretation or construction of this Award Agreement.</w:t>
      </w:r>
    </w:p>
    <w:p>
      <w:pPr>
        <w:spacing w:after="0" w:line="170" w:lineRule="exact"/>
        <w:rPr>
          <w:rFonts w:ascii="Arial" w:cs="Arial" w:eastAsia="Arial" w:hAnsi="Arial"/>
          <w:sz w:val="18"/>
          <w:szCs w:val="18"/>
          <w:color w:val="auto"/>
        </w:rPr>
      </w:pPr>
    </w:p>
    <w:p>
      <w:pPr>
        <w:ind w:right="40" w:firstLine="436"/>
        <w:spacing w:after="0" w:line="293" w:lineRule="auto"/>
        <w:tabs>
          <w:tab w:leader="none" w:pos="71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64" w:lineRule="exact"/>
        <w:rPr>
          <w:rFonts w:ascii="Arial" w:cs="Arial" w:eastAsia="Arial" w:hAnsi="Arial"/>
          <w:sz w:val="16"/>
          <w:szCs w:val="16"/>
          <w:color w:val="auto"/>
        </w:rPr>
      </w:pPr>
    </w:p>
    <w:p>
      <w:pPr>
        <w:ind w:right="40" w:firstLine="436"/>
        <w:spacing w:after="0" w:line="257"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will be governed by the laws of Delaware, without giving effect to the conflict of law principles thereof. For purposes of litigating any dispute that arises under the Restricted Stock Units or this Award Agreement, the parties hereby submit to and consent to the jurisdiction of the State of Delaware, and agree that such litigation will be conducted in the Court of Chancery of the State of Delaware (or, if the Court of Chancery does not have, or declines to accept, jurisdiction, another state court or a federal court located within the State of Delaware), and no other courts.</w:t>
      </w:r>
    </w:p>
    <w:p>
      <w:pPr>
        <w:spacing w:after="0" w:line="187" w:lineRule="exact"/>
        <w:rPr>
          <w:rFonts w:ascii="Arial" w:cs="Arial" w:eastAsia="Arial" w:hAnsi="Arial"/>
          <w:sz w:val="18"/>
          <w:szCs w:val="18"/>
          <w:color w:val="auto"/>
        </w:rPr>
      </w:pPr>
    </w:p>
    <w:p>
      <w:pPr>
        <w:ind w:right="160" w:firstLine="436"/>
        <w:spacing w:after="0" w:line="342" w:lineRule="auto"/>
        <w:tabs>
          <w:tab w:leader="none" w:pos="71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23" w:lineRule="exact"/>
        <w:rPr>
          <w:rFonts w:ascii="Arial" w:cs="Arial" w:eastAsia="Arial" w:hAnsi="Arial"/>
          <w:sz w:val="16"/>
          <w:szCs w:val="16"/>
          <w:color w:val="auto"/>
        </w:rPr>
      </w:pPr>
    </w:p>
    <w:p>
      <w:pPr>
        <w:ind w:right="480" w:firstLine="436"/>
        <w:spacing w:after="0" w:line="263"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Restricted Stock Units under the Plan, and has received, read and understood a description of the Plan. Participant understands that the Plan is discretionary in nature and may be amended, suspended or terminated by the Company at any time.</w:t>
      </w:r>
    </w:p>
    <w:p>
      <w:pPr>
        <w:spacing w:after="0" w:line="183" w:lineRule="exact"/>
        <w:rPr>
          <w:rFonts w:ascii="Arial" w:cs="Arial" w:eastAsia="Arial" w:hAnsi="Arial"/>
          <w:sz w:val="18"/>
          <w:szCs w:val="18"/>
          <w:color w:val="auto"/>
        </w:rPr>
      </w:pPr>
    </w:p>
    <w:p>
      <w:pPr>
        <w:ind w:firstLine="436"/>
        <w:spacing w:after="0" w:line="259"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is incorporated herein by reference. The Plan and this Award Agreement (including the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082800"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20828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P10,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4514 Cole Ave.,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We have acted as counsel to P10, Inc., a Delaware corporation (the “Company”), in connection with the filing of a Registration Statement on Form S-3 (the “Registration Statement”) by the Company with the Securities and Exchange Commission (the “Commission”) under the Securities Act of 1933, as amended (the “Act”), covering the resale by the selling stockholders named therein (the “Selling Stockholders”) of up to 22,243,654 shares of the Company’s Class A common stock, par value $0.001 per share (the “Class A common stock”), consisting of (i) 7,485,016 outstanding shares of Class A common stock (the “Issued Shares”), (ii) up to 13,089 outstanding restricted shares of Class A common stock that remain subject to vesting (the “Issued Restricted Shares”), (iii) up to 13,777,083 shares of Class A common stock (the “Conversion Shares”) issuable upon conversion of shares of the Company’s Class B common stock, par value $0.001 per share (“Class B common stock”), (iv) up to 118,280 shares of Class A common stock issuable upon vesting and settlement of restricted stock units (the “RSU Shares”), and (v) up to 850,186 shares of Class A common stock issuable upon exercise of stock options (the “Option Shares”, and together with the Conversion Shares and the RSU Shares, the “Issuable Shares”) (the Issuable Shares, together with the Issued Shares and Issued Restricted Shares, the “Shares”).</w:t>
      </w:r>
    </w:p>
    <w:p>
      <w:pPr>
        <w:spacing w:after="0" w:line="185"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In connection with this opinion, we have examined and relied upon the Registration Statement and related prospectus, the Company’s Amended and Restated Certificate of Incorporation, and Amended and Restated Bylaws, each as currently in effect, and such other documents, records, certificates, memoranda and other instruments as in our judgment are necessary or appropriate to enable us to render the opinion expressed below.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under the Act and comply with all applicable laws and no stop order suspending the Registration Statement’s effectiveness will have been issued and remain in effect, in each case, at the time the Shares are offered and sold as contemplated by the Registration Statement; (v) that the Shares will be sold in compliance with applicable U.S. federal and state securities laws and in the manner stated in the Registration Statement; (vi) at the time of the issuance of any Issuable Shares, the Company will be a validly existing corporation under the law of its jurisdiction of incorporation; (vii) after the issuance of the Issuable Shares, the total number of issued and outstanding shares of the Class A common stock, together with the total number of shares of the Class A common stock reserved for issuance upon the exercise, exchange or conversion, as the case may be, of any exercisable, exchangeable or convertible security, as the case may be, then outstanding, will not exceed the total number of authorized shares of Class A common stock under the Company’s certificate of incorporation, as amended and then in effect; and (viii)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On the basis of the foregoing, and in reliance thereon, we are of the opinion that (i) the Issued Shares have been validly issued and are fully paid and nonassessable; (ii) the Issued Restricted Shares have been validly issued and are fully paid and nonassessable; and (iii) the Issuable Shares have been duly authorized by the Company and, when issued upon conversion, vesting or exercise, as applicable, will be validly issued, fully paid and non-assessable.</w:t>
      </w:r>
    </w:p>
    <w:p>
      <w:pPr>
        <w:sectPr>
          <w:pgSz w:w="11900" w:h="16838" w:orient="portrait"/>
          <w:cols w:equalWidth="0" w:num="1">
            <w:col w:w="11020"/>
          </w:cols>
          <w:pgMar w:left="440" w:top="121" w:right="439" w:bottom="1440" w:gutter="0" w:footer="0" w:header="0"/>
        </w:sectPr>
      </w:pPr>
    </w:p>
    <w:bookmarkStart w:id="41" w:name="page42"/>
    <w:bookmarkEnd w:id="41"/>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express no opinion as to the laws of any jurisdiction, other than the General Corporation Law of the State of Delaware. We do not express any opinion as to the effect on the matters covered by this letter of the laws of any other jurisdiction.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78"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We hereby consent to the reference to our firm under the caption “Legal Matters” in the prospectus included in the Registration Statement and to the filing of this opinion as Exhibit 5.1 to the Registration Statement. In giving such consent, we do not hereby admit that we are in the category of persons whose consent is required under Section 7 of the Act or the rules and regulations of the Commission.</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Baker &amp; Hostetler LLP</w:t>
      </w:r>
    </w:p>
    <w:p>
      <w:pPr>
        <w:sectPr>
          <w:pgSz w:w="11900" w:h="16838" w:orient="portrait"/>
          <w:cols w:equalWidth="0" w:num="1">
            <w:col w:w="10940"/>
          </w:cols>
          <w:pgMar w:left="440" w:top="274" w:right="5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consent to the use of our report dated March 27, 2023, with respect to the consolidated financial statements of P10, Inc., incorporated herein by reference and to the reference to our firm under the heading “Experts” in the prospectus.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2023</w:t>
      </w:r>
    </w:p>
    <w:p>
      <w:pPr>
        <w:sectPr>
          <w:pgSz w:w="11900" w:h="16838" w:orient="portrait"/>
          <w:cols w:equalWidth="0" w:num="1">
            <w:col w:w="11020"/>
          </w:cols>
          <w:pgMar w:left="440" w:top="121"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P10,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8"/>
        </w:trPr>
        <w:tc>
          <w:tcPr>
            <w:tcW w:w="142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c>
          <w:tcPr>
            <w:tcW w:w="10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Proposed</w:t>
            </w:r>
          </w:p>
        </w:tc>
        <w:tc>
          <w:tcPr>
            <w:tcW w:w="15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80" w:type="dxa"/>
            <w:vAlign w:val="bottom"/>
          </w:tcPr>
          <w:p>
            <w:pPr>
              <w:jc w:val="center"/>
              <w:ind w:left="18"/>
              <w:spacing w:after="0" w:line="135" w:lineRule="exact"/>
              <w:rPr>
                <w:sz w:val="20"/>
                <w:szCs w:val="20"/>
                <w:color w:val="auto"/>
              </w:rPr>
            </w:pPr>
            <w:r>
              <w:rPr>
                <w:rFonts w:ascii="Arial" w:cs="Arial" w:eastAsia="Arial" w:hAnsi="Arial"/>
                <w:sz w:val="13"/>
                <w:szCs w:val="13"/>
                <w:b w:val="1"/>
                <w:bCs w:val="1"/>
                <w:color w:val="auto"/>
                <w:w w:val="85"/>
              </w:rPr>
              <w:t>Security</w:t>
            </w: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or Carry</w:t>
            </w:r>
          </w:p>
        </w:tc>
        <w:tc>
          <w:tcPr>
            <w:tcW w:w="10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35"/>
        </w:trPr>
        <w:tc>
          <w:tcPr>
            <w:tcW w:w="142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Security</w:t>
            </w:r>
          </w:p>
        </w:tc>
        <w:tc>
          <w:tcPr>
            <w:tcW w:w="780" w:type="dxa"/>
            <w:vAlign w:val="bottom"/>
          </w:tcPr>
          <w:p>
            <w:pPr>
              <w:jc w:val="center"/>
              <w:ind w:left="18"/>
              <w:spacing w:after="0" w:line="135" w:lineRule="exact"/>
              <w:rPr>
                <w:sz w:val="20"/>
                <w:szCs w:val="20"/>
                <w:color w:val="auto"/>
              </w:rPr>
            </w:pPr>
            <w:r>
              <w:rPr>
                <w:rFonts w:ascii="Arial" w:cs="Arial" w:eastAsia="Arial" w:hAnsi="Arial"/>
                <w:sz w:val="13"/>
                <w:szCs w:val="13"/>
                <w:b w:val="1"/>
                <w:bCs w:val="1"/>
                <w:color w:val="auto"/>
                <w:w w:val="80"/>
              </w:rPr>
              <w:t>Class</w:t>
            </w:r>
          </w:p>
        </w:tc>
        <w:tc>
          <w:tcPr>
            <w:tcW w:w="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Forward</w:t>
            </w:r>
          </w:p>
        </w:tc>
        <w:tc>
          <w:tcPr>
            <w:tcW w:w="1020" w:type="dxa"/>
            <w:vAlign w:val="bottom"/>
            <w:tcBorders>
              <w:right w:val="single" w:sz="8" w:color="auto"/>
            </w:tcBorders>
          </w:tcPr>
          <w:p>
            <w:pPr>
              <w:jc w:val="right"/>
              <w:ind w:right="204"/>
              <w:spacing w:after="0" w:line="135" w:lineRule="exact"/>
              <w:rPr>
                <w:sz w:val="20"/>
                <w:szCs w:val="20"/>
                <w:color w:val="auto"/>
              </w:rPr>
            </w:pPr>
            <w:r>
              <w:rPr>
                <w:rFonts w:ascii="Arial" w:cs="Arial" w:eastAsia="Arial" w:hAnsi="Arial"/>
                <w:sz w:val="13"/>
                <w:szCs w:val="13"/>
                <w:b w:val="1"/>
                <w:bCs w:val="1"/>
                <w:color w:val="auto"/>
              </w:rPr>
              <w:t>Amount</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75"/>
        </w:trPr>
        <w:tc>
          <w:tcPr>
            <w:tcW w:w="142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780" w:type="dxa"/>
            <w:vAlign w:val="bottom"/>
            <w:tcBorders>
              <w:bottom w:val="single" w:sz="8" w:color="auto"/>
            </w:tcBorders>
          </w:tcPr>
          <w:p>
            <w:pPr>
              <w:jc w:val="center"/>
              <w:ind w:left="18"/>
              <w:spacing w:after="0"/>
              <w:rPr>
                <w:sz w:val="20"/>
                <w:szCs w:val="20"/>
                <w:color w:val="auto"/>
              </w:rPr>
            </w:pPr>
            <w:r>
              <w:rPr>
                <w:rFonts w:ascii="Arial" w:cs="Arial" w:eastAsia="Arial" w:hAnsi="Arial"/>
                <w:sz w:val="13"/>
                <w:szCs w:val="13"/>
                <w:b w:val="1"/>
                <w:bCs w:val="1"/>
                <w:color w:val="auto"/>
                <w:w w:val="89"/>
              </w:rPr>
              <w:t>Title</w:t>
            </w:r>
          </w:p>
        </w:tc>
        <w:tc>
          <w:tcPr>
            <w:tcW w:w="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1020" w:type="dxa"/>
            <w:vAlign w:val="bottom"/>
            <w:tcBorders>
              <w:bottom w:val="single" w:sz="8" w:color="auto"/>
              <w:right w:val="single" w:sz="8" w:color="auto"/>
            </w:tcBorders>
          </w:tcPr>
          <w:p>
            <w:pPr>
              <w:jc w:val="right"/>
              <w:ind w:right="84"/>
              <w:spacing w:after="0" w:line="176"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18"/>
                <w:szCs w:val="18"/>
                <w:b w:val="1"/>
                <w:bCs w:val="1"/>
                <w:color w:val="auto"/>
                <w:vertAlign w:val="superscript"/>
              </w:rPr>
              <w:t>(1)</w:t>
            </w:r>
          </w:p>
        </w:tc>
        <w:tc>
          <w:tcPr>
            <w:tcW w:w="7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1"/>
                <w:vertAlign w:val="subscript"/>
              </w:rPr>
              <w:t>Share</w:t>
            </w:r>
            <w:r>
              <w:rPr>
                <w:rFonts w:ascii="Arial" w:cs="Arial" w:eastAsia="Arial" w:hAnsi="Arial"/>
                <w:sz w:val="8"/>
                <w:szCs w:val="8"/>
                <w:b w:val="1"/>
                <w:bCs w:val="1"/>
                <w:color w:val="auto"/>
                <w:w w:val="91"/>
              </w:rPr>
              <w:t>(2) (3)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r>
      <w:tr>
        <w:trPr>
          <w:trHeight w:val="209"/>
        </w:trPr>
        <w:tc>
          <w:tcPr>
            <w:tcW w:w="14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780" w:type="dxa"/>
            <w:vAlign w:val="bottom"/>
          </w:tcPr>
          <w:p>
            <w:pPr>
              <w:jc w:val="center"/>
              <w:ind w:left="18"/>
              <w:spacing w:after="0"/>
              <w:rPr>
                <w:sz w:val="20"/>
                <w:szCs w:val="20"/>
                <w:color w:val="auto"/>
              </w:rPr>
            </w:pPr>
            <w:r>
              <w:rPr>
                <w:rFonts w:ascii="Arial" w:cs="Arial" w:eastAsia="Arial" w:hAnsi="Arial"/>
                <w:sz w:val="18"/>
                <w:szCs w:val="18"/>
                <w:color w:val="auto"/>
                <w:w w:val="90"/>
              </w:rPr>
              <w:t>Class A</w:t>
            </w:r>
          </w:p>
        </w:tc>
        <w:tc>
          <w:tcPr>
            <w:tcW w:w="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1020" w:type="dxa"/>
            <w:vAlign w:val="bottom"/>
            <w:tcBorders>
              <w:right w:val="single" w:sz="8" w:color="auto"/>
            </w:tcBorders>
          </w:tcPr>
          <w:p>
            <w:pPr>
              <w:jc w:val="right"/>
              <w:ind w:right="4"/>
              <w:spacing w:after="0"/>
              <w:rPr>
                <w:sz w:val="20"/>
                <w:szCs w:val="20"/>
                <w:color w:val="auto"/>
              </w:rPr>
            </w:pPr>
            <w:r>
              <w:rPr>
                <w:rFonts w:ascii="Arial" w:cs="Arial" w:eastAsia="Arial" w:hAnsi="Arial"/>
                <w:sz w:val="18"/>
                <w:szCs w:val="18"/>
                <w:color w:val="auto"/>
              </w:rPr>
              <w:t>22,243,654</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$9.215</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$204,975,271.61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0.00014760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$30,254.35</w:t>
            </w:r>
          </w:p>
        </w:tc>
      </w:tr>
      <w:tr>
        <w:trPr>
          <w:trHeight w:val="216"/>
        </w:trPr>
        <w:tc>
          <w:tcPr>
            <w:tcW w:w="142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660" w:type="dxa"/>
            <w:vAlign w:val="bottom"/>
            <w:tcBorders>
              <w:right w:val="single" w:sz="8" w:color="auto"/>
            </w:tcBorders>
          </w:tcPr>
          <w:p>
            <w:pPr>
              <w:spacing w:after="0"/>
              <w:rPr>
                <w:sz w:val="18"/>
                <w:szCs w:val="18"/>
                <w:color w:val="auto"/>
              </w:rPr>
            </w:pPr>
          </w:p>
        </w:tc>
        <w:tc>
          <w:tcPr>
            <w:tcW w:w="780" w:type="dxa"/>
            <w:vAlign w:val="bottom"/>
          </w:tcPr>
          <w:p>
            <w:pPr>
              <w:jc w:val="center"/>
              <w:ind w:left="18"/>
              <w:spacing w:after="0"/>
              <w:rPr>
                <w:sz w:val="20"/>
                <w:szCs w:val="20"/>
                <w:color w:val="auto"/>
              </w:rPr>
            </w:pPr>
            <w:r>
              <w:rPr>
                <w:rFonts w:ascii="Arial" w:cs="Arial" w:eastAsia="Arial" w:hAnsi="Arial"/>
                <w:sz w:val="18"/>
                <w:szCs w:val="18"/>
                <w:color w:val="auto"/>
                <w:w w:val="92"/>
              </w:rPr>
              <w:t>common</w:t>
            </w:r>
          </w:p>
        </w:tc>
        <w:tc>
          <w:tcPr>
            <w:tcW w:w="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stock, par</w:t>
            </w:r>
          </w:p>
        </w:tc>
        <w:tc>
          <w:tcPr>
            <w:tcW w:w="8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80" w:type="dxa"/>
            <w:vAlign w:val="bottom"/>
          </w:tcPr>
          <w:p>
            <w:pPr>
              <w:jc w:val="center"/>
              <w:ind w:left="18"/>
              <w:spacing w:after="0"/>
              <w:rPr>
                <w:sz w:val="20"/>
                <w:szCs w:val="20"/>
                <w:color w:val="auto"/>
              </w:rPr>
            </w:pPr>
            <w:r>
              <w:rPr>
                <w:rFonts w:ascii="Arial" w:cs="Arial" w:eastAsia="Arial" w:hAnsi="Arial"/>
                <w:sz w:val="18"/>
                <w:szCs w:val="18"/>
                <w:color w:val="auto"/>
                <w:w w:val="92"/>
              </w:rPr>
              <w:t>value</w:t>
            </w:r>
          </w:p>
        </w:tc>
        <w:tc>
          <w:tcPr>
            <w:tcW w:w="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80" w:type="dxa"/>
            <w:vAlign w:val="bottom"/>
          </w:tcPr>
          <w:p>
            <w:pPr>
              <w:jc w:val="center"/>
              <w:ind w:left="18"/>
              <w:spacing w:after="0"/>
              <w:rPr>
                <w:sz w:val="20"/>
                <w:szCs w:val="20"/>
                <w:color w:val="auto"/>
              </w:rPr>
            </w:pPr>
            <w:r>
              <w:rPr>
                <w:rFonts w:ascii="Arial" w:cs="Arial" w:eastAsia="Arial" w:hAnsi="Arial"/>
                <w:sz w:val="18"/>
                <w:szCs w:val="18"/>
                <w:color w:val="auto"/>
                <w:w w:val="87"/>
              </w:rPr>
              <w:t>$0.001</w:t>
            </w:r>
          </w:p>
        </w:tc>
        <w:tc>
          <w:tcPr>
            <w:tcW w:w="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7"/>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84"/>
              </w:rPr>
              <w:t>per share</w:t>
            </w:r>
          </w:p>
        </w:tc>
        <w:tc>
          <w:tcPr>
            <w:tcW w:w="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r>
      <w:tr>
        <w:trPr>
          <w:trHeight w:val="239"/>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3"/>
          </w:tcPr>
          <w:p>
            <w:pPr>
              <w:jc w:val="right"/>
              <w:ind w:right="4"/>
              <w:spacing w:after="0"/>
              <w:rPr>
                <w:sz w:val="20"/>
                <w:szCs w:val="20"/>
                <w:color w:val="auto"/>
              </w:rPr>
            </w:pPr>
            <w:r>
              <w:rPr>
                <w:rFonts w:ascii="Arial" w:cs="Arial" w:eastAsia="Arial" w:hAnsi="Arial"/>
                <w:sz w:val="18"/>
                <w:szCs w:val="18"/>
                <w:b w:val="1"/>
                <w:bCs w:val="1"/>
                <w:color w:val="auto"/>
                <w:w w:val="90"/>
              </w:rPr>
              <w:t>Total Offering Amounts</w:t>
            </w: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$30,254.35</w:t>
            </w:r>
          </w:p>
        </w:tc>
      </w:tr>
      <w:tr>
        <w:trPr>
          <w:trHeight w:val="237"/>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4"/>
          </w:tcPr>
          <w:p>
            <w:pPr>
              <w:jc w:val="right"/>
              <w:ind w:right="4"/>
              <w:spacing w:after="0"/>
              <w:rPr>
                <w:sz w:val="20"/>
                <w:szCs w:val="20"/>
                <w:color w:val="auto"/>
              </w:rPr>
            </w:pPr>
            <w:r>
              <w:rPr>
                <w:rFonts w:ascii="Arial" w:cs="Arial" w:eastAsia="Arial" w:hAnsi="Arial"/>
                <w:sz w:val="18"/>
                <w:szCs w:val="18"/>
                <w:b w:val="1"/>
                <w:bCs w:val="1"/>
                <w:color w:val="auto"/>
              </w:rPr>
              <w:t>Total Fees Previously Paid</w:t>
            </w: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60" w:type="dxa"/>
            <w:vAlign w:val="bottom"/>
            <w:tcBorders>
              <w:bottom w:val="single" w:sz="8" w:color="auto"/>
              <w:right w:val="single" w:sz="8" w:color="auto"/>
            </w:tcBorders>
            <w:gridSpan w:val="2"/>
          </w:tcPr>
          <w:p>
            <w:pPr>
              <w:jc w:val="right"/>
              <w:ind w:right="4"/>
              <w:spacing w:after="0"/>
              <w:rPr>
                <w:sz w:val="20"/>
                <w:szCs w:val="20"/>
                <w:color w:val="auto"/>
              </w:rPr>
            </w:pPr>
            <w:r>
              <w:rPr>
                <w:rFonts w:ascii="Arial" w:cs="Arial" w:eastAsia="Arial" w:hAnsi="Arial"/>
                <w:sz w:val="18"/>
                <w:szCs w:val="18"/>
                <w:b w:val="1"/>
                <w:bCs w:val="1"/>
                <w:color w:val="auto"/>
              </w:rPr>
              <w:t>Total Fee Offsets</w:t>
            </w: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4"/>
              <w:spacing w:after="0"/>
              <w:rPr>
                <w:sz w:val="20"/>
                <w:szCs w:val="20"/>
                <w:color w:val="auto"/>
              </w:rPr>
            </w:pPr>
            <w:r>
              <w:rPr>
                <w:rFonts w:ascii="Arial" w:cs="Arial" w:eastAsia="Arial" w:hAnsi="Arial"/>
                <w:sz w:val="18"/>
                <w:szCs w:val="18"/>
                <w:b w:val="1"/>
                <w:bCs w:val="1"/>
                <w:color w:val="auto"/>
                <w:w w:val="88"/>
              </w:rPr>
              <w:t>Net Fee Due</w:t>
            </w:r>
          </w:p>
        </w:tc>
        <w:tc>
          <w:tcPr>
            <w:tcW w:w="7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$30,254.35</w:t>
            </w:r>
          </w:p>
        </w:tc>
      </w:tr>
    </w:tbl>
    <w:p>
      <w:pPr>
        <w:spacing w:after="0" w:line="229" w:lineRule="exact"/>
        <w:rPr>
          <w:sz w:val="20"/>
          <w:szCs w:val="20"/>
          <w:color w:val="auto"/>
        </w:rPr>
      </w:pPr>
    </w:p>
    <w:p>
      <w:pPr>
        <w:ind w:left="424" w:right="160" w:hanging="424"/>
        <w:spacing w:after="0" w:line="25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shares of Class A common stock being registered hereunder include such indeterminate number of shares of Class A common stock as may be issuable by the registrant with respect to the shares being registered hereunder as a result of stock splits, stock dividends or similar transactions. There are also being registered hereunder an indeterminate number of shares of common stock as shall be issuable upon conversion, vesting or exercise of any securities that provide for such issuance.</w:t>
      </w:r>
    </w:p>
    <w:p>
      <w:pPr>
        <w:spacing w:after="0" w:line="3"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Rule 457(c) under the Securities Act, and solely for the purpose of calculating the registration fee, the proposed maximum offering price per share is $9.215, which is the average of the high and low prices of the shares of the Class A common stock on November 17, 2023 on the New York Stock Exchange.</w:t>
      </w:r>
    </w:p>
    <w:p>
      <w:pPr>
        <w:spacing w:after="0" w:line="1" w:lineRule="exact"/>
        <w:rPr>
          <w:rFonts w:ascii="Arial" w:cs="Arial" w:eastAsia="Arial" w:hAnsi="Arial"/>
          <w:sz w:val="18"/>
          <w:szCs w:val="18"/>
          <w:color w:val="auto"/>
        </w:rPr>
      </w:pPr>
    </w:p>
    <w:p>
      <w:pPr>
        <w:ind w:left="424" w:right="320" w:hanging="424"/>
        <w:spacing w:after="0" w:line="260"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proposed maximum offering price per share of Class A common stock will be determined from time to time in connection with, and at the time of, the sale by the holder of such Class A common stock registered hereunder.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7"/>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lowerRoman"/>
      <w:start w:val="1"/>
    </w:lvl>
  </w:abstractNum>
  <w:abstractNum w:abstractNumId="11">
    <w:nsid w:val="436C6125"/>
    <w:multiLevelType w:val="hybridMultilevel"/>
    <w:lvl w:ilvl="0">
      <w:lvlJc w:val="left"/>
      <w:lvlText w:val="(%1)"/>
      <w:numFmt w:val="decimal"/>
      <w:start w:val="2"/>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1)"/>
      <w:numFmt w:val="decimal"/>
      <w:start w:val="5"/>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1)"/>
      <w:numFmt w:val="decimal"/>
      <w:start w:val="6"/>
    </w:lvl>
  </w:abstractNum>
  <w:abstractNum w:abstractNumId="16">
    <w:nsid w:val="2D1D5AE9"/>
    <w:multiLevelType w:val="hybridMultilevel"/>
    <w:lvl w:ilvl="0">
      <w:lvlJc w:val="left"/>
      <w:lvlText w:val="(%1)"/>
      <w:numFmt w:val="lowerRoman"/>
      <w:start w:val="1"/>
    </w:lvl>
  </w:abstractNum>
  <w:abstractNum w:abstractNumId="17">
    <w:nsid w:val="6763845E"/>
    <w:multiLevelType w:val="hybridMultilevel"/>
    <w:lvl w:ilvl="0">
      <w:lvlJc w:val="left"/>
      <w:lvlText w:val="(%1)"/>
      <w:numFmt w:val="decimal"/>
      <w:start w:val="9"/>
    </w:lvl>
  </w:abstractNum>
  <w:abstractNum w:abstractNumId="18">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0">
    <w:nsid w:val="79838CB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
    <w:nsid w:val="4353D0C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2">
    <w:nsid w:val="B03E0C6"/>
    <w:multiLevelType w:val="hybridMultilevel"/>
    <w:lvl w:ilvl="0">
      <w:lvlJc w:val="left"/>
      <w:lvlText w:val="%1."/>
      <w:numFmt w:val="decimal"/>
      <w:start w:val="8"/>
    </w:lvl>
    <w:lvl w:ilvl="1">
      <w:lvlJc w:val="left"/>
      <w:lvlText w:val="(%2)"/>
      <w:numFmt w:val="lowerLetter"/>
      <w:start w:val="1"/>
    </w:lvl>
  </w:abstractNum>
  <w:abstractNum w:abstractNumId="23">
    <w:nsid w:val="189A769B"/>
    <w:multiLevelType w:val="hybridMultilevel"/>
    <w:lvl w:ilvl="0">
      <w:lvlJc w:val="left"/>
      <w:lvlText w:val="%1."/>
      <w:numFmt w:val="decimal"/>
      <w:start w:val="9"/>
    </w:lvl>
    <w:lvl w:ilvl="1">
      <w:lvlJc w:val="left"/>
      <w:lvlText w:val="(%2)"/>
      <w:numFmt w:val="lowerLetter"/>
      <w:start w:val="1"/>
    </w:lvl>
  </w:abstractNum>
  <w:abstractNum w:abstractNumId="24">
    <w:nsid w:val="54E49EB4"/>
    <w:multiLevelType w:val="hybridMultilevel"/>
    <w:lvl w:ilvl="0">
      <w:lvlJc w:val="left"/>
      <w:lvlText w:val="(%1)"/>
      <w:numFmt w:val="lowerLetter"/>
      <w:start w:val="6"/>
    </w:lvl>
    <w:lvl w:ilvl="1">
      <w:lvlJc w:val="left"/>
      <w:lvlText w:val="(%2)"/>
      <w:numFmt w:val="lowerRoman"/>
      <w:start w:val="1"/>
    </w:lvl>
  </w:abstractNum>
  <w:abstractNum w:abstractNumId="25">
    <w:nsid w:val="71F32454"/>
    <w:multiLevelType w:val="hybridMultilevel"/>
    <w:lvl w:ilvl="0">
      <w:lvlJc w:val="left"/>
      <w:lvlText w:val="%1."/>
      <w:numFmt w:val="decimal"/>
      <w:start w:val="13"/>
    </w:lvl>
  </w:abstractNum>
  <w:abstractNum w:abstractNumId="26">
    <w:nsid w:val="2CA88611"/>
    <w:multiLevelType w:val="hybridMultilevel"/>
    <w:lvl w:ilvl="0">
      <w:lvlJc w:val="left"/>
      <w:lvlText w:val="%1."/>
      <w:numFmt w:val="decimal"/>
      <w:start w:val="15"/>
    </w:lvl>
  </w:abstractNum>
  <w:abstractNum w:abstractNumId="27">
    <w:nsid w:val="836C40E"/>
    <w:multiLevelType w:val="hybridMultilevel"/>
    <w:lvl w:ilvl="0">
      <w:lvlJc w:val="left"/>
      <w:lvlText w:val="%1."/>
      <w:numFmt w:val="decimal"/>
      <w:start w:val="22"/>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jpeg"/><Relationship Id="rId94" Type="http://schemas.openxmlformats.org/officeDocument/2006/relationships/image" Target="media/image67.png"/><Relationship Id="rId46" Type="http://schemas.openxmlformats.org/officeDocument/2006/relationships/hyperlink" Target="http://www.sec.gov/Archives/edgar/data/1841968/000095017023010038/px-20221231.htm" TargetMode="External"/><Relationship Id="rId47" Type="http://schemas.openxmlformats.org/officeDocument/2006/relationships/hyperlink" Target="http://www.sec.gov/Archives/edgar/data/1841968/000095017023022237/px-20230331.htm" TargetMode="External"/><Relationship Id="rId48" Type="http://schemas.openxmlformats.org/officeDocument/2006/relationships/hyperlink" Target="http://www.sec.gov/Archives/edgar/data/1841968/000095017023042347/px-20230630.htm" TargetMode="External"/><Relationship Id="rId49" Type="http://schemas.openxmlformats.org/officeDocument/2006/relationships/hyperlink" Target="http://www.sec.gov/Archives/edgar/data/1841968/000095017023063085/px-20230930.htm" TargetMode="External"/><Relationship Id="rId50" Type="http://schemas.openxmlformats.org/officeDocument/2006/relationships/hyperlink" Target="http://www.sec.gov/Archives/edgar/data/1841968/000119312523061388/d474710d8k.htm" TargetMode="External"/><Relationship Id="rId51" Type="http://schemas.openxmlformats.org/officeDocument/2006/relationships/hyperlink" Target="http://www.sec.gov/Archives/edgar/data/1841968/000119312523145001/d386939d8k.htm" TargetMode="External"/><Relationship Id="rId52" Type="http://schemas.openxmlformats.org/officeDocument/2006/relationships/hyperlink" Target="http://www.sec.gov/Archives/edgar/data/1841968/000119312523170296/d347272d8k.htm" TargetMode="External"/><Relationship Id="rId53" Type="http://schemas.openxmlformats.org/officeDocument/2006/relationships/hyperlink" Target="http://www.sec.gov/Archives/edgar/data/1841968/000095017023041284/px-20230810.htm" TargetMode="External"/><Relationship Id="rId54" Type="http://schemas.openxmlformats.org/officeDocument/2006/relationships/hyperlink" Target="http://www.sec.gov/Archives/edgar/data/1841968/000095017023048781/px-20230915.htm" TargetMode="External"/><Relationship Id="rId55" Type="http://schemas.openxmlformats.org/officeDocument/2006/relationships/hyperlink" Target="http://www.sec.gov/Archives/edgar/data/1841968/000095017023055190/px-20231020.htm" TargetMode="External"/><Relationship Id="rId56" Type="http://schemas.openxmlformats.org/officeDocument/2006/relationships/hyperlink" Target="http://www.sec.gov/ix?doc=/Archives/edgar/data/1841968/000095017023062053/px-20231109.htm" TargetMode="External"/><Relationship Id="rId57" Type="http://schemas.openxmlformats.org/officeDocument/2006/relationships/hyperlink" Target="http://www.sec.gov/Archives/edgar/data/1841968/000119312523111679/d441067ddef14a.htm" TargetMode="External"/><Relationship Id="rId58" Type="http://schemas.openxmlformats.org/officeDocument/2006/relationships/hyperlink" Target="http://www.sec.gov/Archives/edgar/data/1841968/000119312521305414/d118332d424b4.htm#toc118332_17" TargetMode="External"/><Relationship Id="rId59" Type="http://schemas.openxmlformats.org/officeDocument/2006/relationships/hyperlink" Target="http://www.sec.gov/Archives/edgar/data/1841968/000119312521302126/d197268d8a12b.htm" TargetMode="External"/><Relationship Id="rId69" Type="http://schemas.openxmlformats.org/officeDocument/2006/relationships/hyperlink" Target="http://www.sec.gov/Archives/edgar/data/1841968/000119312521308150/d247132dex31.htm" TargetMode="External"/><Relationship Id="rId70" Type="http://schemas.openxmlformats.org/officeDocument/2006/relationships/hyperlink" Target="http://www.sec.gov/Archives/edgar/data/1841968/000119312521308150/d247132dex32.htm" TargetMode="External"/><Relationship Id="rId71" Type="http://schemas.openxmlformats.org/officeDocument/2006/relationships/hyperlink" Target="http://www.sec.gov/Archives/edgar/data/1841968/000095017023022237/px-ex10_1.htm" TargetMode="External"/><Relationship Id="rId72" Type="http://schemas.openxmlformats.org/officeDocument/2006/relationships/hyperlink" Target="http://www.sec.gov/Archives/edgar/data/1841968/000119312521300289/d118332dex102.htm" TargetMode="External"/><Relationship Id="rId73" Type="http://schemas.openxmlformats.org/officeDocument/2006/relationships/hyperlink" Target="http://www.sec.gov/Archives/edgar/data/1841968/000095017023063085/px-ex10_2.htm" TargetMode="External"/><Relationship Id="rId74" Type="http://schemas.openxmlformats.org/officeDocument/2006/relationships/hyperlink" Target="http://www.sec.gov/Archives/edgar/data/1841968/000095017023063085/px-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2023-11-20T16:12:11Z</dcterms:created>
  <dcterms:modified xsi:type="dcterms:W3CDTF">2023-11-20T16:12:11Z</dcterms:modified>
</cp:coreProperties>
</file>