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UNITED STATES</w:t>
      </w:r>
    </w:p>
    <w:p>
      <w:pPr>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rPr>
          <w:sz w:val="20"/>
          <w:szCs w:val="20"/>
          <w:color w:val="auto"/>
        </w:rPr>
      </w:pPr>
      <w:r>
        <w:rPr>
          <w:rFonts w:ascii="Courier New" w:cs="Courier New" w:eastAsia="Courier New" w:hAnsi="Courier New"/>
          <w:sz w:val="18"/>
          <w:szCs w:val="18"/>
          <w:color w:val="auto"/>
        </w:rPr>
        <w:t>SCHEDULE 13G</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(Amendment No. )</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P10, Inc.</w:t>
      </w:r>
    </w:p>
    <w:p>
      <w:pPr>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COMMON STOCK</w:t>
      </w:r>
    </w:p>
    <w:p>
      <w:pPr>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69376K106</w:t>
      </w:r>
    </w:p>
    <w:p>
      <w:pPr>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October 31, 2021</w:t>
      </w:r>
    </w:p>
    <w:p>
      <w:pPr>
        <w:spacing w:after="0" w:line="238" w:lineRule="auto"/>
        <w:rPr>
          <w:sz w:val="20"/>
          <w:szCs w:val="20"/>
          <w:color w:val="auto"/>
        </w:rPr>
      </w:pPr>
      <w:r>
        <w:rPr>
          <w:rFonts w:ascii="Courier New" w:cs="Courier New" w:eastAsia="Courier New" w:hAnsi="Courier New"/>
          <w:sz w:val="18"/>
          <w:szCs w:val="18"/>
          <w:color w:val="auto"/>
        </w:rPr>
        <w:t>(Date of Event which Requires Filing of Statement)</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Check the appropriate box to designate the Rule pursuant to which this</w:t>
      </w:r>
    </w:p>
    <w:p>
      <w:pPr>
        <w:spacing w:after="0" w:line="238" w:lineRule="auto"/>
        <w:rPr>
          <w:sz w:val="20"/>
          <w:szCs w:val="20"/>
          <w:color w:val="auto"/>
        </w:rPr>
      </w:pPr>
      <w:r>
        <w:rPr>
          <w:rFonts w:ascii="Courier New" w:cs="Courier New" w:eastAsia="Courier New" w:hAnsi="Courier New"/>
          <w:sz w:val="18"/>
          <w:szCs w:val="18"/>
          <w:color w:val="auto"/>
        </w:rPr>
        <w:t>Schedule is filed:</w:t>
      </w:r>
    </w:p>
    <w:p>
      <w:pPr>
        <w:spacing w:after="0" w:line="5" w:lineRule="exact"/>
        <w:rPr>
          <w:sz w:val="24"/>
          <w:szCs w:val="24"/>
          <w:color w:val="auto"/>
        </w:rPr>
      </w:pPr>
    </w:p>
    <w:p>
      <w:pPr>
        <w:jc w:val="both"/>
        <w:ind w:left="540" w:right="8019" w:hanging="532"/>
        <w:spacing w:after="0" w:line="279" w:lineRule="auto"/>
        <w:tabs>
          <w:tab w:leader="none" w:pos="54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 - 1(b) Rule 13d - 1(c) Rule 13d - 1(d)</w:t>
      </w:r>
    </w:p>
    <w:p>
      <w:pPr>
        <w:spacing w:after="0" w:line="172" w:lineRule="exact"/>
        <w:rPr>
          <w:sz w:val="24"/>
          <w:szCs w:val="24"/>
          <w:color w:val="auto"/>
        </w:rPr>
      </w:pPr>
    </w:p>
    <w:p>
      <w:pPr>
        <w:ind w:left="320" w:hanging="312"/>
        <w:spacing w:after="0"/>
        <w:tabs>
          <w:tab w:leader="none" w:pos="3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 ROWE PRICE ASSOCIATES, INC.</w:t>
      </w:r>
    </w:p>
    <w:p>
      <w:pPr>
        <w:ind w:left="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52-0556948</w:t>
      </w:r>
    </w:p>
    <w:p>
      <w:pPr>
        <w:spacing w:after="0" w:line="201" w:lineRule="exact"/>
        <w:rPr>
          <w:rFonts w:ascii="Courier New" w:cs="Courier New" w:eastAsia="Courier New" w:hAnsi="Courier New"/>
          <w:sz w:val="18"/>
          <w:szCs w:val="18"/>
          <w:color w:val="auto"/>
        </w:rPr>
      </w:pPr>
    </w:p>
    <w:p>
      <w:pPr>
        <w:ind w:left="320" w:hanging="312"/>
        <w:spacing w:after="0"/>
        <w:tabs>
          <w:tab w:leader="none" w:pos="3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ind w:left="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NOT APPLICABLE</w:t>
      </w:r>
    </w:p>
    <w:p>
      <w:pPr>
        <w:spacing w:after="0" w:line="201" w:lineRule="exact"/>
        <w:rPr>
          <w:rFonts w:ascii="Courier New" w:cs="Courier New" w:eastAsia="Courier New" w:hAnsi="Courier New"/>
          <w:sz w:val="18"/>
          <w:szCs w:val="18"/>
          <w:color w:val="auto"/>
        </w:rPr>
      </w:pPr>
    </w:p>
    <w:p>
      <w:pPr>
        <w:ind w:left="320" w:hanging="312"/>
        <w:spacing w:after="0"/>
        <w:tabs>
          <w:tab w:leader="none" w:pos="3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6" w:lineRule="exact"/>
        <w:rPr>
          <w:rFonts w:ascii="Courier New" w:cs="Courier New" w:eastAsia="Courier New" w:hAnsi="Courier New"/>
          <w:sz w:val="18"/>
          <w:szCs w:val="18"/>
          <w:color w:val="auto"/>
        </w:rPr>
      </w:pPr>
    </w:p>
    <w:p>
      <w:pPr>
        <w:ind w:left="320" w:right="6019" w:hanging="312"/>
        <w:spacing w:after="0" w:line="235" w:lineRule="auto"/>
        <w:tabs>
          <w:tab w:leader="none" w:pos="3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Maryland</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Number of Shares Beneficially Owned by Each Reporting Person With</w:t>
      </w:r>
    </w:p>
    <w:p>
      <w:pPr>
        <w:spacing w:after="0" w:line="201"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280" w:type="dxa"/>
            <w:vAlign w:val="bottom"/>
          </w:tcPr>
          <w:p>
            <w:pPr>
              <w:jc w:val="right"/>
              <w:spacing w:after="0"/>
              <w:rPr>
                <w:sz w:val="20"/>
                <w:szCs w:val="20"/>
                <w:color w:val="auto"/>
              </w:rPr>
            </w:pPr>
            <w:r>
              <w:rPr>
                <w:rFonts w:ascii="Courier New" w:cs="Courier New" w:eastAsia="Courier New" w:hAnsi="Courier New"/>
                <w:sz w:val="18"/>
                <w:szCs w:val="18"/>
                <w:color w:val="auto"/>
                <w:w w:val="92"/>
              </w:rPr>
              <w:t>5.</w:t>
            </w:r>
          </w:p>
        </w:tc>
        <w:tc>
          <w:tcPr>
            <w:tcW w:w="520" w:type="dxa"/>
            <w:vAlign w:val="bottom"/>
          </w:tcPr>
          <w:p>
            <w:pPr>
              <w:ind w:left="40"/>
              <w:spacing w:after="0"/>
              <w:rPr>
                <w:sz w:val="20"/>
                <w:szCs w:val="20"/>
                <w:color w:val="auto"/>
              </w:rPr>
            </w:pPr>
            <w:r>
              <w:rPr>
                <w:rFonts w:ascii="Courier New" w:cs="Courier New" w:eastAsia="Courier New" w:hAnsi="Courier New"/>
                <w:sz w:val="18"/>
                <w:szCs w:val="18"/>
                <w:color w:val="auto"/>
              </w:rPr>
              <w:t>Sole</w:t>
            </w:r>
          </w:p>
        </w:tc>
        <w:tc>
          <w:tcPr>
            <w:tcW w:w="220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Voting Power*</w:t>
            </w:r>
          </w:p>
        </w:tc>
        <w:tc>
          <w:tcPr>
            <w:tcW w:w="1120" w:type="dxa"/>
            <w:vAlign w:val="bottom"/>
          </w:tcPr>
          <w:p>
            <w:pPr>
              <w:ind w:left="160"/>
              <w:spacing w:after="0"/>
              <w:rPr>
                <w:sz w:val="20"/>
                <w:szCs w:val="20"/>
                <w:color w:val="auto"/>
              </w:rPr>
            </w:pPr>
            <w:r>
              <w:rPr>
                <w:rFonts w:ascii="Courier New" w:cs="Courier New" w:eastAsia="Courier New" w:hAnsi="Courier New"/>
                <w:sz w:val="18"/>
                <w:szCs w:val="18"/>
                <w:color w:val="auto"/>
              </w:rPr>
              <w:t>479,183</w:t>
            </w:r>
          </w:p>
        </w:tc>
      </w:tr>
      <w:tr>
        <w:trPr>
          <w:trHeight w:val="405"/>
        </w:trPr>
        <w:tc>
          <w:tcPr>
            <w:tcW w:w="280" w:type="dxa"/>
            <w:vAlign w:val="bottom"/>
          </w:tcPr>
          <w:p>
            <w:pPr>
              <w:jc w:val="right"/>
              <w:spacing w:after="0"/>
              <w:rPr>
                <w:sz w:val="20"/>
                <w:szCs w:val="20"/>
                <w:color w:val="auto"/>
              </w:rPr>
            </w:pPr>
            <w:r>
              <w:rPr>
                <w:rFonts w:ascii="Courier New" w:cs="Courier New" w:eastAsia="Courier New" w:hAnsi="Courier New"/>
                <w:sz w:val="18"/>
                <w:szCs w:val="18"/>
                <w:color w:val="auto"/>
                <w:w w:val="92"/>
              </w:rPr>
              <w:t>6.</w:t>
            </w:r>
          </w:p>
        </w:tc>
        <w:tc>
          <w:tcPr>
            <w:tcW w:w="72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Shared</w:t>
            </w:r>
          </w:p>
        </w:tc>
        <w:tc>
          <w:tcPr>
            <w:tcW w:w="2000" w:type="dxa"/>
            <w:vAlign w:val="bottom"/>
          </w:tcPr>
          <w:p>
            <w:pPr>
              <w:ind w:left="60"/>
              <w:spacing w:after="0"/>
              <w:rPr>
                <w:sz w:val="20"/>
                <w:szCs w:val="20"/>
                <w:color w:val="auto"/>
              </w:rPr>
            </w:pPr>
            <w:r>
              <w:rPr>
                <w:rFonts w:ascii="Courier New" w:cs="Courier New" w:eastAsia="Courier New" w:hAnsi="Courier New"/>
                <w:sz w:val="18"/>
                <w:szCs w:val="18"/>
                <w:color w:val="auto"/>
              </w:rPr>
              <w:t>Voting Power*</w:t>
            </w:r>
          </w:p>
        </w:tc>
        <w:tc>
          <w:tcPr>
            <w:tcW w:w="1120" w:type="dxa"/>
            <w:vAlign w:val="bottom"/>
          </w:tcPr>
          <w:p>
            <w:pPr>
              <w:ind w:left="160"/>
              <w:spacing w:after="0"/>
              <w:rPr>
                <w:sz w:val="20"/>
                <w:szCs w:val="20"/>
                <w:color w:val="auto"/>
              </w:rPr>
            </w:pPr>
            <w:r>
              <w:rPr>
                <w:rFonts w:ascii="Courier New" w:cs="Courier New" w:eastAsia="Courier New" w:hAnsi="Courier New"/>
                <w:sz w:val="18"/>
                <w:szCs w:val="18"/>
                <w:color w:val="auto"/>
              </w:rPr>
              <w:t>0</w:t>
            </w:r>
          </w:p>
        </w:tc>
      </w:tr>
      <w:tr>
        <w:trPr>
          <w:trHeight w:val="405"/>
        </w:trPr>
        <w:tc>
          <w:tcPr>
            <w:tcW w:w="280" w:type="dxa"/>
            <w:vAlign w:val="bottom"/>
          </w:tcPr>
          <w:p>
            <w:pPr>
              <w:jc w:val="right"/>
              <w:spacing w:after="0"/>
              <w:rPr>
                <w:sz w:val="20"/>
                <w:szCs w:val="20"/>
                <w:color w:val="auto"/>
              </w:rPr>
            </w:pPr>
            <w:r>
              <w:rPr>
                <w:rFonts w:ascii="Courier New" w:cs="Courier New" w:eastAsia="Courier New" w:hAnsi="Courier New"/>
                <w:sz w:val="18"/>
                <w:szCs w:val="18"/>
                <w:color w:val="auto"/>
                <w:w w:val="92"/>
              </w:rPr>
              <w:t>7.</w:t>
            </w:r>
          </w:p>
        </w:tc>
        <w:tc>
          <w:tcPr>
            <w:tcW w:w="520" w:type="dxa"/>
            <w:vAlign w:val="bottom"/>
          </w:tcPr>
          <w:p>
            <w:pPr>
              <w:ind w:left="40"/>
              <w:spacing w:after="0"/>
              <w:rPr>
                <w:sz w:val="20"/>
                <w:szCs w:val="20"/>
                <w:color w:val="auto"/>
              </w:rPr>
            </w:pPr>
            <w:r>
              <w:rPr>
                <w:rFonts w:ascii="Courier New" w:cs="Courier New" w:eastAsia="Courier New" w:hAnsi="Courier New"/>
                <w:sz w:val="18"/>
                <w:szCs w:val="18"/>
                <w:color w:val="auto"/>
              </w:rPr>
              <w:t>Sole</w:t>
            </w:r>
          </w:p>
        </w:tc>
        <w:tc>
          <w:tcPr>
            <w:tcW w:w="220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Dispositive Power*</w:t>
            </w:r>
          </w:p>
        </w:tc>
        <w:tc>
          <w:tcPr>
            <w:tcW w:w="1120" w:type="dxa"/>
            <w:vAlign w:val="bottom"/>
          </w:tcPr>
          <w:p>
            <w:pPr>
              <w:ind w:left="160"/>
              <w:spacing w:after="0"/>
              <w:rPr>
                <w:sz w:val="20"/>
                <w:szCs w:val="20"/>
                <w:color w:val="auto"/>
              </w:rPr>
            </w:pPr>
            <w:r>
              <w:rPr>
                <w:rFonts w:ascii="Courier New" w:cs="Courier New" w:eastAsia="Courier New" w:hAnsi="Courier New"/>
                <w:sz w:val="18"/>
                <w:szCs w:val="18"/>
                <w:color w:val="auto"/>
                <w:w w:val="96"/>
              </w:rPr>
              <w:t>2,498,700</w:t>
            </w:r>
          </w:p>
        </w:tc>
      </w:tr>
      <w:tr>
        <w:trPr>
          <w:trHeight w:val="405"/>
        </w:trPr>
        <w:tc>
          <w:tcPr>
            <w:tcW w:w="280" w:type="dxa"/>
            <w:vAlign w:val="bottom"/>
          </w:tcPr>
          <w:p>
            <w:pPr>
              <w:jc w:val="right"/>
              <w:spacing w:after="0"/>
              <w:rPr>
                <w:sz w:val="20"/>
                <w:szCs w:val="20"/>
                <w:color w:val="auto"/>
              </w:rPr>
            </w:pPr>
            <w:r>
              <w:rPr>
                <w:rFonts w:ascii="Courier New" w:cs="Courier New" w:eastAsia="Courier New" w:hAnsi="Courier New"/>
                <w:sz w:val="18"/>
                <w:szCs w:val="18"/>
                <w:color w:val="auto"/>
                <w:w w:val="92"/>
              </w:rPr>
              <w:t>8.</w:t>
            </w:r>
          </w:p>
        </w:tc>
        <w:tc>
          <w:tcPr>
            <w:tcW w:w="72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Shared</w:t>
            </w:r>
          </w:p>
        </w:tc>
        <w:tc>
          <w:tcPr>
            <w:tcW w:w="2000" w:type="dxa"/>
            <w:vAlign w:val="bottom"/>
          </w:tcPr>
          <w:p>
            <w:pPr>
              <w:ind w:left="60"/>
              <w:spacing w:after="0"/>
              <w:rPr>
                <w:sz w:val="20"/>
                <w:szCs w:val="20"/>
                <w:color w:val="auto"/>
              </w:rPr>
            </w:pPr>
            <w:r>
              <w:rPr>
                <w:rFonts w:ascii="Courier New" w:cs="Courier New" w:eastAsia="Courier New" w:hAnsi="Courier New"/>
                <w:sz w:val="18"/>
                <w:szCs w:val="18"/>
                <w:color w:val="auto"/>
              </w:rPr>
              <w:t>Dispositive Power</w:t>
            </w:r>
          </w:p>
        </w:tc>
        <w:tc>
          <w:tcPr>
            <w:tcW w:w="1120" w:type="dxa"/>
            <w:vAlign w:val="bottom"/>
          </w:tcPr>
          <w:p>
            <w:pPr>
              <w:ind w:left="160"/>
              <w:spacing w:after="0"/>
              <w:rPr>
                <w:sz w:val="20"/>
                <w:szCs w:val="20"/>
                <w:color w:val="auto"/>
              </w:rPr>
            </w:pPr>
            <w:r>
              <w:rPr>
                <w:rFonts w:ascii="Courier New" w:cs="Courier New" w:eastAsia="Courier New" w:hAnsi="Courier New"/>
                <w:sz w:val="18"/>
                <w:szCs w:val="18"/>
                <w:color w:val="auto"/>
              </w:rPr>
              <w:t>0</w:t>
            </w:r>
          </w:p>
        </w:tc>
      </w:tr>
    </w:tbl>
    <w:p>
      <w:pPr>
        <w:spacing w:after="0" w:line="207" w:lineRule="exact"/>
        <w:rPr>
          <w:sz w:val="24"/>
          <w:szCs w:val="24"/>
          <w:color w:val="auto"/>
        </w:rPr>
      </w:pPr>
    </w:p>
    <w:p>
      <w:pPr>
        <w:ind w:left="320" w:right="3499" w:hanging="312"/>
        <w:spacing w:after="0" w:line="235" w:lineRule="auto"/>
        <w:tabs>
          <w:tab w:leader="none" w:pos="3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2,498,700</w:t>
      </w:r>
    </w:p>
    <w:p>
      <w:pPr>
        <w:spacing w:after="0" w:line="208"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Check Box if the Aggregate Amount in Row (9) Excludes Certain Shares</w:t>
      </w:r>
    </w:p>
    <w:p>
      <w:pPr>
        <w:spacing w:after="0" w:line="16" w:lineRule="exact"/>
        <w:rPr>
          <w:rFonts w:ascii="Courier New" w:cs="Courier New" w:eastAsia="Courier New" w:hAnsi="Courier New"/>
          <w:sz w:val="16"/>
          <w:szCs w:val="16"/>
          <w:color w:val="auto"/>
        </w:rPr>
      </w:pPr>
    </w:p>
    <w:p>
      <w:pPr>
        <w:ind w:left="8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NOT APPLICABLE</w:t>
      </w:r>
    </w:p>
    <w:p>
      <w:pPr>
        <w:spacing w:after="0" w:line="201" w:lineRule="exact"/>
        <w:rPr>
          <w:rFonts w:ascii="Courier New" w:cs="Courier New" w:eastAsia="Courier New" w:hAnsi="Courier New"/>
          <w:sz w:val="16"/>
          <w:szCs w:val="16"/>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ind w:left="860"/>
        <w:spacing w:after="0" w:line="238" w:lineRule="auto"/>
        <w:rPr>
          <w:sz w:val="20"/>
          <w:szCs w:val="20"/>
          <w:color w:val="auto"/>
        </w:rPr>
      </w:pPr>
      <w:r>
        <w:rPr>
          <w:rFonts w:ascii="Courier New" w:cs="Courier New" w:eastAsia="Courier New" w:hAnsi="Courier New"/>
          <w:sz w:val="18"/>
          <w:szCs w:val="18"/>
          <w:color w:val="auto"/>
        </w:rPr>
        <w:t>12.4%</w:t>
      </w:r>
    </w:p>
    <w:p>
      <w:pPr>
        <w:spacing w:after="0" w:line="201" w:lineRule="exact"/>
        <w:rPr>
          <w:sz w:val="24"/>
          <w:szCs w:val="24"/>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IA</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*Any shares reported in Items 5 and 6 are also reported in Item 7.</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238" w:lineRule="auto"/>
        <w:rPr>
          <w:sz w:val="20"/>
          <w:szCs w:val="20"/>
          <w:color w:val="auto"/>
        </w:rPr>
      </w:pPr>
      <w:r>
        <w:rPr>
          <w:rFonts w:ascii="Courier New" w:cs="Courier New" w:eastAsia="Courier New" w:hAnsi="Courier New"/>
          <w:sz w:val="18"/>
          <w:szCs w:val="18"/>
          <w:color w:val="auto"/>
        </w:rPr>
        <w:t>P10, Inc.</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238" w:lineRule="auto"/>
        <w:rPr>
          <w:sz w:val="20"/>
          <w:szCs w:val="20"/>
          <w:color w:val="auto"/>
        </w:rPr>
      </w:pPr>
      <w:r>
        <w:rPr>
          <w:rFonts w:ascii="Courier New" w:cs="Courier New" w:eastAsia="Courier New" w:hAnsi="Courier New"/>
          <w:sz w:val="18"/>
          <w:szCs w:val="18"/>
          <w:color w:val="auto"/>
        </w:rPr>
        <w:t>4514 COLE AVENUE, SUITE 1600, DALLAS, TX 75205</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2(a) Name of Person(s) Filing:</w:t>
      </w:r>
    </w:p>
    <w:p>
      <w:pPr>
        <w:spacing w:after="0" w:line="238" w:lineRule="auto"/>
        <w:rPr>
          <w:sz w:val="20"/>
          <w:szCs w:val="20"/>
          <w:color w:val="auto"/>
        </w:rPr>
      </w:pPr>
      <w:r>
        <w:rPr>
          <w:rFonts w:ascii="Courier New" w:cs="Courier New" w:eastAsia="Courier New" w:hAnsi="Courier New"/>
          <w:sz w:val="18"/>
          <w:szCs w:val="18"/>
          <w:color w:val="auto"/>
        </w:rPr>
        <w:t>(1) T. ROWE PRICE ASSOCIATES, INC. ("Price Associates")</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2(b) Address of Principal Business Office:</w:t>
      </w:r>
    </w:p>
    <w:p>
      <w:pPr>
        <w:spacing w:after="0" w:line="238" w:lineRule="auto"/>
        <w:rPr>
          <w:sz w:val="20"/>
          <w:szCs w:val="20"/>
          <w:color w:val="auto"/>
        </w:rPr>
      </w:pPr>
      <w:r>
        <w:rPr>
          <w:rFonts w:ascii="Courier New" w:cs="Courier New" w:eastAsia="Courier New" w:hAnsi="Courier New"/>
          <w:sz w:val="18"/>
          <w:szCs w:val="18"/>
          <w:color w:val="auto"/>
        </w:rPr>
        <w:t>100 E. Pratt Street, Baltimore, MD 21202</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2(c) Citizenship or Place of Organization:</w:t>
      </w:r>
    </w:p>
    <w:p>
      <w:pPr>
        <w:spacing w:after="0" w:line="238" w:lineRule="auto"/>
        <w:rPr>
          <w:sz w:val="20"/>
          <w:szCs w:val="20"/>
          <w:color w:val="auto"/>
        </w:rPr>
      </w:pPr>
      <w:r>
        <w:rPr>
          <w:rFonts w:ascii="Courier New" w:cs="Courier New" w:eastAsia="Courier New" w:hAnsi="Courier New"/>
          <w:sz w:val="18"/>
          <w:szCs w:val="18"/>
          <w:color w:val="auto"/>
        </w:rPr>
        <w:t>(1) Maryland</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2(d) Title of Class of Securities: COMMON STOCK</w:t>
      </w:r>
    </w:p>
    <w:p>
      <w:pPr>
        <w:sectPr>
          <w:pgSz w:w="11900" w:h="16848" w:orient="portrait"/>
          <w:cols w:equalWidth="0" w:num="1">
            <w:col w:w="10139"/>
          </w:cols>
          <w:pgMar w:left="320" w:top="244" w:right="1440" w:bottom="0" w:gutter="0" w:footer="0" w:header="0"/>
        </w:sectPr>
      </w:pPr>
    </w:p>
    <w:bookmarkStart w:id="1" w:name="page2"/>
    <w:bookmarkEnd w:id="1"/>
    <w:p>
      <w:pPr>
        <w:spacing w:after="0"/>
        <w:rPr>
          <w:sz w:val="20"/>
          <w:szCs w:val="20"/>
          <w:color w:val="auto"/>
        </w:rPr>
      </w:pPr>
      <w:r>
        <w:rPr>
          <w:rFonts w:ascii="Courier New" w:cs="Courier New" w:eastAsia="Courier New" w:hAnsi="Courier New"/>
          <w:sz w:val="18"/>
          <w:szCs w:val="18"/>
          <w:color w:val="auto"/>
        </w:rPr>
        <w:t>Item 2(e) Cusip Number: 69376K106</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 The person filing this Schedule 13G is an:</w:t>
      </w:r>
    </w:p>
    <w:p>
      <w:pPr>
        <w:spacing w:after="0" w:line="4" w:lineRule="exact"/>
        <w:rPr>
          <w:sz w:val="20"/>
          <w:szCs w:val="20"/>
          <w:color w:val="auto"/>
        </w:rPr>
      </w:pPr>
    </w:p>
    <w:p>
      <w:pPr>
        <w:ind w:left="420" w:right="2859" w:hanging="412"/>
        <w:spacing w:after="0" w:line="235" w:lineRule="auto"/>
        <w:tabs>
          <w:tab w:leader="none" w:pos="4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Investment Adviser registered under Section 203 of the Investment Advisers Act of 1940</w:t>
      </w:r>
    </w:p>
    <w:p>
      <w:pPr>
        <w:spacing w:after="0" w:line="208" w:lineRule="exact"/>
        <w:rPr>
          <w:sz w:val="20"/>
          <w:szCs w:val="20"/>
          <w:color w:val="auto"/>
        </w:rPr>
      </w:pPr>
    </w:p>
    <w:p>
      <w:pPr>
        <w:ind w:left="860" w:right="2759" w:hanging="841"/>
        <w:spacing w:after="0" w:line="235" w:lineRule="auto"/>
        <w:rPr>
          <w:sz w:val="20"/>
          <w:szCs w:val="20"/>
          <w:color w:val="auto"/>
        </w:rPr>
      </w:pPr>
      <w:r>
        <w:rPr>
          <w:rFonts w:ascii="Courier New" w:cs="Courier New" w:eastAsia="Courier New" w:hAnsi="Courier New"/>
          <w:sz w:val="18"/>
          <w:szCs w:val="18"/>
          <w:color w:val="auto"/>
        </w:rPr>
        <w:t>Item 4: Reference is made to Items 5-11 on the preceding pages of this Schedule 13G.</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Ownership of Five Percent or Less of a Class</w:t>
      </w:r>
    </w:p>
    <w:p>
      <w:pPr>
        <w:ind w:left="860"/>
        <w:spacing w:after="0" w:line="238" w:lineRule="auto"/>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Five Percent on Behalf of Another Person</w:t>
      </w:r>
    </w:p>
    <w:p>
      <w:pPr>
        <w:spacing w:after="0" w:line="207" w:lineRule="exact"/>
        <w:rPr>
          <w:sz w:val="20"/>
          <w:szCs w:val="20"/>
          <w:color w:val="auto"/>
        </w:rPr>
      </w:pPr>
    </w:p>
    <w:p>
      <w:pPr>
        <w:ind w:left="860" w:right="2019" w:hanging="852"/>
        <w:spacing w:after="0" w:line="275" w:lineRule="auto"/>
        <w:tabs>
          <w:tab w:leader="none" w:pos="86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Price Associates does not serve as custodian of the assets of any of its clients; accordingly, in each instance only the client or the client's custodian or trustee bank has the right to receive dividends paid with respect to, and proceeds from the sale of, such securities.</w:t>
      </w:r>
    </w:p>
    <w:p>
      <w:pPr>
        <w:spacing w:after="0" w:line="181" w:lineRule="exact"/>
        <w:rPr>
          <w:rFonts w:ascii="Courier New" w:cs="Courier New" w:eastAsia="Courier New" w:hAnsi="Courier New"/>
          <w:sz w:val="16"/>
          <w:szCs w:val="16"/>
          <w:color w:val="auto"/>
        </w:rPr>
      </w:pPr>
    </w:p>
    <w:p>
      <w:pPr>
        <w:ind w:left="860" w:right="2019"/>
        <w:spacing w:after="0" w:line="237"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The ultimate power to direct the receipt of dividends paid with respect to, and the proceeds from the sale of, such securities, is vested in the individual and institutional clients which Price Associates serves as investment adviser. Any and all discretionary authority which has been delegated to Price Associates may be revoked in whole or in part at any time.</w:t>
      </w:r>
    </w:p>
    <w:p>
      <w:pPr>
        <w:spacing w:after="0" w:line="209" w:lineRule="exact"/>
        <w:rPr>
          <w:rFonts w:ascii="Courier New" w:cs="Courier New" w:eastAsia="Courier New" w:hAnsi="Courier New"/>
          <w:sz w:val="16"/>
          <w:szCs w:val="16"/>
          <w:color w:val="auto"/>
        </w:rPr>
      </w:pPr>
    </w:p>
    <w:p>
      <w:pPr>
        <w:ind w:left="860" w:right="1919"/>
        <w:spacing w:after="0" w:line="237"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Except as may be indicated if this is a joint filing with one of the registered investment companies sponsored by Price Associates which it also serves as investment adviser ("T. Rowe Price Funds"), not more than 5% of the class of such securities is owned by any one client subject to the investment advice of Price Associates.</w:t>
      </w:r>
    </w:p>
    <w:p>
      <w:pPr>
        <w:spacing w:after="0" w:line="208" w:lineRule="exact"/>
        <w:rPr>
          <w:rFonts w:ascii="Courier New" w:cs="Courier New" w:eastAsia="Courier New" w:hAnsi="Courier New"/>
          <w:sz w:val="16"/>
          <w:szCs w:val="16"/>
          <w:color w:val="auto"/>
        </w:rPr>
      </w:pPr>
    </w:p>
    <w:p>
      <w:pPr>
        <w:ind w:left="860" w:right="1919" w:hanging="852"/>
        <w:spacing w:after="0" w:line="237" w:lineRule="auto"/>
        <w:tabs>
          <w:tab w:leader="none" w:pos="86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With respect to securities owned by any one of the T. Rowe Price Funds, only the custodian for each of such Funds, has the right to receive dividends paid with respect to, and proceeds from the sale of, such securities. No other person is known to have such right, except that the shareholders of each such Fund participate proportionately in any dividends and distributions so paid.</w:t>
      </w:r>
    </w:p>
    <w:p>
      <w:pPr>
        <w:spacing w:after="0" w:line="209" w:lineRule="exact"/>
        <w:rPr>
          <w:sz w:val="20"/>
          <w:szCs w:val="20"/>
          <w:color w:val="auto"/>
        </w:rPr>
      </w:pPr>
    </w:p>
    <w:p>
      <w:pPr>
        <w:ind w:left="860" w:right="1919" w:hanging="841"/>
        <w:spacing w:after="0" w:line="235"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w:t>
      </w:r>
    </w:p>
    <w:p>
      <w:pPr>
        <w:ind w:left="860"/>
        <w:spacing w:after="0"/>
        <w:rPr>
          <w:sz w:val="20"/>
          <w:szCs w:val="20"/>
          <w:color w:val="auto"/>
        </w:rPr>
      </w:pPr>
      <w:r>
        <w:rPr>
          <w:rFonts w:ascii="Courier New" w:cs="Courier New" w:eastAsia="Courier New" w:hAnsi="Courier New"/>
          <w:sz w:val="18"/>
          <w:szCs w:val="18"/>
          <w:color w:val="auto"/>
        </w:rPr>
        <w:t>Not Applicable</w:t>
      </w:r>
    </w:p>
    <w:p>
      <w:pPr>
        <w:spacing w:after="0" w:line="207" w:lineRule="exact"/>
        <w:rPr>
          <w:sz w:val="20"/>
          <w:szCs w:val="20"/>
          <w:color w:val="auto"/>
        </w:rPr>
      </w:pPr>
    </w:p>
    <w:p>
      <w:pPr>
        <w:ind w:left="860" w:right="3279" w:hanging="841"/>
        <w:spacing w:after="0" w:line="235" w:lineRule="auto"/>
        <w:rPr>
          <w:sz w:val="20"/>
          <w:szCs w:val="20"/>
          <w:color w:val="auto"/>
        </w:rPr>
      </w:pPr>
      <w:r>
        <w:rPr>
          <w:rFonts w:ascii="Courier New" w:cs="Courier New" w:eastAsia="Courier New" w:hAnsi="Courier New"/>
          <w:sz w:val="18"/>
          <w:szCs w:val="18"/>
          <w:color w:val="auto"/>
        </w:rPr>
        <w:t>Item 8: Identification and Classification of Members of the Group Not Applicable</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ind w:left="860"/>
        <w:spacing w:after="0" w:line="238" w:lineRule="auto"/>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w:t>
      </w:r>
    </w:p>
    <w:p>
      <w:pPr>
        <w:spacing w:after="0" w:line="4" w:lineRule="exact"/>
        <w:rPr>
          <w:sz w:val="20"/>
          <w:szCs w:val="20"/>
          <w:color w:val="auto"/>
        </w:rPr>
      </w:pPr>
    </w:p>
    <w:p>
      <w:pPr>
        <w:ind w:left="960" w:right="2019"/>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T. Rowe Price Associates, Inc. hereby declares and affirms that the filing</w:t>
      </w:r>
    </w:p>
    <w:p>
      <w:pPr>
        <w:spacing w:after="0" w:line="9" w:lineRule="exact"/>
        <w:rPr>
          <w:sz w:val="20"/>
          <w:szCs w:val="20"/>
          <w:color w:val="auto"/>
        </w:rPr>
      </w:pPr>
    </w:p>
    <w:p>
      <w:pPr>
        <w:jc w:val="both"/>
        <w:ind w:left="960" w:right="2339"/>
        <w:spacing w:after="0" w:line="236" w:lineRule="auto"/>
        <w:rPr>
          <w:sz w:val="20"/>
          <w:szCs w:val="20"/>
          <w:color w:val="auto"/>
        </w:rPr>
      </w:pPr>
      <w:r>
        <w:rPr>
          <w:rFonts w:ascii="Courier New" w:cs="Courier New" w:eastAsia="Courier New" w:hAnsi="Courier New"/>
          <w:sz w:val="18"/>
          <w:szCs w:val="18"/>
          <w:color w:val="auto"/>
        </w:rPr>
        <w:t>of Schedule 13G shall not be construed as an admission that Price Associates is the beneficial owner of the securities referred to, which beneficial ownership is expressly denied.</w:t>
      </w:r>
    </w:p>
    <w:p>
      <w:pPr>
        <w:spacing w:after="0" w:line="203"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jc w:val="both"/>
        <w:ind w:left="960" w:right="201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 ROWE PRICE ASSOCIATES, INC.</w:t>
      </w:r>
    </w:p>
    <w:p>
      <w:pPr>
        <w:spacing w:after="0" w:line="238" w:lineRule="auto"/>
        <w:rPr>
          <w:sz w:val="20"/>
          <w:szCs w:val="20"/>
          <w:color w:val="auto"/>
        </w:rPr>
      </w:pPr>
      <w:r>
        <w:rPr>
          <w:rFonts w:ascii="Courier New" w:cs="Courier New" w:eastAsia="Courier New" w:hAnsi="Courier New"/>
          <w:sz w:val="18"/>
          <w:szCs w:val="18"/>
          <w:color w:val="auto"/>
        </w:rPr>
        <w:t>Date: November 10, 2021</w:t>
      </w:r>
    </w:p>
    <w:p>
      <w:pPr>
        <w:spacing w:after="0" w:line="238" w:lineRule="auto"/>
        <w:rPr>
          <w:sz w:val="20"/>
          <w:szCs w:val="20"/>
          <w:color w:val="auto"/>
        </w:rPr>
      </w:pPr>
      <w:r>
        <w:rPr>
          <w:rFonts w:ascii="Courier New" w:cs="Courier New" w:eastAsia="Courier New" w:hAnsi="Courier New"/>
          <w:sz w:val="18"/>
          <w:szCs w:val="18"/>
          <w:color w:val="auto"/>
        </w:rPr>
        <w:t>Signature: /s/ David Oestreicher</w:t>
      </w:r>
    </w:p>
    <w:p>
      <w:pPr>
        <w:spacing w:after="0"/>
        <w:rPr>
          <w:sz w:val="20"/>
          <w:szCs w:val="20"/>
          <w:color w:val="auto"/>
        </w:rPr>
      </w:pPr>
      <w:r>
        <w:rPr>
          <w:rFonts w:ascii="Courier New" w:cs="Courier New" w:eastAsia="Courier New" w:hAnsi="Courier New"/>
          <w:sz w:val="18"/>
          <w:szCs w:val="18"/>
          <w:color w:val="auto"/>
        </w:rPr>
        <w:t>Name &amp; Title: David Oestreicher, Executive Vice President</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10/31/2021</w:t>
      </w:r>
    </w:p>
    <w:sectPr>
      <w:pgSz w:w="11900" w:h="16838" w:orient="portrait"/>
      <w:cols w:equalWidth="0" w:num="1">
        <w:col w:w="10139"/>
      </w:cols>
      <w:pgMar w:left="320" w:top="339" w:right="1440" w:bottom="948"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lowerRoman"/>
      <w:start w:val="10"/>
    </w:lvl>
  </w:abstractNum>
  <w:abstractNum w:abstractNumId="1">
    <w:nsid w:val="625558EC"/>
    <w:multiLevelType w:val="hybridMultilevel"/>
    <w:lvl w:ilvl="0">
      <w:lvlJc w:val="left"/>
      <w:lvlText w:val="%1."/>
      <w:numFmt w:val="decimal"/>
      <w:start w:val="1"/>
    </w:lvl>
  </w:abstractNum>
  <w:abstractNum w:abstractNumId="2">
    <w:nsid w:val="238E1F29"/>
    <w:multiLevelType w:val="hybridMultilevel"/>
    <w:lvl w:ilvl="0">
      <w:lvlJc w:val="left"/>
      <w:lvlText w:val="%1."/>
      <w:numFmt w:val="decimal"/>
      <w:start w:val="9"/>
    </w:lvl>
  </w:abstractNum>
  <w:abstractNum w:abstractNumId="3">
    <w:nsid w:val="46E87CCD"/>
    <w:multiLevelType w:val="hybridMultilevel"/>
    <w:lvl w:ilvl="0">
      <w:lvlJc w:val="left"/>
      <w:lvlText w:val="%1."/>
      <w:numFmt w:val="decimal"/>
      <w:start w:val="12"/>
    </w:lvl>
  </w:abstractNum>
  <w:abstractNum w:abstractNumId="4">
    <w:nsid w:val="3D1B58BA"/>
    <w:multiLevelType w:val="hybridMultilevel"/>
    <w:lvl w:ilvl="0">
      <w:lvlJc w:val="left"/>
      <w:lvlText w:val="X"/>
      <w:numFmt w:val="bullet"/>
      <w:start w:val="1"/>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2021-11-10T11:41:48Z</dcterms:created>
  <dcterms:modified xsi:type="dcterms:W3CDTF">2021-11-10T11:41:48Z</dcterms:modified>
</cp:coreProperties>
</file>