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2 )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69376K106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2"/>
          <w:szCs w:val="22"/>
          <w:color w:val="auto"/>
        </w:rPr>
        <w:t>May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69376K106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AllianceBernstein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13-4064930</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2,780,703</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2,870,529</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38,181</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2,908,710</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40" w:right="8120" w:hanging="627"/>
        <w:spacing w:after="0" w:line="262" w:lineRule="auto"/>
        <w:tabs>
          <w:tab w:leader="none" w:pos="15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Name of Issuer </w:t>
      </w:r>
      <w:r>
        <w:rPr>
          <w:rFonts w:ascii="Times New Roman" w:cs="Times New Roman" w:eastAsia="Times New Roman" w:hAnsi="Times New Roman"/>
          <w:sz w:val="22"/>
          <w:szCs w:val="22"/>
          <w:color w:val="auto"/>
        </w:rPr>
        <w:t>P10 Inc</w:t>
      </w:r>
    </w:p>
    <w:p>
      <w:pPr>
        <w:spacing w:after="0" w:line="68" w:lineRule="exact"/>
        <w:rPr>
          <w:rFonts w:ascii="Times New Roman" w:cs="Times New Roman" w:eastAsia="Times New Roman" w:hAnsi="Times New Roman"/>
          <w:sz w:val="22"/>
          <w:szCs w:val="22"/>
          <w:b w:val="1"/>
          <w:bCs w:val="1"/>
          <w:color w:val="auto"/>
        </w:rPr>
      </w:pPr>
    </w:p>
    <w:p>
      <w:pPr>
        <w:ind w:left="1540" w:hanging="627"/>
        <w:spacing w:after="0"/>
        <w:tabs>
          <w:tab w:leader="none" w:pos="15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5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4514 COLE AVENUE, SUITE 1600, DALLAS, TEXAS 75205</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540" w:hanging="627"/>
        <w:spacing w:after="0"/>
        <w:tabs>
          <w:tab w:leader="none" w:pos="15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5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AllianceBernstein L.P. ("AllianceBernstein L.P.")</w:t>
      </w:r>
    </w:p>
    <w:p>
      <w:pPr>
        <w:spacing w:after="0" w:line="97" w:lineRule="exact"/>
        <w:rPr>
          <w:rFonts w:ascii="Times New Roman" w:cs="Times New Roman" w:eastAsia="Times New Roman" w:hAnsi="Times New Roman"/>
          <w:sz w:val="22"/>
          <w:szCs w:val="22"/>
          <w:b w:val="1"/>
          <w:bCs w:val="1"/>
          <w:color w:val="auto"/>
        </w:rPr>
      </w:pPr>
    </w:p>
    <w:p>
      <w:pPr>
        <w:ind w:left="1540" w:right="4120" w:hanging="627"/>
        <w:spacing w:after="0" w:line="286" w:lineRule="auto"/>
        <w:tabs>
          <w:tab w:leader="none" w:pos="15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1345 Avenue of the Americas, New York, NY 10105</w:t>
      </w:r>
    </w:p>
    <w:p>
      <w:pPr>
        <w:spacing w:after="0" w:line="157" w:lineRule="exact"/>
        <w:rPr>
          <w:rFonts w:ascii="Times New Roman" w:cs="Times New Roman" w:eastAsia="Times New Roman" w:hAnsi="Times New Roman"/>
          <w:sz w:val="21"/>
          <w:szCs w:val="21"/>
          <w:b w:val="1"/>
          <w:bCs w:val="1"/>
          <w:color w:val="auto"/>
        </w:rPr>
      </w:pPr>
    </w:p>
    <w:p>
      <w:pPr>
        <w:ind w:left="1540" w:right="220"/>
        <w:spacing w:after="0" w:line="258"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All media outlets, please contact Jennifer Will at AllianceBernstein (212-969-1157) with any questions. All other questions can be directed to Section13USFilings@alliancebernstein.com.</w:t>
      </w:r>
    </w:p>
    <w:p>
      <w:pPr>
        <w:spacing w:after="0" w:line="73" w:lineRule="exact"/>
        <w:rPr>
          <w:rFonts w:ascii="Times New Roman" w:cs="Times New Roman" w:eastAsia="Times New Roman" w:hAnsi="Times New Roman"/>
          <w:sz w:val="21"/>
          <w:szCs w:val="21"/>
          <w:b w:val="1"/>
          <w:bCs w:val="1"/>
          <w:color w:val="auto"/>
        </w:rPr>
      </w:pPr>
    </w:p>
    <w:p>
      <w:pPr>
        <w:ind w:left="1540" w:right="8460" w:hanging="627"/>
        <w:spacing w:after="0" w:line="286" w:lineRule="auto"/>
        <w:tabs>
          <w:tab w:leader="none" w:pos="15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Delaware</w:t>
      </w:r>
    </w:p>
    <w:p>
      <w:pPr>
        <w:spacing w:after="0" w:line="45" w:lineRule="exact"/>
        <w:rPr>
          <w:rFonts w:ascii="Times New Roman" w:cs="Times New Roman" w:eastAsia="Times New Roman" w:hAnsi="Times New Roman"/>
          <w:sz w:val="21"/>
          <w:szCs w:val="21"/>
          <w:b w:val="1"/>
          <w:bCs w:val="1"/>
          <w:color w:val="auto"/>
        </w:rPr>
      </w:pPr>
    </w:p>
    <w:p>
      <w:pPr>
        <w:ind w:left="1540" w:right="7120" w:hanging="627"/>
        <w:spacing w:after="0" w:line="262" w:lineRule="auto"/>
        <w:tabs>
          <w:tab w:leader="none" w:pos="15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540" w:right="8040" w:hanging="627"/>
        <w:spacing w:after="0" w:line="286" w:lineRule="auto"/>
        <w:tabs>
          <w:tab w:leader="none" w:pos="15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69376K106</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60"/>
          </w:cols>
          <w:pgMar w:left="400" w:top="419" w:right="439" w:bottom="0" w:gutter="0" w:footer="0" w:header="0"/>
        </w:sectPr>
      </w:pPr>
    </w:p>
    <w:p>
      <w:pPr>
        <w:spacing w:after="0" w:line="129"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80a-8).</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54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1980" w:space="380"/>
            <w:col w:w="8700"/>
          </w:cols>
          <w:pgMar w:left="400" w:top="419" w:right="439" w:bottom="0" w:gutter="0" w:footer="0" w:header="0"/>
          <w:type w:val="continuous"/>
        </w:sectPr>
      </w:pPr>
    </w:p>
    <w:p>
      <w:pPr>
        <w:ind w:right="70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540" w:hanging="627"/>
        <w:spacing w:after="0"/>
        <w:tabs>
          <w:tab w:leader="none" w:pos="1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540" w:right="74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2,908,710 shares acquired solely for investment purposes on behalf of client discretionary investment advisory accounts.*</w:t>
      </w:r>
    </w:p>
    <w:p>
      <w:pPr>
        <w:spacing w:after="0" w:line="77" w:lineRule="exact"/>
        <w:rPr>
          <w:rFonts w:ascii="Times New Roman" w:cs="Times New Roman" w:eastAsia="Times New Roman" w:hAnsi="Times New Roman"/>
          <w:sz w:val="22"/>
          <w:szCs w:val="22"/>
          <w:color w:val="auto"/>
        </w:rPr>
      </w:pPr>
    </w:p>
    <w:p>
      <w:pPr>
        <w:ind w:left="1540" w:right="8040" w:hanging="627"/>
        <w:spacing w:after="0" w:line="358" w:lineRule="auto"/>
        <w:tabs>
          <w:tab w:leader="none" w:pos="1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2.5%</w:t>
      </w:r>
    </w:p>
    <w:p>
      <w:pPr>
        <w:sectPr>
          <w:pgSz w:w="11900" w:h="16838" w:orient="portrait"/>
          <w:cols w:equalWidth="0" w:num="1">
            <w:col w:w="11060"/>
          </w:cols>
          <w:pgMar w:left="400" w:top="419" w:right="439" w:bottom="0" w:gutter="0" w:footer="0" w:header="0"/>
          <w:type w:val="continuous"/>
        </w:sectPr>
      </w:pPr>
    </w:p>
    <w:p>
      <w:pPr>
        <w:spacing w:after="0" w:line="1" w:lineRule="exact"/>
        <w:rPr>
          <w:sz w:val="20"/>
          <w:szCs w:val="20"/>
          <w:color w:val="auto"/>
        </w:rPr>
      </w:pPr>
    </w:p>
    <w:p>
      <w:pPr>
        <w:ind w:left="1540" w:hanging="627"/>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360" w:hanging="812"/>
        <w:spacing w:after="0"/>
        <w:tabs>
          <w:tab w:leader="none" w:pos="236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360" w:hanging="812"/>
        <w:spacing w:after="0"/>
        <w:tabs>
          <w:tab w:leader="none" w:pos="236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360" w:hanging="812"/>
        <w:spacing w:after="0"/>
        <w:tabs>
          <w:tab w:leader="none" w:pos="236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360" w:right="780" w:hanging="812"/>
        <w:spacing w:after="0" w:line="185" w:lineRule="auto"/>
        <w:tabs>
          <w:tab w:leader="none" w:pos="236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2,780,703</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2,870,529</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38,181</w:t>
      </w:r>
    </w:p>
    <w:p>
      <w:pPr>
        <w:spacing w:after="0" w:line="246" w:lineRule="exact"/>
        <w:rPr>
          <w:sz w:val="20"/>
          <w:szCs w:val="20"/>
          <w:color w:val="auto"/>
        </w:rPr>
      </w:pPr>
    </w:p>
    <w:p>
      <w:pPr>
        <w:sectPr>
          <w:pgSz w:w="11900" w:h="16838" w:orient="portrait"/>
          <w:cols w:equalWidth="0" w:num="2">
            <w:col w:w="6540" w:space="280"/>
            <w:col w:w="4240"/>
          </w:cols>
          <w:pgMar w:left="400" w:top="419" w:right="439" w:bottom="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*AllianceBernstein L.P. is a majority owned subsidiary of Equitable Holdings, Inc. ("EQH"). AllianceBernstein operates under</w:t>
      </w:r>
    </w:p>
    <w:p>
      <w:pPr>
        <w:sectPr>
          <w:pgSz w:w="11900" w:h="16838" w:orient="portrait"/>
          <w:cols w:equalWidth="0" w:num="1">
            <w:col w:w="11060"/>
          </w:cols>
          <w:pgMar w:left="400" w:top="419" w:right="439" w:bottom="0" w:gutter="0" w:footer="0" w:header="0"/>
          <w:type w:val="continuous"/>
        </w:sectPr>
      </w:pPr>
    </w:p>
    <w:bookmarkStart w:id="3" w:name="page4"/>
    <w:bookmarkEnd w:id="3"/>
    <w:p>
      <w:pPr>
        <w:jc w:val="both"/>
        <w:ind w:right="40"/>
        <w:spacing w:after="0" w:line="244" w:lineRule="auto"/>
        <w:rPr>
          <w:sz w:val="20"/>
          <w:szCs w:val="20"/>
          <w:color w:val="auto"/>
        </w:rPr>
      </w:pPr>
      <w:r>
        <w:rPr>
          <w:rFonts w:ascii="Times New Roman" w:cs="Times New Roman" w:eastAsia="Times New Roman" w:hAnsi="Times New Roman"/>
          <w:sz w:val="22"/>
          <w:szCs w:val="22"/>
          <w:color w:val="auto"/>
        </w:rPr>
        <w:t>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p>
      <w:pPr>
        <w:spacing w:after="0" w:line="8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X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Brenda Coulter</w:t>
      </w:r>
    </w:p>
    <w:p>
      <w:pPr>
        <w:spacing w:after="0" w:line="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Date: June 10, 2022</w:t>
      </w:r>
    </w:p>
    <w:p>
      <w:pPr>
        <w:spacing w:after="0" w:line="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Name: Brenda Coulter</w:t>
      </w:r>
    </w:p>
    <w:p>
      <w:pPr>
        <w:spacing w:after="0" w:line="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Title: VP and Head of Regulatory Reporting</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2022-06-10T11:24:12Z</dcterms:created>
  <dcterms:modified xsi:type="dcterms:W3CDTF">2022-06-10T11:24:12Z</dcterms:modified>
</cp:coreProperties>
</file>