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10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106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400" w:type="dxa"/>
            <w:vAlign w:val="bottom"/>
            <w:gridSpan w:val="2"/>
            <w:vMerge w:val="restart"/>
          </w:tcPr>
          <w:p>
            <w:pPr>
              <w:spacing w:after="0"/>
              <w:rPr>
                <w:rFonts w:ascii="Arial" w:cs="Arial" w:eastAsia="Arial" w:hAnsi="Arial"/>
                <w:sz w:val="22"/>
                <w:szCs w:val="22"/>
                <w:color w:val="0000EE"/>
                <w:w w:val="96"/>
              </w:rPr>
            </w:pPr>
            <w:hyperlink r:id="rId11">
              <w:r>
                <w:rPr>
                  <w:rFonts w:ascii="Arial" w:cs="Arial" w:eastAsia="Arial" w:hAnsi="Arial"/>
                  <w:sz w:val="22"/>
                  <w:szCs w:val="22"/>
                  <w:color w:val="0000EE"/>
                  <w:w w:val="96"/>
                </w:rPr>
                <w:t>KINDERHOOK CAPITAL</w:t>
              </w:r>
            </w:hyperlink>
          </w:p>
        </w:tc>
        <w:tc>
          <w:tcPr>
            <w:tcW w:w="560" w:type="dxa"/>
            <w:vAlign w:val="bottom"/>
            <w:vMerge w:val="restart"/>
          </w:tcPr>
          <w:p>
            <w:pPr>
              <w:spacing w:after="0"/>
              <w:rPr>
                <w:sz w:val="11"/>
                <w:szCs w:val="11"/>
                <w:color w:val="auto"/>
              </w:rPr>
            </w:pPr>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1"/>
                <w:szCs w:val="11"/>
                <w:color w:val="auto"/>
              </w:rPr>
            </w:pPr>
          </w:p>
        </w:tc>
        <w:tc>
          <w:tcPr>
            <w:tcW w:w="2400" w:type="dxa"/>
            <w:vAlign w:val="bottom"/>
            <w:tcBorders>
              <w:bottom w:val="single" w:sz="8" w:color="0000EE"/>
            </w:tcBorders>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080" w:type="dxa"/>
            <w:vAlign w:val="bottom"/>
            <w:tcBorders>
              <w:bottom w:val="single" w:sz="8" w:color="0000EE"/>
            </w:tcBorders>
          </w:tcPr>
          <w:p>
            <w:pPr>
              <w:spacing w:after="0" w:line="223" w:lineRule="exact"/>
              <w:rPr>
                <w:rFonts w:ascii="Arial" w:cs="Arial" w:eastAsia="Arial" w:hAnsi="Arial"/>
                <w:sz w:val="22"/>
                <w:szCs w:val="22"/>
                <w:color w:val="0000EE"/>
                <w:w w:val="97"/>
              </w:rPr>
            </w:pPr>
            <w:hyperlink r:id="rId11">
              <w:r>
                <w:rPr>
                  <w:rFonts w:ascii="Arial" w:cs="Arial" w:eastAsia="Arial" w:hAnsi="Arial"/>
                  <w:sz w:val="22"/>
                  <w:szCs w:val="22"/>
                  <w:color w:val="0000EE"/>
                  <w:w w:val="97"/>
                </w:rPr>
                <w:t>MANAGEMENT, LLC</w:t>
              </w:r>
            </w:hyperlink>
          </w:p>
        </w:tc>
        <w:tc>
          <w:tcPr>
            <w:tcW w:w="880" w:type="dxa"/>
            <w:vAlign w:val="bottom"/>
            <w:gridSpan w:val="2"/>
          </w:tcPr>
          <w:p>
            <w:pPr>
              <w:spacing w:after="0"/>
              <w:rPr>
                <w:sz w:val="19"/>
                <w:szCs w:val="19"/>
                <w:color w:val="auto"/>
              </w:rPr>
            </w:pPr>
          </w:p>
        </w:tc>
        <w:tc>
          <w:tcPr>
            <w:tcW w:w="1640" w:type="dxa"/>
            <w:vAlign w:val="bottom"/>
          </w:tcPr>
          <w:p>
            <w:pPr>
              <w:ind w:left="420"/>
              <w:spacing w:after="0"/>
              <w:rPr>
                <w:sz w:val="20"/>
                <w:szCs w:val="20"/>
                <w:color w:val="auto"/>
              </w:rPr>
            </w:pPr>
            <w:r>
              <w:rPr>
                <w:rFonts w:ascii="Arial" w:cs="Arial" w:eastAsia="Arial" w:hAnsi="Arial"/>
                <w:sz w:val="18"/>
                <w:szCs w:val="18"/>
                <w:color w:val="0000FF"/>
              </w:rPr>
              <w:t>03/07/2012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0"/>
          <w:szCs w:val="20"/>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409" w:lineRule="exact"/>
        <w:rPr>
          <w:sz w:val="20"/>
          <w:szCs w:val="20"/>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980" w:type="dxa"/>
            <w:vAlign w:val="bottom"/>
          </w:tcPr>
          <w:p>
            <w:pPr>
              <w:ind w:left="140"/>
              <w:spacing w:after="0"/>
              <w:rPr>
                <w:sz w:val="20"/>
                <w:szCs w:val="20"/>
                <w:color w:val="auto"/>
              </w:rPr>
            </w:pPr>
            <w:r>
              <w:rPr>
                <w:rFonts w:ascii="Arial" w:cs="Arial" w:eastAsia="Arial" w:hAnsi="Arial"/>
                <w:sz w:val="14"/>
                <w:szCs w:val="14"/>
                <w:color w:val="auto"/>
              </w:rPr>
              <w:t>(First)</w:t>
            </w:r>
          </w:p>
        </w:tc>
        <w:tc>
          <w:tcPr>
            <w:tcW w:w="128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color w:val="0000FF"/>
              </w:rPr>
              <w:t>2 EXECUTIVE DRIVE</w:t>
            </w:r>
          </w:p>
        </w:tc>
        <w:tc>
          <w:tcPr>
            <w:tcW w:w="128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SUITE 585</w:t>
            </w:r>
          </w:p>
        </w:tc>
        <w:tc>
          <w:tcPr>
            <w:tcW w:w="9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FORT LEE</w:t>
            </w:r>
          </w:p>
        </w:tc>
        <w:tc>
          <w:tcPr>
            <w:tcW w:w="980" w:type="dxa"/>
            <w:vAlign w:val="bottom"/>
          </w:tcPr>
          <w:p>
            <w:pPr>
              <w:ind w:left="140"/>
              <w:spacing w:after="0"/>
              <w:rPr>
                <w:sz w:val="20"/>
                <w:szCs w:val="20"/>
                <w:color w:val="auto"/>
              </w:rPr>
            </w:pPr>
            <w:r>
              <w:rPr>
                <w:rFonts w:ascii="Arial" w:cs="Arial" w:eastAsia="Arial" w:hAnsi="Arial"/>
                <w:sz w:val="18"/>
                <w:szCs w:val="18"/>
                <w:color w:val="0000FF"/>
              </w:rPr>
              <w:t>NJ</w:t>
            </w:r>
          </w:p>
        </w:tc>
        <w:tc>
          <w:tcPr>
            <w:tcW w:w="1280" w:type="dxa"/>
            <w:vAlign w:val="bottom"/>
          </w:tcPr>
          <w:p>
            <w:pPr>
              <w:ind w:left="240"/>
              <w:spacing w:after="0"/>
              <w:rPr>
                <w:sz w:val="20"/>
                <w:szCs w:val="20"/>
                <w:color w:val="auto"/>
              </w:rPr>
            </w:pPr>
            <w:r>
              <w:rPr>
                <w:rFonts w:ascii="Arial" w:cs="Arial" w:eastAsia="Arial" w:hAnsi="Arial"/>
                <w:sz w:val="18"/>
                <w:szCs w:val="18"/>
                <w:color w:val="0000FF"/>
              </w:rPr>
              <w:t>07024</w:t>
            </w:r>
          </w:p>
        </w:tc>
      </w:tr>
    </w:tbl>
    <w:p>
      <w:pPr>
        <w:spacing w:after="0" w:line="20" w:lineRule="exact"/>
        <w:rPr>
          <w:sz w:val="20"/>
          <w:szCs w:val="20"/>
          <w:color w:val="auto"/>
        </w:rPr>
      </w:pPr>
      <w:r>
        <w:rPr>
          <w:sz w:val="20"/>
          <w:szCs w:val="20"/>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0"/>
          <w:szCs w:val="20"/>
          <w:color w:val="auto"/>
        </w:rPr>
      </w:pPr>
      <w:r>
        <w:rPr>
          <w:sz w:val="20"/>
          <w:szCs w:val="20"/>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0"/>
          <w:szCs w:val="20"/>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80" w:lineRule="exact"/>
        <w:rPr>
          <w:sz w:val="20"/>
          <w:szCs w:val="20"/>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0"/>
          <w:szCs w:val="20"/>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0" w:type="dxa"/>
            <w:vAlign w:val="bottom"/>
            <w:gridSpan w:val="2"/>
          </w:tcPr>
          <w:p>
            <w:pPr>
              <w:ind w:left="62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4"/>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0" w:type="dxa"/>
            <w:vAlign w:val="bottom"/>
            <w:gridSpan w:val="2"/>
          </w:tcPr>
          <w:p>
            <w:pPr>
              <w:ind w:left="6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13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jc w:val="right"/>
              <w:ind w:right="487"/>
              <w:spacing w:after="0"/>
              <w:rPr>
                <w:sz w:val="20"/>
                <w:szCs w:val="20"/>
                <w:color w:val="auto"/>
              </w:rPr>
            </w:pPr>
            <w:r>
              <w:rPr>
                <w:rFonts w:ascii="Arial" w:cs="Arial" w:eastAsia="Arial" w:hAnsi="Arial"/>
                <w:sz w:val="18"/>
                <w:szCs w:val="18"/>
                <w:color w:val="0000FF"/>
              </w:rPr>
              <w:t>17,632,985</w:t>
            </w:r>
          </w:p>
        </w:tc>
        <w:tc>
          <w:tcPr>
            <w:tcW w:w="920" w:type="dxa"/>
            <w:vAlign w:val="bottom"/>
            <w:tcBorders>
              <w:bottom w:val="single" w:sz="8" w:color="2C2C2C"/>
            </w:tcBorders>
          </w:tcPr>
          <w:p>
            <w:pPr>
              <w:ind w:left="620"/>
              <w:spacing w:after="0" w:line="324" w:lineRule="exact"/>
              <w:rPr>
                <w:sz w:val="20"/>
                <w:szCs w:val="20"/>
                <w:color w:val="auto"/>
              </w:rPr>
            </w:pPr>
            <w:r>
              <w:rPr>
                <w:rFonts w:ascii="Arial" w:cs="Arial" w:eastAsia="Arial" w:hAnsi="Arial"/>
                <w:sz w:val="35"/>
                <w:szCs w:val="35"/>
                <w:color w:val="0000FF"/>
                <w:w w:val="92"/>
                <w:vertAlign w:val="subscript"/>
              </w:rPr>
              <w:t>D</w:t>
            </w:r>
            <w:r>
              <w:rPr>
                <w:rFonts w:ascii="Arial" w:cs="Arial" w:eastAsia="Arial" w:hAnsi="Arial"/>
                <w:sz w:val="11"/>
                <w:szCs w:val="11"/>
                <w:color w:val="008000"/>
                <w:w w:val="92"/>
              </w:rPr>
              <w:t>(1)</w:t>
            </w:r>
          </w:p>
        </w:tc>
        <w:tc>
          <w:tcPr>
            <w:tcW w:w="4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40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5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ind w:left="320"/>
              <w:spacing w:after="0" w:line="145" w:lineRule="exact"/>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0"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Kinderhook Capital Management, LLC serves as the investment adviser to Kinderhook Partners, LP (the "Partnership"), which is the registered owner of the shares of Common Stock. As the Partnership's investment adviser, Kinderhook Capital Management, LLC has the discretionary authority to invest and dispose of the Partnership's assets and to vote the Partnership's securities. Accordingly, Kinderhook Capital Management, LLC may be deemed to have a beneficial interest in the shares of Common Stock. Kinderhook Capital Management, LLC specifically disclaims beneficial ownership in the shares of Common Stock reported herein except to the extent of its pecuniary interest, if any, therein.</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6"/>
              </w:rPr>
              <w:t>/s/ Tushar Shah, Managing</w:t>
            </w:r>
          </w:p>
        </w:tc>
        <w:tc>
          <w:tcPr>
            <w:tcW w:w="2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03/08/2012</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Member</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42439" TargetMode="External"/><Relationship Id="rId12"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2019-12-17T07:10:46Z</dcterms:created>
  <dcterms:modified xsi:type="dcterms:W3CDTF">2019-12-17T07:10:46Z</dcterms:modified>
</cp:coreProperties>
</file>